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754" w:rsidRPr="004551E9" w:rsidRDefault="00F05754" w:rsidP="004551E9">
      <w:pPr>
        <w:pStyle w:val="Ttulo1"/>
      </w:pPr>
      <w:r w:rsidRPr="004551E9">
        <w:t xml:space="preserve">El régimen jurídico internacional de la capacidad jurídica de las personas con discapacidad </w:t>
      </w:r>
    </w:p>
    <w:p w:rsidR="00B05B9B" w:rsidRPr="008D46DF" w:rsidRDefault="00B05B9B" w:rsidP="004551E9">
      <w:pPr>
        <w:pStyle w:val="Ttulo1"/>
      </w:pPr>
    </w:p>
    <w:p w:rsidR="00F05754" w:rsidRPr="008D46DF" w:rsidRDefault="00F05754" w:rsidP="004551E9">
      <w:pPr>
        <w:pStyle w:val="Ttulo1"/>
      </w:pPr>
      <w:r w:rsidRPr="008D46DF">
        <w:t>Autor: Francisco José Bariffi</w:t>
      </w:r>
    </w:p>
    <w:p w:rsidR="009455AB" w:rsidRDefault="00F05754" w:rsidP="004551E9">
      <w:r>
        <w:tab/>
      </w:r>
    </w:p>
    <w:p w:rsidR="009455AB" w:rsidRDefault="009455AB" w:rsidP="004551E9">
      <w:r>
        <w:br w:type="page"/>
      </w:r>
    </w:p>
    <w:p w:rsidR="00F71B0D" w:rsidRPr="004A69C7" w:rsidRDefault="00F71B0D" w:rsidP="004A69C7">
      <w:pPr>
        <w:pStyle w:val="Ttulo2"/>
      </w:pPr>
      <w:r w:rsidRPr="004A69C7">
        <w:lastRenderedPageBreak/>
        <w:t>Índice</w:t>
      </w:r>
    </w:p>
    <w:p w:rsidR="00F71B0D" w:rsidRPr="00E72B02" w:rsidRDefault="00F71B0D" w:rsidP="00F71B0D"/>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12"/>
        <w:gridCol w:w="874"/>
      </w:tblGrid>
      <w:tr w:rsidR="00F71B0D" w:rsidRPr="00C8220A" w:rsidTr="008C3049">
        <w:tc>
          <w:tcPr>
            <w:tcW w:w="6712"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Presentación/Prólogo/Nota preliminar</w:t>
            </w:r>
          </w:p>
        </w:tc>
        <w:tc>
          <w:tcPr>
            <w:tcW w:w="874" w:type="dxa"/>
          </w:tcPr>
          <w:p w:rsidR="00F71B0D" w:rsidRPr="00C8220A" w:rsidRDefault="00F71B0D" w:rsidP="008C3049">
            <w:pPr>
              <w:spacing w:before="60" w:afterLines="60" w:line="240" w:lineRule="auto"/>
              <w:rPr>
                <w:rFonts w:ascii="Times New Roman" w:hAnsi="Times New Roman" w:cs="Times New Roman"/>
                <w:sz w:val="18"/>
                <w:szCs w:val="18"/>
                <w:lang w:val="es-AR"/>
              </w:rPr>
            </w:pPr>
          </w:p>
        </w:tc>
      </w:tr>
      <w:tr w:rsidR="00F71B0D" w:rsidRPr="00D0684B" w:rsidTr="008C3049">
        <w:tc>
          <w:tcPr>
            <w:tcW w:w="6712"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Abreviaturas</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p>
        </w:tc>
      </w:tr>
      <w:tr w:rsidR="00F71B0D" w:rsidRPr="00C8220A" w:rsidTr="008C3049">
        <w:tc>
          <w:tcPr>
            <w:tcW w:w="6712" w:type="dxa"/>
          </w:tcPr>
          <w:p w:rsidR="00F71B0D" w:rsidRPr="00D0684B" w:rsidRDefault="00F71B0D" w:rsidP="008C3049">
            <w:pPr>
              <w:spacing w:before="60" w:afterLines="60" w:line="240" w:lineRule="auto"/>
              <w:jc w:val="center"/>
              <w:rPr>
                <w:rFonts w:ascii="Times New Roman" w:hAnsi="Times New Roman" w:cs="Times New Roman"/>
                <w:b/>
                <w:sz w:val="18"/>
                <w:szCs w:val="18"/>
                <w:lang w:val="es-AR"/>
              </w:rPr>
            </w:pPr>
            <w:r w:rsidRPr="00D0684B">
              <w:rPr>
                <w:rFonts w:ascii="Times New Roman" w:hAnsi="Times New Roman" w:cs="Times New Roman"/>
                <w:b/>
                <w:sz w:val="18"/>
                <w:szCs w:val="18"/>
                <w:lang w:val="es-AR"/>
              </w:rPr>
              <w:t>PARTE I</w:t>
            </w:r>
          </w:p>
          <w:p w:rsidR="00F71B0D" w:rsidRPr="00D0684B" w:rsidRDefault="00F71B0D" w:rsidP="008C3049">
            <w:pPr>
              <w:spacing w:before="60" w:afterLines="60" w:line="240" w:lineRule="auto"/>
              <w:jc w:val="center"/>
              <w:rPr>
                <w:rFonts w:ascii="Times New Roman" w:hAnsi="Times New Roman" w:cs="Times New Roman"/>
                <w:sz w:val="18"/>
                <w:szCs w:val="18"/>
                <w:lang w:val="es-AR"/>
              </w:rPr>
            </w:pPr>
            <w:r w:rsidRPr="00D0684B">
              <w:rPr>
                <w:rFonts w:ascii="Times New Roman" w:hAnsi="Times New Roman" w:cs="Times New Roman"/>
                <w:b/>
                <w:sz w:val="18"/>
                <w:szCs w:val="18"/>
                <w:lang w:val="es-AR"/>
              </w:rPr>
              <w:t>DISCAPACIDAD Y DERECHOS HUMANOS</w:t>
            </w:r>
          </w:p>
        </w:tc>
        <w:tc>
          <w:tcPr>
            <w:tcW w:w="874" w:type="dxa"/>
          </w:tcPr>
          <w:p w:rsidR="00F71B0D" w:rsidRDefault="00F71B0D" w:rsidP="008C3049">
            <w:pPr>
              <w:spacing w:before="60" w:afterLines="60" w:line="240" w:lineRule="auto"/>
              <w:rPr>
                <w:rFonts w:ascii="Times New Roman" w:hAnsi="Times New Roman" w:cs="Times New Roman"/>
                <w:sz w:val="18"/>
                <w:szCs w:val="18"/>
                <w:lang w:val="es-AR"/>
              </w:rPr>
            </w:pPr>
          </w:p>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19</w:t>
            </w:r>
          </w:p>
        </w:tc>
      </w:tr>
      <w:tr w:rsidR="00F71B0D" w:rsidRPr="00C8220A" w:rsidTr="008C3049">
        <w:tc>
          <w:tcPr>
            <w:tcW w:w="6712" w:type="dxa"/>
          </w:tcPr>
          <w:p w:rsidR="00F71B0D" w:rsidRPr="00D0684B" w:rsidRDefault="00F71B0D" w:rsidP="008C3049">
            <w:pPr>
              <w:spacing w:before="60" w:afterLines="60" w:line="240" w:lineRule="auto"/>
              <w:jc w:val="center"/>
              <w:rPr>
                <w:rFonts w:ascii="Times New Roman" w:hAnsi="Times New Roman" w:cs="Times New Roman"/>
                <w:b/>
                <w:i/>
                <w:sz w:val="18"/>
                <w:szCs w:val="18"/>
                <w:lang w:val="es-AR"/>
              </w:rPr>
            </w:pPr>
            <w:r w:rsidRPr="00D0684B">
              <w:rPr>
                <w:rFonts w:ascii="Times New Roman" w:hAnsi="Times New Roman" w:cs="Times New Roman"/>
                <w:b/>
                <w:i/>
                <w:sz w:val="18"/>
                <w:szCs w:val="18"/>
                <w:lang w:val="es-AR"/>
              </w:rPr>
              <w:t>Capítulo 1</w:t>
            </w:r>
          </w:p>
          <w:p w:rsidR="00F71B0D" w:rsidRPr="00D0684B" w:rsidRDefault="00F71B0D" w:rsidP="008C3049">
            <w:pPr>
              <w:spacing w:before="60" w:afterLines="60" w:line="240" w:lineRule="auto"/>
              <w:jc w:val="center"/>
              <w:rPr>
                <w:rFonts w:ascii="Times New Roman" w:hAnsi="Times New Roman" w:cs="Times New Roman"/>
                <w:sz w:val="18"/>
                <w:szCs w:val="18"/>
                <w:lang w:val="es-AR"/>
              </w:rPr>
            </w:pPr>
            <w:r w:rsidRPr="00D0684B">
              <w:rPr>
                <w:rFonts w:ascii="Times New Roman" w:hAnsi="Times New Roman" w:cs="Times New Roman"/>
                <w:b/>
                <w:i/>
                <w:sz w:val="18"/>
                <w:szCs w:val="18"/>
                <w:lang w:val="es-AR"/>
              </w:rPr>
              <w:t>La Discapacidad con una Cuestión de Derechos Humanos</w:t>
            </w:r>
          </w:p>
        </w:tc>
        <w:tc>
          <w:tcPr>
            <w:tcW w:w="874" w:type="dxa"/>
          </w:tcPr>
          <w:p w:rsidR="00F71B0D" w:rsidRDefault="00F71B0D" w:rsidP="008C3049">
            <w:pPr>
              <w:spacing w:before="60" w:afterLines="60" w:line="240" w:lineRule="auto"/>
              <w:rPr>
                <w:rFonts w:ascii="Times New Roman" w:hAnsi="Times New Roman" w:cs="Times New Roman"/>
                <w:sz w:val="18"/>
                <w:szCs w:val="18"/>
                <w:lang w:val="es-AR"/>
              </w:rPr>
            </w:pPr>
          </w:p>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21</w:t>
            </w:r>
          </w:p>
        </w:tc>
      </w:tr>
      <w:tr w:rsidR="00F71B0D" w:rsidRPr="00D0684B" w:rsidTr="008C3049">
        <w:tc>
          <w:tcPr>
            <w:tcW w:w="6712" w:type="dxa"/>
          </w:tcPr>
          <w:p w:rsidR="00F71B0D" w:rsidRPr="00D0684B" w:rsidRDefault="00F71B0D" w:rsidP="008C3049">
            <w:pPr>
              <w:spacing w:before="60" w:afterLines="60" w:line="240" w:lineRule="auto"/>
              <w:rPr>
                <w:rFonts w:ascii="Times New Roman" w:hAnsi="Times New Roman" w:cs="Times New Roman"/>
                <w:sz w:val="18"/>
                <w:szCs w:val="18"/>
                <w:lang w:val="es-AR"/>
              </w:rPr>
            </w:pPr>
            <w:r w:rsidRPr="00D0684B">
              <w:rPr>
                <w:rFonts w:ascii="Times New Roman" w:hAnsi="Times New Roman" w:cs="Times New Roman"/>
                <w:sz w:val="18"/>
                <w:szCs w:val="18"/>
                <w:lang w:val="es-AR"/>
              </w:rPr>
              <w:t xml:space="preserve">1.1 – Introducción </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23</w:t>
            </w:r>
          </w:p>
        </w:tc>
      </w:tr>
      <w:tr w:rsidR="00F71B0D" w:rsidRPr="00C8220A" w:rsidTr="008C3049">
        <w:tc>
          <w:tcPr>
            <w:tcW w:w="6712" w:type="dxa"/>
          </w:tcPr>
          <w:p w:rsidR="00F71B0D" w:rsidRPr="00D0684B" w:rsidRDefault="00F71B0D" w:rsidP="008C3049">
            <w:pPr>
              <w:spacing w:before="60" w:afterLines="60" w:line="240" w:lineRule="auto"/>
              <w:rPr>
                <w:rFonts w:ascii="Times New Roman" w:hAnsi="Times New Roman" w:cs="Times New Roman"/>
                <w:sz w:val="18"/>
                <w:szCs w:val="18"/>
                <w:lang w:val="es-AR"/>
              </w:rPr>
            </w:pPr>
            <w:r w:rsidRPr="00D0684B">
              <w:rPr>
                <w:rFonts w:ascii="Times New Roman" w:hAnsi="Times New Roman" w:cs="Times New Roman"/>
                <w:sz w:val="18"/>
                <w:szCs w:val="18"/>
                <w:lang w:val="es-AR"/>
              </w:rPr>
              <w:t>1.2 – La ideología subyacente: Los modelos de tratamiento de la discapacidad</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24</w:t>
            </w:r>
          </w:p>
        </w:tc>
      </w:tr>
      <w:tr w:rsidR="00F71B0D" w:rsidRPr="00C8220A" w:rsidTr="008C3049">
        <w:tc>
          <w:tcPr>
            <w:tcW w:w="6712" w:type="dxa"/>
          </w:tcPr>
          <w:p w:rsidR="00F71B0D" w:rsidRPr="00D0684B" w:rsidRDefault="00F71B0D" w:rsidP="008C3049">
            <w:pPr>
              <w:spacing w:before="60" w:afterLines="60" w:line="240" w:lineRule="auto"/>
              <w:ind w:left="284"/>
              <w:rPr>
                <w:rFonts w:ascii="Times New Roman" w:hAnsi="Times New Roman" w:cs="Times New Roman"/>
                <w:sz w:val="18"/>
                <w:szCs w:val="18"/>
                <w:lang w:val="es-AR"/>
              </w:rPr>
            </w:pPr>
            <w:r w:rsidRPr="00D0684B">
              <w:rPr>
                <w:rFonts w:ascii="Times New Roman" w:hAnsi="Times New Roman" w:cs="Times New Roman"/>
                <w:sz w:val="18"/>
                <w:szCs w:val="18"/>
                <w:lang w:val="es-AR"/>
              </w:rPr>
              <w:t xml:space="preserve">1.2.1 – La discapacidad como consecuencia del castigo de los dioses: El modelo de prescindencia </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25</w:t>
            </w:r>
          </w:p>
        </w:tc>
      </w:tr>
      <w:tr w:rsidR="00F71B0D" w:rsidRPr="00C8220A" w:rsidTr="008C3049">
        <w:tc>
          <w:tcPr>
            <w:tcW w:w="6712" w:type="dxa"/>
          </w:tcPr>
          <w:p w:rsidR="00F71B0D" w:rsidRPr="00D0684B" w:rsidRDefault="00F71B0D" w:rsidP="008C3049">
            <w:pPr>
              <w:spacing w:before="60" w:afterLines="60" w:line="240" w:lineRule="auto"/>
              <w:ind w:left="284"/>
              <w:rPr>
                <w:rFonts w:ascii="Times New Roman" w:hAnsi="Times New Roman" w:cs="Times New Roman"/>
                <w:sz w:val="18"/>
                <w:szCs w:val="18"/>
                <w:lang w:val="es-AR"/>
              </w:rPr>
            </w:pPr>
            <w:r w:rsidRPr="00D0684B">
              <w:rPr>
                <w:rFonts w:ascii="Times New Roman" w:hAnsi="Times New Roman" w:cs="Times New Roman"/>
                <w:sz w:val="18"/>
                <w:szCs w:val="18"/>
                <w:lang w:val="es-AR"/>
              </w:rPr>
              <w:t xml:space="preserve">1.2.2 – La discapacidad como consecuencia de las limitaciones funcionales de la personas: El modelo médico o rehabilitador </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27</w:t>
            </w:r>
          </w:p>
        </w:tc>
      </w:tr>
      <w:tr w:rsidR="00F71B0D" w:rsidRPr="00C8220A" w:rsidTr="008C3049">
        <w:tc>
          <w:tcPr>
            <w:tcW w:w="6712" w:type="dxa"/>
          </w:tcPr>
          <w:p w:rsidR="00F71B0D" w:rsidRPr="00D0684B" w:rsidRDefault="00F71B0D" w:rsidP="008C3049">
            <w:pPr>
              <w:spacing w:before="60" w:afterLines="60" w:line="240" w:lineRule="auto"/>
              <w:ind w:left="284"/>
              <w:rPr>
                <w:rFonts w:ascii="Times New Roman" w:hAnsi="Times New Roman" w:cs="Times New Roman"/>
                <w:sz w:val="18"/>
                <w:szCs w:val="18"/>
                <w:lang w:val="es-AR"/>
              </w:rPr>
            </w:pPr>
            <w:r w:rsidRPr="00D0684B">
              <w:rPr>
                <w:rFonts w:ascii="Times New Roman" w:hAnsi="Times New Roman" w:cs="Times New Roman"/>
                <w:sz w:val="18"/>
                <w:szCs w:val="18"/>
                <w:lang w:val="es-AR"/>
              </w:rPr>
              <w:t>1.2.3 – La discapacidad como consecuencia de factores sociales: El modelo social</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31</w:t>
            </w:r>
          </w:p>
        </w:tc>
      </w:tr>
      <w:tr w:rsidR="00F71B0D" w:rsidRPr="00C8220A" w:rsidTr="008C3049">
        <w:tc>
          <w:tcPr>
            <w:tcW w:w="6712" w:type="dxa"/>
          </w:tcPr>
          <w:p w:rsidR="00F71B0D" w:rsidRPr="00D0684B" w:rsidRDefault="00F71B0D" w:rsidP="008C3049">
            <w:pPr>
              <w:spacing w:before="60" w:afterLines="60" w:line="240" w:lineRule="auto"/>
              <w:rPr>
                <w:rFonts w:ascii="Times New Roman" w:hAnsi="Times New Roman" w:cs="Times New Roman"/>
                <w:sz w:val="18"/>
                <w:szCs w:val="18"/>
                <w:lang w:val="es-AR"/>
              </w:rPr>
            </w:pPr>
            <w:r w:rsidRPr="00D0684B">
              <w:rPr>
                <w:rFonts w:ascii="Times New Roman" w:hAnsi="Times New Roman" w:cs="Times New Roman"/>
                <w:sz w:val="18"/>
                <w:szCs w:val="18"/>
                <w:lang w:val="es-AR"/>
              </w:rPr>
              <w:t>1.3 – Los valores que sustentan a los derechos humanos en el contexto de la discapacidad</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35</w:t>
            </w:r>
          </w:p>
        </w:tc>
      </w:tr>
      <w:tr w:rsidR="00F71B0D" w:rsidRPr="00D0684B" w:rsidTr="008C3049">
        <w:tc>
          <w:tcPr>
            <w:tcW w:w="6712" w:type="dxa"/>
          </w:tcPr>
          <w:p w:rsidR="00F71B0D" w:rsidRPr="00D0684B" w:rsidRDefault="00F71B0D" w:rsidP="008C3049">
            <w:pPr>
              <w:spacing w:before="60" w:afterLines="60" w:line="240" w:lineRule="auto"/>
              <w:ind w:left="284"/>
              <w:rPr>
                <w:rFonts w:ascii="Times New Roman" w:hAnsi="Times New Roman" w:cs="Times New Roman"/>
                <w:sz w:val="18"/>
                <w:szCs w:val="18"/>
                <w:lang w:val="es-AR"/>
              </w:rPr>
            </w:pPr>
            <w:r w:rsidRPr="00D0684B">
              <w:rPr>
                <w:rFonts w:ascii="Times New Roman" w:hAnsi="Times New Roman" w:cs="Times New Roman"/>
                <w:sz w:val="18"/>
                <w:szCs w:val="18"/>
                <w:lang w:val="es-AR"/>
              </w:rPr>
              <w:t>1.3.1 – La dignidad</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36</w:t>
            </w:r>
          </w:p>
        </w:tc>
      </w:tr>
      <w:tr w:rsidR="00F71B0D" w:rsidRPr="00D0684B" w:rsidTr="008C3049">
        <w:tc>
          <w:tcPr>
            <w:tcW w:w="6712" w:type="dxa"/>
          </w:tcPr>
          <w:p w:rsidR="00F71B0D" w:rsidRPr="00D0684B" w:rsidRDefault="00F71B0D" w:rsidP="008C3049">
            <w:pPr>
              <w:spacing w:before="60" w:afterLines="60" w:line="240" w:lineRule="auto"/>
              <w:ind w:left="284"/>
              <w:rPr>
                <w:rFonts w:ascii="Times New Roman" w:hAnsi="Times New Roman" w:cs="Times New Roman"/>
                <w:sz w:val="18"/>
                <w:szCs w:val="18"/>
                <w:lang w:val="es-AR"/>
              </w:rPr>
            </w:pPr>
            <w:r w:rsidRPr="00D0684B">
              <w:rPr>
                <w:rFonts w:ascii="Times New Roman" w:hAnsi="Times New Roman" w:cs="Times New Roman"/>
                <w:sz w:val="18"/>
                <w:szCs w:val="18"/>
                <w:lang w:val="es-AR"/>
              </w:rPr>
              <w:t>1.3.2 – La libertad</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39</w:t>
            </w:r>
          </w:p>
        </w:tc>
      </w:tr>
      <w:tr w:rsidR="00F71B0D" w:rsidRPr="00D0684B" w:rsidTr="008C3049">
        <w:tc>
          <w:tcPr>
            <w:tcW w:w="6712" w:type="dxa"/>
          </w:tcPr>
          <w:p w:rsidR="00F71B0D" w:rsidRPr="00D0684B" w:rsidRDefault="00F71B0D" w:rsidP="008C3049">
            <w:pPr>
              <w:spacing w:before="60" w:afterLines="60" w:line="240" w:lineRule="auto"/>
              <w:ind w:left="284"/>
              <w:rPr>
                <w:rFonts w:ascii="Times New Roman" w:hAnsi="Times New Roman" w:cs="Times New Roman"/>
                <w:sz w:val="18"/>
                <w:szCs w:val="18"/>
                <w:lang w:val="es-AR"/>
              </w:rPr>
            </w:pPr>
            <w:r w:rsidRPr="00D0684B">
              <w:rPr>
                <w:rFonts w:ascii="Times New Roman" w:hAnsi="Times New Roman" w:cs="Times New Roman"/>
                <w:sz w:val="18"/>
                <w:szCs w:val="18"/>
                <w:lang w:val="es-AR"/>
              </w:rPr>
              <w:t xml:space="preserve">1.3.3 – La igualdad </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43</w:t>
            </w:r>
          </w:p>
        </w:tc>
      </w:tr>
      <w:tr w:rsidR="00F71B0D" w:rsidRPr="00C8220A" w:rsidTr="008C3049">
        <w:tc>
          <w:tcPr>
            <w:tcW w:w="6712" w:type="dxa"/>
          </w:tcPr>
          <w:p w:rsidR="00F71B0D" w:rsidRPr="00D0684B" w:rsidRDefault="00F71B0D" w:rsidP="008C3049">
            <w:pPr>
              <w:spacing w:before="60" w:afterLines="60" w:line="240" w:lineRule="auto"/>
              <w:jc w:val="center"/>
              <w:rPr>
                <w:rFonts w:ascii="Times New Roman" w:hAnsi="Times New Roman" w:cs="Times New Roman"/>
                <w:b/>
                <w:i/>
                <w:sz w:val="18"/>
                <w:szCs w:val="18"/>
                <w:lang w:val="es-AR"/>
              </w:rPr>
            </w:pPr>
            <w:r w:rsidRPr="00D0684B">
              <w:rPr>
                <w:rFonts w:ascii="Times New Roman" w:hAnsi="Times New Roman" w:cs="Times New Roman"/>
                <w:b/>
                <w:i/>
                <w:sz w:val="18"/>
                <w:szCs w:val="18"/>
                <w:lang w:val="es-AR"/>
              </w:rPr>
              <w:t>Capítulo 2</w:t>
            </w:r>
          </w:p>
          <w:p w:rsidR="00F71B0D" w:rsidRPr="00D0684B" w:rsidRDefault="00F71B0D" w:rsidP="008C3049">
            <w:pPr>
              <w:spacing w:before="60" w:afterLines="60" w:line="240" w:lineRule="auto"/>
              <w:jc w:val="center"/>
              <w:rPr>
                <w:rFonts w:ascii="Times New Roman" w:hAnsi="Times New Roman" w:cs="Times New Roman"/>
                <w:sz w:val="18"/>
                <w:szCs w:val="18"/>
                <w:lang w:val="es-AR"/>
              </w:rPr>
            </w:pPr>
            <w:r w:rsidRPr="00D0684B">
              <w:rPr>
                <w:rFonts w:ascii="Times New Roman" w:hAnsi="Times New Roman" w:cs="Times New Roman"/>
                <w:b/>
                <w:i/>
                <w:sz w:val="18"/>
                <w:szCs w:val="18"/>
                <w:lang w:val="es-AR"/>
              </w:rPr>
              <w:t>La Evolución del Tratamiento de la Discapacidad en el Derecho Internacional: Del Modelo Médico al Modelo Social</w:t>
            </w:r>
          </w:p>
        </w:tc>
        <w:tc>
          <w:tcPr>
            <w:tcW w:w="874" w:type="dxa"/>
          </w:tcPr>
          <w:p w:rsidR="00F71B0D" w:rsidRDefault="00F71B0D" w:rsidP="008C3049">
            <w:pPr>
              <w:spacing w:before="60" w:afterLines="60" w:line="240" w:lineRule="auto"/>
              <w:rPr>
                <w:rFonts w:ascii="Times New Roman" w:hAnsi="Times New Roman" w:cs="Times New Roman"/>
                <w:sz w:val="18"/>
                <w:szCs w:val="18"/>
                <w:lang w:val="es-AR"/>
              </w:rPr>
            </w:pPr>
          </w:p>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49</w:t>
            </w:r>
          </w:p>
        </w:tc>
      </w:tr>
      <w:tr w:rsidR="00F71B0D" w:rsidRPr="00C8220A" w:rsidTr="008C3049">
        <w:tc>
          <w:tcPr>
            <w:tcW w:w="6712" w:type="dxa"/>
          </w:tcPr>
          <w:p w:rsidR="00F71B0D" w:rsidRPr="00D0684B" w:rsidRDefault="00F71B0D" w:rsidP="008C3049">
            <w:pPr>
              <w:spacing w:before="60" w:afterLines="60" w:line="240" w:lineRule="auto"/>
              <w:rPr>
                <w:rFonts w:ascii="Times New Roman" w:hAnsi="Times New Roman" w:cs="Times New Roman"/>
                <w:sz w:val="18"/>
                <w:szCs w:val="18"/>
                <w:lang w:val="es-AR"/>
              </w:rPr>
            </w:pPr>
            <w:r w:rsidRPr="00D0684B">
              <w:rPr>
                <w:rFonts w:ascii="Times New Roman" w:hAnsi="Times New Roman" w:cs="Times New Roman"/>
                <w:sz w:val="18"/>
                <w:szCs w:val="18"/>
                <w:lang w:val="es-AR"/>
              </w:rPr>
              <w:t>2.1 – Las primeras declaraciones: reflejo del modelo médico asistencialista</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51</w:t>
            </w:r>
          </w:p>
        </w:tc>
      </w:tr>
      <w:tr w:rsidR="00F71B0D" w:rsidRPr="00C8220A" w:rsidTr="008C3049">
        <w:tc>
          <w:tcPr>
            <w:tcW w:w="6712" w:type="dxa"/>
          </w:tcPr>
          <w:p w:rsidR="00F71B0D" w:rsidRPr="00D0684B" w:rsidRDefault="00F71B0D" w:rsidP="008C3049">
            <w:pPr>
              <w:spacing w:before="60" w:afterLines="60" w:line="240" w:lineRule="auto"/>
              <w:rPr>
                <w:rFonts w:ascii="Times New Roman" w:hAnsi="Times New Roman" w:cs="Times New Roman"/>
                <w:sz w:val="18"/>
                <w:szCs w:val="18"/>
                <w:lang w:val="es-AR"/>
              </w:rPr>
            </w:pPr>
            <w:r w:rsidRPr="00D0684B">
              <w:rPr>
                <w:rFonts w:ascii="Times New Roman" w:hAnsi="Times New Roman" w:cs="Times New Roman"/>
                <w:sz w:val="18"/>
                <w:szCs w:val="18"/>
                <w:lang w:val="es-AR"/>
              </w:rPr>
              <w:t>2.2 – La aparición del modelo de derechos en los años ochenta</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55</w:t>
            </w:r>
          </w:p>
        </w:tc>
      </w:tr>
      <w:tr w:rsidR="00F71B0D" w:rsidRPr="00C8220A" w:rsidTr="008C3049">
        <w:tc>
          <w:tcPr>
            <w:tcW w:w="6712" w:type="dxa"/>
          </w:tcPr>
          <w:p w:rsidR="00F71B0D" w:rsidRPr="00D0684B" w:rsidRDefault="00F71B0D" w:rsidP="008C3049">
            <w:pPr>
              <w:spacing w:before="60" w:afterLines="60" w:line="240" w:lineRule="auto"/>
              <w:rPr>
                <w:rFonts w:ascii="Times New Roman" w:hAnsi="Times New Roman" w:cs="Times New Roman"/>
                <w:sz w:val="18"/>
                <w:szCs w:val="18"/>
                <w:lang w:val="es-AR"/>
              </w:rPr>
            </w:pPr>
            <w:r w:rsidRPr="00D0684B">
              <w:rPr>
                <w:rFonts w:ascii="Times New Roman" w:hAnsi="Times New Roman" w:cs="Times New Roman"/>
                <w:sz w:val="18"/>
                <w:szCs w:val="18"/>
                <w:lang w:val="es-AR"/>
              </w:rPr>
              <w:t>2.3 – El gran paso hacia la perspectiva de los derechos humanos: la Normas Uniformes</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61</w:t>
            </w:r>
          </w:p>
        </w:tc>
      </w:tr>
      <w:tr w:rsidR="00F71B0D" w:rsidRPr="00C8220A" w:rsidTr="008C3049">
        <w:tc>
          <w:tcPr>
            <w:tcW w:w="6712" w:type="dxa"/>
          </w:tcPr>
          <w:p w:rsidR="00F71B0D" w:rsidRPr="00D0684B" w:rsidRDefault="00F71B0D" w:rsidP="008C3049">
            <w:pPr>
              <w:spacing w:before="60" w:afterLines="60" w:line="240" w:lineRule="auto"/>
              <w:rPr>
                <w:rFonts w:ascii="Times New Roman" w:hAnsi="Times New Roman" w:cs="Times New Roman"/>
                <w:sz w:val="18"/>
                <w:szCs w:val="18"/>
                <w:lang w:val="es-AR"/>
              </w:rPr>
            </w:pPr>
            <w:r w:rsidRPr="00D0684B">
              <w:rPr>
                <w:rFonts w:ascii="Times New Roman" w:hAnsi="Times New Roman" w:cs="Times New Roman"/>
                <w:sz w:val="18"/>
                <w:szCs w:val="18"/>
                <w:lang w:val="es-AR"/>
              </w:rPr>
              <w:t>2.4 – La protección de los derechos de las personas con discapacidad en los instrumentos internacionales de carácter vinculante</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70</w:t>
            </w:r>
          </w:p>
        </w:tc>
      </w:tr>
      <w:tr w:rsidR="00F71B0D" w:rsidRPr="00C8220A" w:rsidTr="008C3049">
        <w:tc>
          <w:tcPr>
            <w:tcW w:w="6712" w:type="dxa"/>
          </w:tcPr>
          <w:p w:rsidR="00F71B0D" w:rsidRPr="00D0684B" w:rsidRDefault="00F71B0D" w:rsidP="008C3049">
            <w:pPr>
              <w:spacing w:before="60" w:afterLines="60" w:line="240" w:lineRule="auto"/>
              <w:ind w:left="284"/>
              <w:rPr>
                <w:rFonts w:ascii="Times New Roman" w:hAnsi="Times New Roman" w:cs="Times New Roman"/>
                <w:sz w:val="18"/>
                <w:szCs w:val="18"/>
                <w:lang w:val="es-AR"/>
              </w:rPr>
            </w:pPr>
            <w:r w:rsidRPr="00D0684B">
              <w:rPr>
                <w:rFonts w:ascii="Times New Roman" w:hAnsi="Times New Roman" w:cs="Times New Roman"/>
                <w:sz w:val="18"/>
                <w:szCs w:val="18"/>
                <w:lang w:val="es-AR"/>
              </w:rPr>
              <w:t>2.4.1 – La Carta de la ONU</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72</w:t>
            </w:r>
          </w:p>
        </w:tc>
      </w:tr>
      <w:tr w:rsidR="00F71B0D" w:rsidRPr="00C8220A" w:rsidTr="008C3049">
        <w:tc>
          <w:tcPr>
            <w:tcW w:w="6712" w:type="dxa"/>
          </w:tcPr>
          <w:p w:rsidR="00F71B0D" w:rsidRPr="00D0684B" w:rsidRDefault="00F71B0D" w:rsidP="008C3049">
            <w:pPr>
              <w:spacing w:before="60" w:afterLines="60" w:line="240" w:lineRule="auto"/>
              <w:ind w:left="284"/>
              <w:rPr>
                <w:rFonts w:ascii="Times New Roman" w:hAnsi="Times New Roman" w:cs="Times New Roman"/>
                <w:sz w:val="18"/>
                <w:szCs w:val="18"/>
                <w:lang w:val="es-AR"/>
              </w:rPr>
            </w:pPr>
            <w:r w:rsidRPr="00D0684B">
              <w:rPr>
                <w:rFonts w:ascii="Times New Roman" w:hAnsi="Times New Roman" w:cs="Times New Roman"/>
                <w:sz w:val="18"/>
                <w:szCs w:val="18"/>
                <w:lang w:val="es-AR"/>
              </w:rPr>
              <w:t>2.4.2 – La Carta Internacional de los Derechos Humanos</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73</w:t>
            </w:r>
          </w:p>
        </w:tc>
      </w:tr>
      <w:tr w:rsidR="00F71B0D" w:rsidRPr="00C8220A" w:rsidTr="008C3049">
        <w:tc>
          <w:tcPr>
            <w:tcW w:w="6712" w:type="dxa"/>
          </w:tcPr>
          <w:p w:rsidR="00F71B0D" w:rsidRPr="00D0684B" w:rsidRDefault="00F71B0D" w:rsidP="008C3049">
            <w:pPr>
              <w:spacing w:before="60" w:afterLines="60" w:line="240" w:lineRule="auto"/>
              <w:ind w:left="567"/>
              <w:rPr>
                <w:rFonts w:ascii="Times New Roman" w:hAnsi="Times New Roman" w:cs="Times New Roman"/>
                <w:sz w:val="18"/>
                <w:szCs w:val="18"/>
                <w:lang w:val="es-AR"/>
              </w:rPr>
            </w:pPr>
            <w:r w:rsidRPr="00D0684B">
              <w:rPr>
                <w:rFonts w:ascii="Times New Roman" w:hAnsi="Times New Roman" w:cs="Times New Roman"/>
                <w:sz w:val="18"/>
                <w:szCs w:val="18"/>
                <w:lang w:val="es-AR"/>
              </w:rPr>
              <w:t>2.4.2.1 – La Declaración Universal de Derechos Humanos</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74</w:t>
            </w:r>
          </w:p>
        </w:tc>
      </w:tr>
      <w:tr w:rsidR="00F71B0D" w:rsidRPr="00C8220A" w:rsidTr="008C3049">
        <w:tc>
          <w:tcPr>
            <w:tcW w:w="6712" w:type="dxa"/>
          </w:tcPr>
          <w:p w:rsidR="00F71B0D" w:rsidRPr="00D0684B" w:rsidRDefault="00F71B0D" w:rsidP="008C3049">
            <w:pPr>
              <w:spacing w:before="60" w:afterLines="60" w:line="240" w:lineRule="auto"/>
              <w:ind w:left="567"/>
              <w:rPr>
                <w:rFonts w:ascii="Times New Roman" w:hAnsi="Times New Roman" w:cs="Times New Roman"/>
                <w:sz w:val="18"/>
                <w:szCs w:val="18"/>
                <w:lang w:val="es-AR"/>
              </w:rPr>
            </w:pPr>
            <w:r w:rsidRPr="00D0684B">
              <w:rPr>
                <w:rFonts w:ascii="Times New Roman" w:hAnsi="Times New Roman" w:cs="Times New Roman"/>
                <w:sz w:val="18"/>
                <w:szCs w:val="18"/>
                <w:lang w:val="es-AR"/>
              </w:rPr>
              <w:t>2.4.2.2 – El Pacto Internacional de Derechos Civiles y Políticos</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75</w:t>
            </w:r>
          </w:p>
        </w:tc>
      </w:tr>
      <w:tr w:rsidR="00F71B0D" w:rsidRPr="00C8220A" w:rsidTr="008C3049">
        <w:tc>
          <w:tcPr>
            <w:tcW w:w="6712" w:type="dxa"/>
          </w:tcPr>
          <w:p w:rsidR="00F71B0D" w:rsidRPr="00D0684B" w:rsidRDefault="00F71B0D" w:rsidP="008C3049">
            <w:pPr>
              <w:spacing w:before="60" w:afterLines="60" w:line="240" w:lineRule="auto"/>
              <w:ind w:left="567"/>
              <w:rPr>
                <w:rFonts w:ascii="Times New Roman" w:hAnsi="Times New Roman" w:cs="Times New Roman"/>
                <w:sz w:val="18"/>
                <w:szCs w:val="18"/>
                <w:lang w:val="es-AR"/>
              </w:rPr>
            </w:pPr>
            <w:r w:rsidRPr="00D0684B">
              <w:rPr>
                <w:rFonts w:ascii="Times New Roman" w:hAnsi="Times New Roman" w:cs="Times New Roman"/>
                <w:sz w:val="18"/>
                <w:szCs w:val="18"/>
                <w:lang w:val="es-AR"/>
              </w:rPr>
              <w:t>2.4.2.3 – El Pacto Internacional de Derechos Económicos Sociales y Culturales</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90</w:t>
            </w:r>
          </w:p>
        </w:tc>
      </w:tr>
      <w:tr w:rsidR="00F71B0D" w:rsidRPr="00C8220A" w:rsidTr="008C3049">
        <w:tc>
          <w:tcPr>
            <w:tcW w:w="6712" w:type="dxa"/>
          </w:tcPr>
          <w:p w:rsidR="00F71B0D" w:rsidRPr="00D0684B" w:rsidRDefault="00F71B0D" w:rsidP="008C3049">
            <w:pPr>
              <w:spacing w:before="60" w:afterLines="60" w:line="240" w:lineRule="auto"/>
              <w:ind w:left="284"/>
              <w:rPr>
                <w:rFonts w:ascii="Times New Roman" w:hAnsi="Times New Roman" w:cs="Times New Roman"/>
                <w:sz w:val="18"/>
                <w:szCs w:val="18"/>
                <w:lang w:val="es-AR"/>
              </w:rPr>
            </w:pPr>
            <w:r w:rsidRPr="00D0684B">
              <w:rPr>
                <w:rFonts w:ascii="Times New Roman" w:hAnsi="Times New Roman" w:cs="Times New Roman"/>
                <w:sz w:val="18"/>
                <w:szCs w:val="18"/>
                <w:lang w:val="es-AR"/>
              </w:rPr>
              <w:lastRenderedPageBreak/>
              <w:t>2.4.3 – Los tratados temáticos de derechos humanos</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112</w:t>
            </w:r>
          </w:p>
        </w:tc>
      </w:tr>
      <w:tr w:rsidR="00F71B0D" w:rsidRPr="00C8220A" w:rsidTr="008C3049">
        <w:tc>
          <w:tcPr>
            <w:tcW w:w="6712" w:type="dxa"/>
          </w:tcPr>
          <w:p w:rsidR="00F71B0D" w:rsidRPr="00D0684B" w:rsidRDefault="00F71B0D" w:rsidP="008C3049">
            <w:pPr>
              <w:spacing w:before="60" w:afterLines="60" w:line="240" w:lineRule="auto"/>
              <w:ind w:left="567"/>
              <w:rPr>
                <w:rFonts w:ascii="Times New Roman" w:hAnsi="Times New Roman" w:cs="Times New Roman"/>
                <w:sz w:val="18"/>
                <w:szCs w:val="18"/>
                <w:lang w:val="es-AR"/>
              </w:rPr>
            </w:pPr>
            <w:r w:rsidRPr="00D0684B">
              <w:rPr>
                <w:rFonts w:ascii="Times New Roman" w:hAnsi="Times New Roman" w:cs="Times New Roman"/>
                <w:sz w:val="18"/>
                <w:szCs w:val="18"/>
                <w:lang w:val="es-AR"/>
              </w:rPr>
              <w:t>2.4.3.1 – Convención contra la tortura y otros tratos crueles, inhumanos y degradantes</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113</w:t>
            </w:r>
          </w:p>
        </w:tc>
      </w:tr>
      <w:tr w:rsidR="00F71B0D" w:rsidRPr="00C8220A" w:rsidTr="008C3049">
        <w:tc>
          <w:tcPr>
            <w:tcW w:w="6712" w:type="dxa"/>
          </w:tcPr>
          <w:p w:rsidR="00F71B0D" w:rsidRPr="00D0684B" w:rsidRDefault="00F71B0D" w:rsidP="008C3049">
            <w:pPr>
              <w:spacing w:before="60" w:afterLines="60" w:line="240" w:lineRule="auto"/>
              <w:ind w:left="567"/>
              <w:rPr>
                <w:rFonts w:ascii="Times New Roman" w:hAnsi="Times New Roman" w:cs="Times New Roman"/>
                <w:sz w:val="18"/>
                <w:szCs w:val="18"/>
                <w:lang w:val="es-AR"/>
              </w:rPr>
            </w:pPr>
            <w:r w:rsidRPr="00D0684B">
              <w:rPr>
                <w:rFonts w:ascii="Times New Roman" w:hAnsi="Times New Roman" w:cs="Times New Roman"/>
                <w:sz w:val="18"/>
                <w:szCs w:val="18"/>
                <w:lang w:val="es-AR"/>
              </w:rPr>
              <w:t>2.4.3.2 – La Convención sobre la eliminación de todas las formas de discriminación contra la mujer</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125</w:t>
            </w:r>
          </w:p>
        </w:tc>
      </w:tr>
      <w:tr w:rsidR="00F71B0D" w:rsidRPr="00C8220A" w:rsidTr="008C3049">
        <w:tc>
          <w:tcPr>
            <w:tcW w:w="6712" w:type="dxa"/>
          </w:tcPr>
          <w:p w:rsidR="00F71B0D" w:rsidRPr="00D0684B" w:rsidRDefault="00F71B0D" w:rsidP="008C3049">
            <w:pPr>
              <w:spacing w:before="60" w:after="144" w:line="240" w:lineRule="auto"/>
              <w:ind w:left="567"/>
              <w:rPr>
                <w:rFonts w:ascii="Times New Roman" w:hAnsi="Times New Roman" w:cs="Times New Roman"/>
                <w:sz w:val="18"/>
                <w:szCs w:val="18"/>
                <w:lang w:val="es-AR"/>
              </w:rPr>
            </w:pPr>
            <w:r w:rsidRPr="00D0684B">
              <w:rPr>
                <w:rFonts w:ascii="Times New Roman" w:hAnsi="Times New Roman" w:cs="Times New Roman"/>
                <w:sz w:val="18"/>
                <w:szCs w:val="18"/>
                <w:lang w:val="es-AR"/>
              </w:rPr>
              <w:t>2.4.3.3 – La Convención sobre los derechos del niño</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134</w:t>
            </w:r>
          </w:p>
        </w:tc>
      </w:tr>
      <w:tr w:rsidR="00F71B0D" w:rsidRPr="00C8220A" w:rsidTr="008C3049">
        <w:tc>
          <w:tcPr>
            <w:tcW w:w="6712" w:type="dxa"/>
          </w:tcPr>
          <w:p w:rsidR="00F71B0D" w:rsidRPr="00D0684B" w:rsidRDefault="00F71B0D" w:rsidP="008C3049">
            <w:pPr>
              <w:spacing w:before="60" w:afterLines="60" w:line="240" w:lineRule="auto"/>
              <w:jc w:val="center"/>
              <w:rPr>
                <w:rFonts w:ascii="Times New Roman" w:hAnsi="Times New Roman" w:cs="Times New Roman"/>
                <w:b/>
                <w:i/>
                <w:sz w:val="18"/>
                <w:szCs w:val="18"/>
                <w:lang w:val="es-AR"/>
              </w:rPr>
            </w:pPr>
            <w:r w:rsidRPr="00D0684B">
              <w:rPr>
                <w:rFonts w:ascii="Times New Roman" w:hAnsi="Times New Roman" w:cs="Times New Roman"/>
                <w:b/>
                <w:i/>
                <w:sz w:val="18"/>
                <w:szCs w:val="18"/>
                <w:lang w:val="es-AR"/>
              </w:rPr>
              <w:t>Capítulo 3</w:t>
            </w:r>
          </w:p>
          <w:p w:rsidR="00F71B0D" w:rsidRPr="00D0684B" w:rsidRDefault="00F71B0D" w:rsidP="008C3049">
            <w:pPr>
              <w:spacing w:before="60" w:afterLines="60" w:line="240" w:lineRule="auto"/>
              <w:jc w:val="center"/>
              <w:rPr>
                <w:rFonts w:ascii="Times New Roman" w:hAnsi="Times New Roman" w:cs="Times New Roman"/>
                <w:b/>
                <w:i/>
                <w:sz w:val="18"/>
                <w:szCs w:val="18"/>
                <w:lang w:val="es-AR"/>
              </w:rPr>
            </w:pPr>
            <w:r w:rsidRPr="00D0684B">
              <w:rPr>
                <w:rFonts w:ascii="Times New Roman" w:hAnsi="Times New Roman" w:cs="Times New Roman"/>
                <w:b/>
                <w:i/>
                <w:sz w:val="18"/>
                <w:szCs w:val="18"/>
                <w:lang w:val="es-AR"/>
              </w:rPr>
              <w:t>La Convención Internacional sobre los Derechos de las Personas con Discapacidad</w:t>
            </w:r>
          </w:p>
        </w:tc>
        <w:tc>
          <w:tcPr>
            <w:tcW w:w="874" w:type="dxa"/>
          </w:tcPr>
          <w:p w:rsidR="00F71B0D" w:rsidRDefault="00F71B0D" w:rsidP="008C3049">
            <w:pPr>
              <w:spacing w:before="60" w:afterLines="60" w:line="240" w:lineRule="auto"/>
              <w:rPr>
                <w:rFonts w:ascii="Times New Roman" w:hAnsi="Times New Roman" w:cs="Times New Roman"/>
                <w:sz w:val="18"/>
                <w:szCs w:val="18"/>
                <w:lang w:val="es-AR"/>
              </w:rPr>
            </w:pPr>
          </w:p>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147</w:t>
            </w:r>
          </w:p>
        </w:tc>
      </w:tr>
      <w:tr w:rsidR="00F71B0D" w:rsidRPr="00D0684B" w:rsidTr="008C3049">
        <w:tc>
          <w:tcPr>
            <w:tcW w:w="6712" w:type="dxa"/>
          </w:tcPr>
          <w:p w:rsidR="00F71B0D" w:rsidRPr="00D0684B" w:rsidRDefault="00F71B0D" w:rsidP="008C3049">
            <w:pPr>
              <w:spacing w:before="60" w:afterLines="60" w:line="240" w:lineRule="auto"/>
              <w:rPr>
                <w:rFonts w:ascii="Times New Roman" w:hAnsi="Times New Roman" w:cs="Times New Roman"/>
                <w:sz w:val="18"/>
                <w:szCs w:val="18"/>
                <w:lang w:val="es-AR"/>
              </w:rPr>
            </w:pPr>
            <w:r w:rsidRPr="00D0684B">
              <w:rPr>
                <w:rFonts w:ascii="Times New Roman" w:hAnsi="Times New Roman" w:cs="Times New Roman"/>
                <w:sz w:val="18"/>
                <w:szCs w:val="18"/>
                <w:lang w:val="es-AR"/>
              </w:rPr>
              <w:t>3.1 Introducción</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149</w:t>
            </w:r>
          </w:p>
        </w:tc>
      </w:tr>
      <w:tr w:rsidR="00F71B0D" w:rsidRPr="00C8220A" w:rsidTr="008C3049">
        <w:tc>
          <w:tcPr>
            <w:tcW w:w="6712" w:type="dxa"/>
          </w:tcPr>
          <w:p w:rsidR="00F71B0D" w:rsidRPr="00D0684B" w:rsidRDefault="00F71B0D" w:rsidP="008C3049">
            <w:pPr>
              <w:spacing w:before="60" w:afterLines="60" w:line="240" w:lineRule="auto"/>
              <w:rPr>
                <w:rFonts w:ascii="Times New Roman" w:hAnsi="Times New Roman" w:cs="Times New Roman"/>
                <w:sz w:val="18"/>
                <w:szCs w:val="18"/>
                <w:lang w:val="es-AR"/>
              </w:rPr>
            </w:pPr>
            <w:r w:rsidRPr="00D0684B">
              <w:rPr>
                <w:rFonts w:ascii="Times New Roman" w:hAnsi="Times New Roman" w:cs="Times New Roman"/>
                <w:sz w:val="18"/>
                <w:szCs w:val="18"/>
                <w:lang w:val="es-AR"/>
              </w:rPr>
              <w:t>3.2 La participación de las propias personas con discapacidad: “Nada para nosotros sin nosotros”</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150</w:t>
            </w:r>
          </w:p>
        </w:tc>
      </w:tr>
      <w:tr w:rsidR="00F71B0D" w:rsidRPr="00C8220A" w:rsidTr="008C3049">
        <w:tc>
          <w:tcPr>
            <w:tcW w:w="6712" w:type="dxa"/>
          </w:tcPr>
          <w:p w:rsidR="00F71B0D" w:rsidRPr="00D0684B" w:rsidRDefault="00F71B0D" w:rsidP="008C3049">
            <w:pPr>
              <w:spacing w:before="60" w:afterLines="60" w:line="240" w:lineRule="auto"/>
              <w:rPr>
                <w:rFonts w:ascii="Times New Roman" w:hAnsi="Times New Roman" w:cs="Times New Roman"/>
                <w:sz w:val="18"/>
                <w:szCs w:val="18"/>
                <w:lang w:val="es-AR"/>
              </w:rPr>
            </w:pPr>
            <w:r w:rsidRPr="00D0684B">
              <w:rPr>
                <w:rFonts w:ascii="Times New Roman" w:hAnsi="Times New Roman" w:cs="Times New Roman"/>
                <w:sz w:val="18"/>
                <w:szCs w:val="18"/>
                <w:lang w:val="es-AR"/>
              </w:rPr>
              <w:t>3.3 El concepto de discapacidad y de persona con discapacidad: la consolidación del modelo social</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153</w:t>
            </w:r>
          </w:p>
        </w:tc>
      </w:tr>
      <w:tr w:rsidR="00F71B0D" w:rsidRPr="00C8220A" w:rsidTr="008C3049">
        <w:tc>
          <w:tcPr>
            <w:tcW w:w="6712" w:type="dxa"/>
          </w:tcPr>
          <w:p w:rsidR="00F71B0D" w:rsidRPr="00D0684B" w:rsidRDefault="00F71B0D" w:rsidP="008C3049">
            <w:pPr>
              <w:spacing w:before="60" w:afterLines="60" w:line="240" w:lineRule="auto"/>
              <w:rPr>
                <w:rFonts w:ascii="Times New Roman" w:hAnsi="Times New Roman" w:cs="Times New Roman"/>
                <w:sz w:val="18"/>
                <w:szCs w:val="18"/>
                <w:lang w:val="es-AR"/>
              </w:rPr>
            </w:pPr>
            <w:r w:rsidRPr="00D0684B">
              <w:rPr>
                <w:rFonts w:ascii="Times New Roman" w:hAnsi="Times New Roman" w:cs="Times New Roman"/>
                <w:sz w:val="18"/>
                <w:szCs w:val="18"/>
                <w:lang w:val="es-AR"/>
              </w:rPr>
              <w:t>3.4 El propósito de la Convención: La Igualdad y la no discriminación como columna vertebral del tratado</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163</w:t>
            </w:r>
          </w:p>
        </w:tc>
      </w:tr>
      <w:tr w:rsidR="00F71B0D" w:rsidRPr="00C8220A" w:rsidTr="008C3049">
        <w:tc>
          <w:tcPr>
            <w:tcW w:w="6712" w:type="dxa"/>
          </w:tcPr>
          <w:p w:rsidR="00F71B0D" w:rsidRPr="00D0684B" w:rsidRDefault="00F71B0D" w:rsidP="008C3049">
            <w:pPr>
              <w:spacing w:before="60" w:after="144" w:line="240" w:lineRule="auto"/>
              <w:ind w:left="284"/>
              <w:rPr>
                <w:rFonts w:ascii="Times New Roman" w:hAnsi="Times New Roman" w:cs="Times New Roman"/>
                <w:sz w:val="18"/>
                <w:szCs w:val="18"/>
                <w:lang w:val="es-AR"/>
              </w:rPr>
            </w:pPr>
            <w:r w:rsidRPr="00D0684B">
              <w:rPr>
                <w:rFonts w:ascii="Times New Roman" w:hAnsi="Times New Roman" w:cs="Times New Roman"/>
                <w:sz w:val="18"/>
                <w:szCs w:val="18"/>
                <w:lang w:val="es-AR"/>
              </w:rPr>
              <w:t>3.4.1 Las múltiples perspectivas del principio general de igualdad y no discriminación</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166</w:t>
            </w:r>
          </w:p>
        </w:tc>
      </w:tr>
      <w:tr w:rsidR="00F71B0D" w:rsidRPr="00C8220A" w:rsidTr="008C3049">
        <w:tc>
          <w:tcPr>
            <w:tcW w:w="6712" w:type="dxa"/>
          </w:tcPr>
          <w:p w:rsidR="00F71B0D" w:rsidRPr="00D0684B" w:rsidRDefault="00F71B0D" w:rsidP="008C3049">
            <w:pPr>
              <w:spacing w:before="60" w:after="144" w:line="240" w:lineRule="auto"/>
              <w:ind w:left="567"/>
              <w:rPr>
                <w:rFonts w:ascii="Times New Roman" w:hAnsi="Times New Roman" w:cs="Times New Roman"/>
                <w:sz w:val="18"/>
                <w:szCs w:val="18"/>
                <w:lang w:val="es-AR"/>
              </w:rPr>
            </w:pPr>
            <w:r w:rsidRPr="00D0684B">
              <w:rPr>
                <w:rFonts w:ascii="Times New Roman" w:hAnsi="Times New Roman" w:cs="Times New Roman"/>
                <w:sz w:val="18"/>
                <w:szCs w:val="18"/>
                <w:lang w:val="es-AR"/>
              </w:rPr>
              <w:t>3.4.1.1 Igualdad como propósito del instrumento</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166</w:t>
            </w:r>
          </w:p>
        </w:tc>
      </w:tr>
      <w:tr w:rsidR="00F71B0D" w:rsidRPr="00C8220A" w:rsidTr="008C3049">
        <w:tc>
          <w:tcPr>
            <w:tcW w:w="6712" w:type="dxa"/>
          </w:tcPr>
          <w:p w:rsidR="00F71B0D" w:rsidRPr="00D0684B" w:rsidRDefault="00F71B0D" w:rsidP="008C3049">
            <w:pPr>
              <w:spacing w:before="60" w:after="144" w:line="240" w:lineRule="auto"/>
              <w:ind w:left="567"/>
              <w:rPr>
                <w:rFonts w:ascii="Times New Roman" w:hAnsi="Times New Roman" w:cs="Times New Roman"/>
                <w:sz w:val="18"/>
                <w:szCs w:val="18"/>
                <w:lang w:val="es-AR"/>
              </w:rPr>
            </w:pPr>
            <w:r w:rsidRPr="00D0684B">
              <w:rPr>
                <w:rFonts w:ascii="Times New Roman" w:hAnsi="Times New Roman" w:cs="Times New Roman"/>
                <w:sz w:val="18"/>
                <w:szCs w:val="18"/>
                <w:lang w:val="es-AR"/>
              </w:rPr>
              <w:t>3.4.1.2 Igualdad como principio y como valor</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167</w:t>
            </w:r>
          </w:p>
        </w:tc>
      </w:tr>
      <w:tr w:rsidR="00F71B0D" w:rsidRPr="00D0684B" w:rsidTr="008C3049">
        <w:tc>
          <w:tcPr>
            <w:tcW w:w="6712" w:type="dxa"/>
          </w:tcPr>
          <w:p w:rsidR="00F71B0D" w:rsidRPr="00D0684B" w:rsidRDefault="00F71B0D" w:rsidP="008C3049">
            <w:pPr>
              <w:spacing w:before="60" w:after="144" w:line="240" w:lineRule="auto"/>
              <w:ind w:left="567"/>
              <w:rPr>
                <w:rFonts w:ascii="Times New Roman" w:hAnsi="Times New Roman" w:cs="Times New Roman"/>
                <w:sz w:val="18"/>
                <w:szCs w:val="18"/>
                <w:lang w:val="es-AR"/>
              </w:rPr>
            </w:pPr>
            <w:r w:rsidRPr="00D0684B">
              <w:rPr>
                <w:rFonts w:ascii="Times New Roman" w:hAnsi="Times New Roman" w:cs="Times New Roman"/>
                <w:sz w:val="18"/>
                <w:szCs w:val="18"/>
                <w:lang w:val="es-AR"/>
              </w:rPr>
              <w:t>3.4.1.3 Igualdad como obligación</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167</w:t>
            </w:r>
          </w:p>
        </w:tc>
      </w:tr>
      <w:tr w:rsidR="00F71B0D" w:rsidRPr="00D0684B" w:rsidTr="008C3049">
        <w:tc>
          <w:tcPr>
            <w:tcW w:w="6712" w:type="dxa"/>
          </w:tcPr>
          <w:p w:rsidR="00F71B0D" w:rsidRPr="00D0684B" w:rsidRDefault="00F71B0D" w:rsidP="008C3049">
            <w:pPr>
              <w:spacing w:before="60" w:after="144" w:line="240" w:lineRule="auto"/>
              <w:ind w:left="567"/>
              <w:rPr>
                <w:rFonts w:ascii="Times New Roman" w:hAnsi="Times New Roman" w:cs="Times New Roman"/>
                <w:sz w:val="18"/>
                <w:szCs w:val="18"/>
                <w:lang w:val="es-AR"/>
              </w:rPr>
            </w:pPr>
            <w:r w:rsidRPr="00D0684B">
              <w:rPr>
                <w:rFonts w:ascii="Times New Roman" w:hAnsi="Times New Roman" w:cs="Times New Roman"/>
                <w:sz w:val="18"/>
                <w:szCs w:val="18"/>
                <w:lang w:val="es-AR"/>
              </w:rPr>
              <w:t>3.4.1.4 Igualdad como derecho</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168</w:t>
            </w:r>
          </w:p>
        </w:tc>
      </w:tr>
      <w:tr w:rsidR="00F71B0D" w:rsidRPr="00D0684B" w:rsidTr="008C3049">
        <w:tc>
          <w:tcPr>
            <w:tcW w:w="6712" w:type="dxa"/>
          </w:tcPr>
          <w:p w:rsidR="00F71B0D" w:rsidRPr="00D0684B" w:rsidRDefault="00F71B0D" w:rsidP="008C3049">
            <w:pPr>
              <w:spacing w:before="60" w:after="144" w:line="240" w:lineRule="auto"/>
              <w:ind w:left="567"/>
              <w:rPr>
                <w:rFonts w:ascii="Times New Roman" w:hAnsi="Times New Roman" w:cs="Times New Roman"/>
                <w:sz w:val="18"/>
                <w:szCs w:val="18"/>
                <w:lang w:val="es-AR"/>
              </w:rPr>
            </w:pPr>
            <w:r w:rsidRPr="00D0684B">
              <w:rPr>
                <w:rFonts w:ascii="Times New Roman" w:hAnsi="Times New Roman" w:cs="Times New Roman"/>
                <w:sz w:val="18"/>
                <w:szCs w:val="18"/>
                <w:lang w:val="es-AR"/>
              </w:rPr>
              <w:t>3.4.1.5 Igualdad como garantía</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169</w:t>
            </w:r>
          </w:p>
        </w:tc>
      </w:tr>
      <w:tr w:rsidR="00F71B0D" w:rsidRPr="00C8220A" w:rsidTr="008C3049">
        <w:tc>
          <w:tcPr>
            <w:tcW w:w="6712" w:type="dxa"/>
          </w:tcPr>
          <w:p w:rsidR="00F71B0D" w:rsidRPr="00D0684B" w:rsidRDefault="00F71B0D" w:rsidP="008C3049">
            <w:pPr>
              <w:spacing w:before="60" w:after="144" w:line="240" w:lineRule="auto"/>
              <w:ind w:left="284"/>
              <w:rPr>
                <w:rFonts w:ascii="Times New Roman" w:hAnsi="Times New Roman" w:cs="Times New Roman"/>
                <w:sz w:val="18"/>
                <w:szCs w:val="18"/>
                <w:lang w:val="es-AR"/>
              </w:rPr>
            </w:pPr>
            <w:r w:rsidRPr="00D0684B">
              <w:rPr>
                <w:rFonts w:ascii="Times New Roman" w:hAnsi="Times New Roman" w:cs="Times New Roman"/>
                <w:sz w:val="18"/>
                <w:szCs w:val="18"/>
                <w:lang w:val="es-AR"/>
              </w:rPr>
              <w:t>3.4.2. La garantía de no-discriminación por motivo de discapacidad: ¿una herramienta efectiva para promover un cambio real?</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169</w:t>
            </w:r>
          </w:p>
        </w:tc>
      </w:tr>
      <w:tr w:rsidR="00F71B0D" w:rsidRPr="00C8220A" w:rsidTr="008C3049">
        <w:tc>
          <w:tcPr>
            <w:tcW w:w="6712" w:type="dxa"/>
          </w:tcPr>
          <w:p w:rsidR="00F71B0D" w:rsidRPr="00D0684B" w:rsidRDefault="00F71B0D" w:rsidP="008C3049">
            <w:pPr>
              <w:spacing w:before="60" w:after="144" w:line="240" w:lineRule="auto"/>
              <w:ind w:left="567"/>
              <w:rPr>
                <w:rFonts w:ascii="Times New Roman" w:hAnsi="Times New Roman" w:cs="Times New Roman"/>
                <w:sz w:val="18"/>
                <w:szCs w:val="18"/>
                <w:lang w:val="es-AR"/>
              </w:rPr>
            </w:pPr>
            <w:r w:rsidRPr="00D0684B">
              <w:rPr>
                <w:rFonts w:ascii="Times New Roman" w:hAnsi="Times New Roman" w:cs="Times New Roman"/>
                <w:sz w:val="18"/>
                <w:szCs w:val="18"/>
                <w:lang w:val="es-AR"/>
              </w:rPr>
              <w:t>3.4.2.1 Se centra en el resultado discriminatorio y no en la voluntad de la persona</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170</w:t>
            </w:r>
          </w:p>
        </w:tc>
      </w:tr>
      <w:tr w:rsidR="00F71B0D" w:rsidRPr="00C8220A" w:rsidTr="008C3049">
        <w:tc>
          <w:tcPr>
            <w:tcW w:w="6712" w:type="dxa"/>
          </w:tcPr>
          <w:p w:rsidR="00F71B0D" w:rsidRPr="00D0684B" w:rsidRDefault="00F71B0D" w:rsidP="008C3049">
            <w:pPr>
              <w:spacing w:before="60" w:after="144" w:line="240" w:lineRule="auto"/>
              <w:ind w:left="567"/>
              <w:rPr>
                <w:rFonts w:ascii="Times New Roman" w:hAnsi="Times New Roman" w:cs="Times New Roman"/>
                <w:sz w:val="18"/>
                <w:szCs w:val="18"/>
                <w:lang w:val="es-AR"/>
              </w:rPr>
            </w:pPr>
            <w:r w:rsidRPr="00D0684B">
              <w:rPr>
                <w:rFonts w:ascii="Times New Roman" w:hAnsi="Times New Roman" w:cs="Times New Roman"/>
                <w:sz w:val="18"/>
                <w:szCs w:val="18"/>
                <w:lang w:val="es-AR"/>
              </w:rPr>
              <w:t>3.4.2.2 Abarca todo tipo de discriminación</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171</w:t>
            </w:r>
          </w:p>
        </w:tc>
      </w:tr>
      <w:tr w:rsidR="00F71B0D" w:rsidRPr="00C8220A" w:rsidTr="008C3049">
        <w:tc>
          <w:tcPr>
            <w:tcW w:w="6712" w:type="dxa"/>
          </w:tcPr>
          <w:p w:rsidR="00F71B0D" w:rsidRPr="00D0684B" w:rsidRDefault="00F71B0D" w:rsidP="008C3049">
            <w:pPr>
              <w:spacing w:before="60" w:after="144" w:line="240" w:lineRule="auto"/>
              <w:ind w:left="567"/>
              <w:rPr>
                <w:rFonts w:ascii="Times New Roman" w:hAnsi="Times New Roman" w:cs="Times New Roman"/>
                <w:sz w:val="18"/>
                <w:szCs w:val="18"/>
                <w:lang w:val="es-AR"/>
              </w:rPr>
            </w:pPr>
            <w:r w:rsidRPr="00D0684B">
              <w:rPr>
                <w:rFonts w:ascii="Times New Roman" w:hAnsi="Times New Roman" w:cs="Times New Roman"/>
                <w:sz w:val="18"/>
                <w:szCs w:val="18"/>
                <w:lang w:val="es-AR"/>
              </w:rPr>
              <w:t>3.4.2.3 Comprende la discriminación no solo a la persona con discapacidad, sino “por motivo de discapacidad”</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171</w:t>
            </w:r>
          </w:p>
        </w:tc>
      </w:tr>
      <w:tr w:rsidR="00F71B0D" w:rsidRPr="00C8220A" w:rsidTr="008C3049">
        <w:tc>
          <w:tcPr>
            <w:tcW w:w="6712" w:type="dxa"/>
          </w:tcPr>
          <w:p w:rsidR="00F71B0D" w:rsidRPr="00D0684B" w:rsidRDefault="00F71B0D" w:rsidP="008C3049">
            <w:pPr>
              <w:spacing w:before="60" w:after="144" w:line="240" w:lineRule="auto"/>
              <w:ind w:left="567"/>
              <w:rPr>
                <w:rFonts w:ascii="Times New Roman" w:hAnsi="Times New Roman" w:cs="Times New Roman"/>
                <w:sz w:val="18"/>
                <w:szCs w:val="18"/>
                <w:lang w:val="es-AR"/>
              </w:rPr>
            </w:pPr>
            <w:r w:rsidRPr="00D0684B">
              <w:rPr>
                <w:rFonts w:ascii="Times New Roman" w:hAnsi="Times New Roman" w:cs="Times New Roman"/>
                <w:sz w:val="18"/>
                <w:szCs w:val="18"/>
                <w:lang w:val="es-AR"/>
              </w:rPr>
              <w:t>3.4.2.4 Reconoce que la denegación de ajustes razonables es un tipo de discriminación</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173</w:t>
            </w:r>
          </w:p>
        </w:tc>
      </w:tr>
      <w:tr w:rsidR="00F71B0D" w:rsidRPr="00C8220A" w:rsidTr="008C3049">
        <w:tc>
          <w:tcPr>
            <w:tcW w:w="6712" w:type="dxa"/>
          </w:tcPr>
          <w:p w:rsidR="00F71B0D" w:rsidRPr="00D0684B" w:rsidRDefault="00F71B0D" w:rsidP="008C3049">
            <w:pPr>
              <w:spacing w:before="60" w:after="144" w:line="240" w:lineRule="auto"/>
              <w:ind w:left="567"/>
              <w:rPr>
                <w:rFonts w:ascii="Times New Roman" w:hAnsi="Times New Roman" w:cs="Times New Roman"/>
                <w:sz w:val="18"/>
                <w:szCs w:val="18"/>
                <w:lang w:val="es-AR"/>
              </w:rPr>
            </w:pPr>
            <w:r w:rsidRPr="00D0684B">
              <w:rPr>
                <w:rFonts w:ascii="Times New Roman" w:hAnsi="Times New Roman" w:cs="Times New Roman"/>
                <w:sz w:val="18"/>
                <w:szCs w:val="18"/>
                <w:lang w:val="es-AR"/>
              </w:rPr>
              <w:t>3.4.2.5 La no discriminación exige una especificidad para su efectiva aplicación</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176</w:t>
            </w:r>
          </w:p>
        </w:tc>
      </w:tr>
      <w:tr w:rsidR="00F71B0D" w:rsidRPr="00D0684B" w:rsidTr="008C3049">
        <w:tc>
          <w:tcPr>
            <w:tcW w:w="6712" w:type="dxa"/>
          </w:tcPr>
          <w:p w:rsidR="00F71B0D" w:rsidRPr="00D0684B" w:rsidRDefault="00F71B0D" w:rsidP="008C3049">
            <w:pPr>
              <w:spacing w:before="60" w:afterLines="60" w:line="240" w:lineRule="auto"/>
              <w:rPr>
                <w:rFonts w:ascii="Times New Roman" w:hAnsi="Times New Roman" w:cs="Times New Roman"/>
                <w:sz w:val="18"/>
                <w:szCs w:val="18"/>
                <w:lang w:val="es-AR"/>
              </w:rPr>
            </w:pPr>
            <w:r w:rsidRPr="00D0684B">
              <w:rPr>
                <w:rFonts w:ascii="Times New Roman" w:hAnsi="Times New Roman" w:cs="Times New Roman"/>
                <w:sz w:val="18"/>
                <w:szCs w:val="18"/>
                <w:lang w:val="es-AR"/>
              </w:rPr>
              <w:t>3.5 Los principios generales</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177</w:t>
            </w:r>
          </w:p>
        </w:tc>
      </w:tr>
      <w:tr w:rsidR="00F71B0D" w:rsidRPr="00D0684B" w:rsidTr="008C3049">
        <w:tc>
          <w:tcPr>
            <w:tcW w:w="6712" w:type="dxa"/>
          </w:tcPr>
          <w:p w:rsidR="00F71B0D" w:rsidRPr="00D0684B" w:rsidRDefault="00F71B0D" w:rsidP="008C3049">
            <w:pPr>
              <w:spacing w:before="60" w:afterLines="60" w:line="240" w:lineRule="auto"/>
              <w:rPr>
                <w:rFonts w:ascii="Times New Roman" w:hAnsi="Times New Roman" w:cs="Times New Roman"/>
                <w:sz w:val="18"/>
                <w:szCs w:val="18"/>
                <w:lang w:val="es-AR"/>
              </w:rPr>
            </w:pPr>
            <w:r w:rsidRPr="00D0684B">
              <w:rPr>
                <w:rFonts w:ascii="Times New Roman" w:hAnsi="Times New Roman" w:cs="Times New Roman"/>
                <w:sz w:val="18"/>
                <w:szCs w:val="18"/>
                <w:lang w:val="es-AR"/>
              </w:rPr>
              <w:t>3.6 Obligaciones generales y transversales</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180</w:t>
            </w:r>
          </w:p>
        </w:tc>
      </w:tr>
      <w:tr w:rsidR="00F71B0D" w:rsidRPr="00D0684B" w:rsidTr="008C3049">
        <w:tc>
          <w:tcPr>
            <w:tcW w:w="6712" w:type="dxa"/>
          </w:tcPr>
          <w:p w:rsidR="00F71B0D" w:rsidRPr="00D0684B" w:rsidRDefault="00F71B0D" w:rsidP="008C3049">
            <w:pPr>
              <w:spacing w:before="60" w:after="144" w:line="240" w:lineRule="auto"/>
              <w:ind w:left="284"/>
              <w:rPr>
                <w:rFonts w:ascii="Times New Roman" w:hAnsi="Times New Roman" w:cs="Times New Roman"/>
                <w:caps/>
                <w:sz w:val="18"/>
                <w:szCs w:val="18"/>
                <w:lang w:val="es-AR"/>
              </w:rPr>
            </w:pPr>
            <w:r w:rsidRPr="00D0684B">
              <w:rPr>
                <w:rFonts w:ascii="Times New Roman" w:hAnsi="Times New Roman" w:cs="Times New Roman"/>
                <w:sz w:val="18"/>
                <w:szCs w:val="18"/>
                <w:lang w:val="es-AR"/>
              </w:rPr>
              <w:t>3.6.1 Obligaciones generales</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180</w:t>
            </w:r>
          </w:p>
        </w:tc>
      </w:tr>
      <w:tr w:rsidR="00F71B0D" w:rsidRPr="00D0684B" w:rsidTr="008C3049">
        <w:tc>
          <w:tcPr>
            <w:tcW w:w="6712" w:type="dxa"/>
          </w:tcPr>
          <w:p w:rsidR="00F71B0D" w:rsidRPr="00D0684B" w:rsidRDefault="00F71B0D" w:rsidP="008C3049">
            <w:pPr>
              <w:spacing w:before="60" w:after="144" w:line="240" w:lineRule="auto"/>
              <w:ind w:left="284"/>
              <w:rPr>
                <w:rFonts w:ascii="Times New Roman" w:hAnsi="Times New Roman" w:cs="Times New Roman"/>
                <w:caps/>
                <w:sz w:val="18"/>
                <w:szCs w:val="18"/>
                <w:lang w:val="es-AR"/>
              </w:rPr>
            </w:pPr>
            <w:r w:rsidRPr="00D0684B">
              <w:rPr>
                <w:rFonts w:ascii="Times New Roman" w:hAnsi="Times New Roman" w:cs="Times New Roman"/>
                <w:sz w:val="18"/>
                <w:szCs w:val="18"/>
                <w:lang w:val="es-AR"/>
              </w:rPr>
              <w:t>3.6.2 Obligaciones transversales</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192</w:t>
            </w:r>
          </w:p>
        </w:tc>
      </w:tr>
      <w:tr w:rsidR="00F71B0D" w:rsidRPr="00D0684B" w:rsidTr="008C3049">
        <w:tc>
          <w:tcPr>
            <w:tcW w:w="6712" w:type="dxa"/>
          </w:tcPr>
          <w:p w:rsidR="00F71B0D" w:rsidRPr="00D0684B" w:rsidRDefault="00F71B0D" w:rsidP="008C3049">
            <w:pPr>
              <w:spacing w:before="60" w:after="144" w:line="240" w:lineRule="auto"/>
              <w:ind w:left="567"/>
              <w:rPr>
                <w:rFonts w:ascii="Times New Roman" w:hAnsi="Times New Roman" w:cs="Times New Roman"/>
                <w:sz w:val="18"/>
                <w:szCs w:val="18"/>
                <w:lang w:val="es-AR"/>
              </w:rPr>
            </w:pPr>
            <w:r w:rsidRPr="00D0684B">
              <w:rPr>
                <w:rFonts w:ascii="Times New Roman" w:hAnsi="Times New Roman" w:cs="Times New Roman"/>
                <w:sz w:val="18"/>
                <w:szCs w:val="18"/>
                <w:lang w:val="es-AR"/>
              </w:rPr>
              <w:t>3.6.2.1 Género y discapacidad</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194</w:t>
            </w:r>
          </w:p>
        </w:tc>
      </w:tr>
      <w:tr w:rsidR="00F71B0D" w:rsidRPr="00D0684B" w:rsidTr="008C3049">
        <w:tc>
          <w:tcPr>
            <w:tcW w:w="6712" w:type="dxa"/>
          </w:tcPr>
          <w:p w:rsidR="00F71B0D" w:rsidRPr="00D0684B" w:rsidRDefault="00F71B0D" w:rsidP="008C3049">
            <w:pPr>
              <w:spacing w:before="60" w:after="144" w:line="240" w:lineRule="auto"/>
              <w:ind w:left="567"/>
              <w:rPr>
                <w:rFonts w:ascii="Times New Roman" w:hAnsi="Times New Roman" w:cs="Times New Roman"/>
                <w:sz w:val="18"/>
                <w:szCs w:val="18"/>
                <w:lang w:val="es-AR"/>
              </w:rPr>
            </w:pPr>
            <w:r w:rsidRPr="00D0684B">
              <w:rPr>
                <w:rFonts w:ascii="Times New Roman" w:hAnsi="Times New Roman" w:cs="Times New Roman"/>
                <w:sz w:val="18"/>
                <w:szCs w:val="18"/>
                <w:lang w:val="es-AR"/>
              </w:rPr>
              <w:lastRenderedPageBreak/>
              <w:t>3.6.2.2 Niñez y discapacidad</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198</w:t>
            </w:r>
          </w:p>
        </w:tc>
      </w:tr>
      <w:tr w:rsidR="00F71B0D" w:rsidRPr="00D0684B" w:rsidTr="008C3049">
        <w:tc>
          <w:tcPr>
            <w:tcW w:w="6712" w:type="dxa"/>
          </w:tcPr>
          <w:p w:rsidR="00F71B0D" w:rsidRPr="00D0684B" w:rsidRDefault="00F71B0D" w:rsidP="008C3049">
            <w:pPr>
              <w:spacing w:before="60" w:after="144" w:line="240" w:lineRule="auto"/>
              <w:ind w:left="567"/>
              <w:rPr>
                <w:rFonts w:ascii="Times New Roman" w:hAnsi="Times New Roman" w:cs="Times New Roman"/>
                <w:sz w:val="18"/>
                <w:szCs w:val="18"/>
                <w:lang w:val="es-AR"/>
              </w:rPr>
            </w:pPr>
            <w:r w:rsidRPr="00D0684B">
              <w:rPr>
                <w:rFonts w:ascii="Times New Roman" w:hAnsi="Times New Roman" w:cs="Times New Roman"/>
                <w:sz w:val="18"/>
                <w:szCs w:val="18"/>
                <w:lang w:val="es-AR"/>
              </w:rPr>
              <w:t>3.6.2.3 Toma de conciencia</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202</w:t>
            </w:r>
          </w:p>
        </w:tc>
      </w:tr>
      <w:tr w:rsidR="00F71B0D" w:rsidRPr="00D0684B" w:rsidTr="008C3049">
        <w:tc>
          <w:tcPr>
            <w:tcW w:w="6712" w:type="dxa"/>
          </w:tcPr>
          <w:p w:rsidR="00F71B0D" w:rsidRPr="00D0684B" w:rsidRDefault="00F71B0D" w:rsidP="008C3049">
            <w:pPr>
              <w:spacing w:before="60" w:after="144" w:line="240" w:lineRule="auto"/>
              <w:ind w:left="567"/>
              <w:rPr>
                <w:rFonts w:ascii="Times New Roman" w:hAnsi="Times New Roman" w:cs="Times New Roman"/>
                <w:sz w:val="18"/>
                <w:szCs w:val="18"/>
                <w:lang w:val="es-AR"/>
              </w:rPr>
            </w:pPr>
            <w:r w:rsidRPr="00D0684B">
              <w:rPr>
                <w:rFonts w:ascii="Times New Roman" w:hAnsi="Times New Roman" w:cs="Times New Roman"/>
                <w:sz w:val="18"/>
                <w:szCs w:val="18"/>
                <w:lang w:val="es-AR"/>
              </w:rPr>
              <w:t>3.6.2.4 Accesibilidad y discapacidad</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204</w:t>
            </w:r>
          </w:p>
        </w:tc>
      </w:tr>
      <w:tr w:rsidR="00F71B0D" w:rsidRPr="00C8220A" w:rsidTr="008C3049">
        <w:tc>
          <w:tcPr>
            <w:tcW w:w="6712" w:type="dxa"/>
          </w:tcPr>
          <w:p w:rsidR="00F71B0D" w:rsidRPr="00D0684B" w:rsidRDefault="00F71B0D" w:rsidP="008C3049">
            <w:pPr>
              <w:spacing w:before="60" w:afterLines="60" w:line="240" w:lineRule="auto"/>
              <w:rPr>
                <w:rFonts w:ascii="Times New Roman" w:hAnsi="Times New Roman" w:cs="Times New Roman"/>
                <w:sz w:val="18"/>
                <w:szCs w:val="18"/>
                <w:lang w:val="es-AR"/>
              </w:rPr>
            </w:pPr>
            <w:r w:rsidRPr="00D0684B">
              <w:rPr>
                <w:rFonts w:ascii="Times New Roman" w:hAnsi="Times New Roman" w:cs="Times New Roman"/>
                <w:sz w:val="18"/>
                <w:szCs w:val="18"/>
                <w:lang w:val="es-AR"/>
              </w:rPr>
              <w:t>3.7 las obligaciones específicas: Los derechos sustantivos y las medidas necesarias</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208</w:t>
            </w:r>
          </w:p>
        </w:tc>
      </w:tr>
      <w:tr w:rsidR="00F71B0D" w:rsidRPr="00C8220A" w:rsidTr="008C3049">
        <w:tc>
          <w:tcPr>
            <w:tcW w:w="6712" w:type="dxa"/>
          </w:tcPr>
          <w:p w:rsidR="00F71B0D" w:rsidRPr="00D0684B" w:rsidRDefault="00F71B0D" w:rsidP="008C3049">
            <w:pPr>
              <w:spacing w:before="60" w:after="144" w:line="240" w:lineRule="auto"/>
              <w:ind w:left="284"/>
              <w:rPr>
                <w:rFonts w:ascii="Times New Roman" w:eastAsia="Calibri" w:hAnsi="Times New Roman" w:cs="Times New Roman"/>
                <w:caps/>
                <w:sz w:val="18"/>
                <w:szCs w:val="18"/>
                <w:lang w:val="es-AR"/>
              </w:rPr>
            </w:pPr>
            <w:r w:rsidRPr="00D0684B">
              <w:rPr>
                <w:rFonts w:ascii="Times New Roman" w:eastAsia="Calibri" w:hAnsi="Times New Roman" w:cs="Times New Roman"/>
                <w:sz w:val="18"/>
                <w:szCs w:val="18"/>
                <w:lang w:val="es-AR"/>
              </w:rPr>
              <w:t>3.7.1 El respeto por la vida de las personas con discapacidad</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208</w:t>
            </w:r>
          </w:p>
        </w:tc>
      </w:tr>
      <w:tr w:rsidR="00F71B0D" w:rsidRPr="00C8220A" w:rsidTr="008C3049">
        <w:tc>
          <w:tcPr>
            <w:tcW w:w="6712" w:type="dxa"/>
          </w:tcPr>
          <w:p w:rsidR="00F71B0D" w:rsidRPr="00D0684B" w:rsidRDefault="00F71B0D" w:rsidP="008C3049">
            <w:pPr>
              <w:spacing w:before="60" w:after="144" w:line="240" w:lineRule="auto"/>
              <w:ind w:left="284"/>
              <w:rPr>
                <w:rFonts w:ascii="Times New Roman" w:hAnsi="Times New Roman" w:cs="Times New Roman"/>
                <w:caps/>
                <w:sz w:val="18"/>
                <w:szCs w:val="18"/>
                <w:lang w:val="es-AR"/>
              </w:rPr>
            </w:pPr>
            <w:r w:rsidRPr="00D0684B">
              <w:rPr>
                <w:rFonts w:ascii="Times New Roman" w:hAnsi="Times New Roman" w:cs="Times New Roman"/>
                <w:sz w:val="18"/>
                <w:szCs w:val="18"/>
                <w:lang w:val="es-AR"/>
              </w:rPr>
              <w:t>3.7.2 Igual ante la ley y acceso efectivo a la justicia por parte de las personas con discapacidad</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216</w:t>
            </w:r>
          </w:p>
        </w:tc>
      </w:tr>
      <w:tr w:rsidR="00F71B0D" w:rsidRPr="00C8220A" w:rsidTr="008C3049">
        <w:tc>
          <w:tcPr>
            <w:tcW w:w="6712" w:type="dxa"/>
          </w:tcPr>
          <w:p w:rsidR="00F71B0D" w:rsidRPr="00D0684B" w:rsidRDefault="00F71B0D" w:rsidP="008C3049">
            <w:pPr>
              <w:spacing w:before="60" w:after="144" w:line="240" w:lineRule="auto"/>
              <w:ind w:left="284"/>
              <w:rPr>
                <w:rFonts w:ascii="Times New Roman" w:hAnsi="Times New Roman" w:cs="Times New Roman"/>
                <w:sz w:val="18"/>
                <w:szCs w:val="18"/>
                <w:lang w:val="es-AR"/>
              </w:rPr>
            </w:pPr>
            <w:r w:rsidRPr="00D0684B">
              <w:rPr>
                <w:rFonts w:ascii="Times New Roman" w:hAnsi="Times New Roman" w:cs="Times New Roman"/>
                <w:sz w:val="18"/>
                <w:szCs w:val="18"/>
                <w:lang w:val="es-AR"/>
              </w:rPr>
              <w:t>3.7.3 Las múltiples dimensiones del derecho a la libertad de las personas con discapacidad</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221</w:t>
            </w:r>
          </w:p>
        </w:tc>
      </w:tr>
      <w:tr w:rsidR="00F71B0D" w:rsidRPr="00C8220A" w:rsidTr="008C3049">
        <w:tc>
          <w:tcPr>
            <w:tcW w:w="6712" w:type="dxa"/>
          </w:tcPr>
          <w:p w:rsidR="00F71B0D" w:rsidRPr="00D0684B" w:rsidRDefault="00F71B0D" w:rsidP="008C3049">
            <w:pPr>
              <w:spacing w:before="60" w:after="144" w:line="240" w:lineRule="auto"/>
              <w:ind w:left="284"/>
              <w:rPr>
                <w:rFonts w:ascii="Times New Roman" w:hAnsi="Times New Roman" w:cs="Times New Roman"/>
                <w:caps/>
                <w:sz w:val="18"/>
                <w:szCs w:val="18"/>
                <w:lang w:val="es-AR"/>
              </w:rPr>
            </w:pPr>
            <w:r w:rsidRPr="00D0684B">
              <w:rPr>
                <w:rFonts w:ascii="Times New Roman" w:hAnsi="Times New Roman" w:cs="Times New Roman"/>
                <w:sz w:val="18"/>
                <w:szCs w:val="18"/>
                <w:lang w:val="es-AR"/>
              </w:rPr>
              <w:t>3.7.4 Protección de la integridad personal</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231</w:t>
            </w:r>
          </w:p>
        </w:tc>
      </w:tr>
      <w:tr w:rsidR="00F71B0D" w:rsidRPr="00C8220A" w:rsidTr="008C3049">
        <w:tc>
          <w:tcPr>
            <w:tcW w:w="6712" w:type="dxa"/>
          </w:tcPr>
          <w:p w:rsidR="00F71B0D" w:rsidRPr="00D0684B" w:rsidRDefault="00F71B0D" w:rsidP="008C3049">
            <w:pPr>
              <w:spacing w:before="60" w:after="144" w:line="240" w:lineRule="auto"/>
              <w:ind w:left="284"/>
              <w:rPr>
                <w:rFonts w:ascii="Times New Roman" w:eastAsia="Calibri" w:hAnsi="Times New Roman" w:cs="Times New Roman"/>
                <w:caps/>
                <w:sz w:val="18"/>
                <w:szCs w:val="18"/>
                <w:lang w:val="es-AR"/>
              </w:rPr>
            </w:pPr>
            <w:r w:rsidRPr="00D0684B">
              <w:rPr>
                <w:rFonts w:ascii="Times New Roman" w:eastAsia="Calibri" w:hAnsi="Times New Roman" w:cs="Times New Roman"/>
                <w:sz w:val="18"/>
                <w:szCs w:val="18"/>
                <w:lang w:val="es-AR"/>
              </w:rPr>
              <w:t xml:space="preserve">3.7.5 Respeto por la privacidad y la familia </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238</w:t>
            </w:r>
          </w:p>
        </w:tc>
      </w:tr>
      <w:tr w:rsidR="00F71B0D" w:rsidRPr="00C8220A" w:rsidTr="008C3049">
        <w:tc>
          <w:tcPr>
            <w:tcW w:w="6712" w:type="dxa"/>
          </w:tcPr>
          <w:p w:rsidR="00F71B0D" w:rsidRPr="00D0684B" w:rsidRDefault="00F71B0D" w:rsidP="008C3049">
            <w:pPr>
              <w:spacing w:before="60" w:after="144" w:line="240" w:lineRule="auto"/>
              <w:ind w:left="284"/>
              <w:rPr>
                <w:rFonts w:ascii="Times New Roman" w:hAnsi="Times New Roman" w:cs="Times New Roman"/>
                <w:sz w:val="18"/>
                <w:szCs w:val="18"/>
                <w:lang w:val="es-AR"/>
              </w:rPr>
            </w:pPr>
            <w:r w:rsidRPr="00D0684B">
              <w:rPr>
                <w:rFonts w:ascii="Times New Roman" w:hAnsi="Times New Roman" w:cs="Times New Roman"/>
                <w:sz w:val="18"/>
                <w:szCs w:val="18"/>
                <w:lang w:val="es-AR"/>
              </w:rPr>
              <w:t xml:space="preserve">3.7.6 Participación en la vida pública y social  </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244</w:t>
            </w:r>
          </w:p>
        </w:tc>
      </w:tr>
      <w:tr w:rsidR="00F71B0D" w:rsidRPr="00C8220A" w:rsidTr="008C3049">
        <w:tc>
          <w:tcPr>
            <w:tcW w:w="6712" w:type="dxa"/>
          </w:tcPr>
          <w:p w:rsidR="00F71B0D" w:rsidRPr="00D0684B" w:rsidRDefault="00F71B0D" w:rsidP="008C3049">
            <w:pPr>
              <w:spacing w:before="60" w:after="144" w:line="240" w:lineRule="auto"/>
              <w:ind w:left="284"/>
              <w:rPr>
                <w:rFonts w:ascii="Times New Roman" w:eastAsia="Calibri" w:hAnsi="Times New Roman" w:cs="Times New Roman"/>
                <w:caps/>
                <w:sz w:val="18"/>
                <w:szCs w:val="18"/>
                <w:lang w:val="es-AR"/>
              </w:rPr>
            </w:pPr>
            <w:r w:rsidRPr="00D0684B">
              <w:rPr>
                <w:rFonts w:ascii="Times New Roman" w:eastAsia="Calibri" w:hAnsi="Times New Roman" w:cs="Times New Roman"/>
                <w:sz w:val="18"/>
                <w:szCs w:val="18"/>
                <w:lang w:val="es-AR"/>
              </w:rPr>
              <w:t xml:space="preserve">3.7.7 Vida independiente y con dignidad </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251</w:t>
            </w:r>
          </w:p>
        </w:tc>
      </w:tr>
      <w:tr w:rsidR="00F71B0D" w:rsidRPr="00D0684B" w:rsidTr="008C3049">
        <w:tc>
          <w:tcPr>
            <w:tcW w:w="6712" w:type="dxa"/>
          </w:tcPr>
          <w:p w:rsidR="00F71B0D" w:rsidRPr="00D0684B" w:rsidRDefault="00F71B0D" w:rsidP="008C3049">
            <w:pPr>
              <w:spacing w:before="60" w:after="144" w:line="240" w:lineRule="auto"/>
              <w:ind w:left="284"/>
              <w:rPr>
                <w:rFonts w:ascii="Times New Roman" w:eastAsia="Calibri" w:hAnsi="Times New Roman" w:cs="Times New Roman"/>
                <w:caps/>
                <w:sz w:val="18"/>
                <w:szCs w:val="18"/>
                <w:lang w:val="es-AR"/>
              </w:rPr>
            </w:pPr>
            <w:r w:rsidRPr="00D0684B">
              <w:rPr>
                <w:rFonts w:ascii="Times New Roman" w:eastAsia="Calibri" w:hAnsi="Times New Roman" w:cs="Times New Roman"/>
                <w:sz w:val="18"/>
                <w:szCs w:val="18"/>
                <w:lang w:val="es-AR"/>
              </w:rPr>
              <w:t xml:space="preserve">3.7.8 Derechos sociales básicos </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259</w:t>
            </w:r>
          </w:p>
        </w:tc>
      </w:tr>
      <w:tr w:rsidR="00F71B0D" w:rsidRPr="00C8220A" w:rsidTr="008C3049">
        <w:tc>
          <w:tcPr>
            <w:tcW w:w="6712" w:type="dxa"/>
          </w:tcPr>
          <w:p w:rsidR="00F71B0D" w:rsidRPr="00D0684B" w:rsidRDefault="00F71B0D" w:rsidP="008C3049">
            <w:pPr>
              <w:spacing w:before="60" w:afterLines="60" w:line="240" w:lineRule="auto"/>
              <w:rPr>
                <w:rFonts w:ascii="Times New Roman" w:hAnsi="Times New Roman" w:cs="Times New Roman"/>
                <w:sz w:val="18"/>
                <w:szCs w:val="18"/>
                <w:lang w:val="es-AR"/>
              </w:rPr>
            </w:pPr>
            <w:r w:rsidRPr="00D0684B">
              <w:rPr>
                <w:rFonts w:ascii="Times New Roman" w:hAnsi="Times New Roman" w:cs="Times New Roman"/>
                <w:sz w:val="18"/>
                <w:szCs w:val="18"/>
                <w:lang w:val="es-AR"/>
              </w:rPr>
              <w:t>3.8 Las clausulas de garantía de aplicación y seguimiento de la CDPD</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267</w:t>
            </w:r>
          </w:p>
        </w:tc>
      </w:tr>
      <w:tr w:rsidR="00F71B0D" w:rsidRPr="00C8220A" w:rsidTr="008C3049">
        <w:tc>
          <w:tcPr>
            <w:tcW w:w="6712" w:type="dxa"/>
          </w:tcPr>
          <w:p w:rsidR="00F71B0D" w:rsidRPr="00D0684B" w:rsidRDefault="00F71B0D" w:rsidP="008C3049">
            <w:pPr>
              <w:spacing w:before="60" w:after="144" w:line="240" w:lineRule="auto"/>
              <w:ind w:left="284"/>
              <w:rPr>
                <w:rFonts w:ascii="Times New Roman" w:hAnsi="Times New Roman" w:cs="Times New Roman"/>
                <w:caps/>
                <w:sz w:val="18"/>
                <w:szCs w:val="18"/>
                <w:lang w:val="es-AR"/>
              </w:rPr>
            </w:pPr>
            <w:r w:rsidRPr="00D0684B">
              <w:rPr>
                <w:rFonts w:ascii="Times New Roman" w:hAnsi="Times New Roman" w:cs="Times New Roman"/>
                <w:sz w:val="18"/>
                <w:szCs w:val="18"/>
                <w:lang w:val="es-AR"/>
              </w:rPr>
              <w:t>3.8.1 Recopilación de datos y estadísticas sobre discapacidad</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268</w:t>
            </w:r>
          </w:p>
        </w:tc>
      </w:tr>
      <w:tr w:rsidR="00F71B0D" w:rsidRPr="00D0684B" w:rsidTr="008C3049">
        <w:tc>
          <w:tcPr>
            <w:tcW w:w="6712" w:type="dxa"/>
          </w:tcPr>
          <w:p w:rsidR="00F71B0D" w:rsidRPr="00D0684B" w:rsidRDefault="00F71B0D" w:rsidP="008C3049">
            <w:pPr>
              <w:spacing w:before="60" w:after="144" w:line="240" w:lineRule="auto"/>
              <w:ind w:left="284"/>
              <w:rPr>
                <w:rFonts w:ascii="Times New Roman" w:hAnsi="Times New Roman" w:cs="Times New Roman"/>
                <w:caps/>
                <w:sz w:val="18"/>
                <w:szCs w:val="18"/>
                <w:lang w:val="es-AR"/>
              </w:rPr>
            </w:pPr>
            <w:r w:rsidRPr="00D0684B">
              <w:rPr>
                <w:rFonts w:ascii="Times New Roman" w:hAnsi="Times New Roman" w:cs="Times New Roman"/>
                <w:sz w:val="18"/>
                <w:szCs w:val="18"/>
                <w:lang w:val="es-AR"/>
              </w:rPr>
              <w:t>3.8.2 Cooperación internacional</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275</w:t>
            </w:r>
          </w:p>
        </w:tc>
      </w:tr>
      <w:tr w:rsidR="00F71B0D" w:rsidRPr="00D0684B" w:rsidTr="008C3049">
        <w:tc>
          <w:tcPr>
            <w:tcW w:w="6712" w:type="dxa"/>
          </w:tcPr>
          <w:p w:rsidR="00F71B0D" w:rsidRPr="00D0684B" w:rsidRDefault="00F71B0D" w:rsidP="008C3049">
            <w:pPr>
              <w:spacing w:before="60" w:after="144" w:line="240" w:lineRule="auto"/>
              <w:ind w:left="284"/>
              <w:rPr>
                <w:rFonts w:ascii="Times New Roman" w:hAnsi="Times New Roman" w:cs="Times New Roman"/>
                <w:caps/>
                <w:sz w:val="18"/>
                <w:szCs w:val="18"/>
                <w:lang w:val="es-AR"/>
              </w:rPr>
            </w:pPr>
            <w:r w:rsidRPr="00D0684B">
              <w:rPr>
                <w:rFonts w:ascii="Times New Roman" w:hAnsi="Times New Roman" w:cs="Times New Roman"/>
                <w:sz w:val="18"/>
                <w:szCs w:val="18"/>
                <w:lang w:val="es-AR"/>
              </w:rPr>
              <w:t>3.8.3 Aplicación y seguimiento nacionales</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279</w:t>
            </w:r>
          </w:p>
        </w:tc>
      </w:tr>
      <w:tr w:rsidR="00F71B0D" w:rsidRPr="00C8220A" w:rsidTr="008C3049">
        <w:tc>
          <w:tcPr>
            <w:tcW w:w="6712" w:type="dxa"/>
          </w:tcPr>
          <w:p w:rsidR="00F71B0D" w:rsidRPr="00D0684B" w:rsidRDefault="00F71B0D" w:rsidP="008C3049">
            <w:pPr>
              <w:spacing w:before="60" w:after="144" w:line="240" w:lineRule="auto"/>
              <w:ind w:left="284"/>
              <w:rPr>
                <w:rFonts w:ascii="Times New Roman" w:hAnsi="Times New Roman" w:cs="Times New Roman"/>
                <w:caps/>
                <w:sz w:val="18"/>
                <w:szCs w:val="18"/>
                <w:lang w:val="es-AR"/>
              </w:rPr>
            </w:pPr>
            <w:r w:rsidRPr="00D0684B">
              <w:rPr>
                <w:rFonts w:ascii="Times New Roman" w:hAnsi="Times New Roman" w:cs="Times New Roman"/>
                <w:sz w:val="18"/>
                <w:szCs w:val="18"/>
                <w:lang w:val="es-AR"/>
              </w:rPr>
              <w:t>3.8.4 El seguimiento internacional: El Comité de la CDPD</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288</w:t>
            </w:r>
          </w:p>
        </w:tc>
      </w:tr>
      <w:tr w:rsidR="00F71B0D" w:rsidRPr="00C8220A" w:rsidTr="008C3049">
        <w:tc>
          <w:tcPr>
            <w:tcW w:w="6712" w:type="dxa"/>
          </w:tcPr>
          <w:p w:rsidR="00F71B0D" w:rsidRPr="00D0684B" w:rsidRDefault="00F71B0D" w:rsidP="008C3049">
            <w:pPr>
              <w:spacing w:before="60" w:after="144" w:line="240" w:lineRule="auto"/>
              <w:ind w:left="284"/>
              <w:rPr>
                <w:rFonts w:ascii="Times New Roman" w:eastAsia="Calibri" w:hAnsi="Times New Roman" w:cs="Times New Roman"/>
                <w:caps/>
                <w:sz w:val="18"/>
                <w:szCs w:val="18"/>
                <w:lang w:val="es-AR"/>
              </w:rPr>
            </w:pPr>
            <w:r w:rsidRPr="00D0684B">
              <w:rPr>
                <w:rFonts w:ascii="Times New Roman" w:eastAsia="Calibri" w:hAnsi="Times New Roman" w:cs="Times New Roman"/>
                <w:sz w:val="18"/>
                <w:szCs w:val="18"/>
                <w:lang w:val="es-AR"/>
              </w:rPr>
              <w:t>3.8.5 La Conferencia de Estados Partes</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295</w:t>
            </w:r>
          </w:p>
        </w:tc>
      </w:tr>
      <w:tr w:rsidR="00F71B0D" w:rsidRPr="00C8220A" w:rsidTr="008C3049">
        <w:tc>
          <w:tcPr>
            <w:tcW w:w="6712" w:type="dxa"/>
          </w:tcPr>
          <w:p w:rsidR="00F71B0D" w:rsidRPr="00D0684B" w:rsidRDefault="00F71B0D" w:rsidP="008C3049">
            <w:pPr>
              <w:spacing w:before="60" w:afterLines="60" w:line="240" w:lineRule="auto"/>
              <w:jc w:val="center"/>
              <w:rPr>
                <w:rFonts w:ascii="Times New Roman" w:hAnsi="Times New Roman" w:cs="Times New Roman"/>
                <w:b/>
                <w:sz w:val="18"/>
                <w:szCs w:val="18"/>
                <w:lang w:val="es-AR"/>
              </w:rPr>
            </w:pPr>
            <w:r w:rsidRPr="00D0684B">
              <w:rPr>
                <w:rFonts w:ascii="Times New Roman" w:hAnsi="Times New Roman" w:cs="Times New Roman"/>
                <w:b/>
                <w:sz w:val="18"/>
                <w:szCs w:val="18"/>
                <w:lang w:val="es-AR"/>
              </w:rPr>
              <w:t>PARTE II</w:t>
            </w:r>
          </w:p>
          <w:p w:rsidR="00F71B0D" w:rsidRPr="00D0684B" w:rsidRDefault="00F71B0D" w:rsidP="008C3049">
            <w:pPr>
              <w:spacing w:before="60" w:afterLines="60" w:line="240" w:lineRule="auto"/>
              <w:jc w:val="center"/>
              <w:rPr>
                <w:rFonts w:ascii="Times New Roman" w:hAnsi="Times New Roman" w:cs="Times New Roman"/>
                <w:sz w:val="18"/>
                <w:szCs w:val="18"/>
                <w:lang w:val="es-AR"/>
              </w:rPr>
            </w:pPr>
            <w:r w:rsidRPr="00D0684B">
              <w:rPr>
                <w:rFonts w:ascii="Times New Roman" w:hAnsi="Times New Roman" w:cs="Times New Roman"/>
                <w:b/>
                <w:sz w:val="18"/>
                <w:szCs w:val="18"/>
                <w:lang w:val="es-AR"/>
              </w:rPr>
              <w:t>CAPACIDAD JURÍDICA Y DERECHOS HUMANOS</w:t>
            </w:r>
          </w:p>
        </w:tc>
        <w:tc>
          <w:tcPr>
            <w:tcW w:w="874" w:type="dxa"/>
          </w:tcPr>
          <w:p w:rsidR="00F71B0D" w:rsidRDefault="00F71B0D" w:rsidP="008C3049">
            <w:pPr>
              <w:spacing w:before="60" w:afterLines="60" w:line="240" w:lineRule="auto"/>
              <w:rPr>
                <w:rFonts w:ascii="Times New Roman" w:hAnsi="Times New Roman" w:cs="Times New Roman"/>
                <w:sz w:val="18"/>
                <w:szCs w:val="18"/>
                <w:lang w:val="es-AR"/>
              </w:rPr>
            </w:pPr>
          </w:p>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299</w:t>
            </w:r>
          </w:p>
        </w:tc>
      </w:tr>
      <w:tr w:rsidR="00F71B0D" w:rsidRPr="00C8220A" w:rsidTr="008C3049">
        <w:tc>
          <w:tcPr>
            <w:tcW w:w="6712" w:type="dxa"/>
          </w:tcPr>
          <w:p w:rsidR="00F71B0D" w:rsidRPr="00D0684B" w:rsidRDefault="00F71B0D" w:rsidP="008C3049">
            <w:pPr>
              <w:spacing w:before="60" w:afterLines="60" w:line="240" w:lineRule="auto"/>
              <w:jc w:val="center"/>
              <w:rPr>
                <w:rFonts w:ascii="Times New Roman" w:hAnsi="Times New Roman" w:cs="Times New Roman"/>
                <w:b/>
                <w:i/>
                <w:sz w:val="18"/>
                <w:szCs w:val="18"/>
                <w:lang w:val="es-AR"/>
              </w:rPr>
            </w:pPr>
            <w:r w:rsidRPr="00D0684B">
              <w:rPr>
                <w:rFonts w:ascii="Times New Roman" w:hAnsi="Times New Roman" w:cs="Times New Roman"/>
                <w:b/>
                <w:i/>
                <w:sz w:val="18"/>
                <w:szCs w:val="18"/>
                <w:lang w:val="es-AR"/>
              </w:rPr>
              <w:t>Capítulo 4</w:t>
            </w:r>
          </w:p>
          <w:p w:rsidR="00F71B0D" w:rsidRPr="00D0684B" w:rsidRDefault="00F71B0D" w:rsidP="008C3049">
            <w:pPr>
              <w:spacing w:before="60" w:afterLines="60" w:line="240" w:lineRule="auto"/>
              <w:jc w:val="center"/>
              <w:rPr>
                <w:rFonts w:ascii="Times New Roman" w:hAnsi="Times New Roman" w:cs="Times New Roman"/>
                <w:sz w:val="18"/>
                <w:szCs w:val="18"/>
                <w:lang w:val="es-AR"/>
              </w:rPr>
            </w:pPr>
            <w:r w:rsidRPr="00D0684B">
              <w:rPr>
                <w:rFonts w:ascii="Times New Roman" w:hAnsi="Times New Roman" w:cs="Times New Roman"/>
                <w:b/>
                <w:i/>
                <w:sz w:val="18"/>
                <w:szCs w:val="18"/>
                <w:lang w:val="es-AR"/>
              </w:rPr>
              <w:t>La protección de la capacidad jurídica en el derecho internacional de los derechos humanos</w:t>
            </w:r>
          </w:p>
        </w:tc>
        <w:tc>
          <w:tcPr>
            <w:tcW w:w="874" w:type="dxa"/>
          </w:tcPr>
          <w:p w:rsidR="00F71B0D" w:rsidRDefault="00F71B0D" w:rsidP="008C3049">
            <w:pPr>
              <w:spacing w:before="60" w:afterLines="60" w:line="240" w:lineRule="auto"/>
              <w:rPr>
                <w:rFonts w:ascii="Times New Roman" w:hAnsi="Times New Roman" w:cs="Times New Roman"/>
                <w:sz w:val="18"/>
                <w:szCs w:val="18"/>
                <w:lang w:val="es-AR"/>
              </w:rPr>
            </w:pPr>
          </w:p>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301</w:t>
            </w:r>
          </w:p>
        </w:tc>
      </w:tr>
      <w:tr w:rsidR="00F71B0D" w:rsidRPr="00C8220A" w:rsidTr="008C3049">
        <w:tc>
          <w:tcPr>
            <w:tcW w:w="6712" w:type="dxa"/>
          </w:tcPr>
          <w:p w:rsidR="00F71B0D" w:rsidRPr="00D0684B" w:rsidRDefault="00F71B0D" w:rsidP="008C3049">
            <w:pPr>
              <w:spacing w:before="60" w:afterLines="60" w:line="240" w:lineRule="auto"/>
              <w:rPr>
                <w:rFonts w:ascii="Times New Roman" w:hAnsi="Times New Roman" w:cs="Times New Roman"/>
                <w:sz w:val="18"/>
                <w:szCs w:val="18"/>
                <w:lang w:val="es-AR"/>
              </w:rPr>
            </w:pPr>
            <w:r w:rsidRPr="00D0684B">
              <w:rPr>
                <w:rFonts w:ascii="Times New Roman" w:hAnsi="Times New Roman" w:cs="Times New Roman"/>
                <w:sz w:val="18"/>
                <w:szCs w:val="18"/>
                <w:lang w:val="es-AR"/>
              </w:rPr>
              <w:t>4.1 La persona como sujeto de derecho internacional en el ámbito de los derechos humanos</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303</w:t>
            </w:r>
          </w:p>
        </w:tc>
      </w:tr>
      <w:tr w:rsidR="00F71B0D" w:rsidRPr="00C8220A" w:rsidTr="008C3049">
        <w:tc>
          <w:tcPr>
            <w:tcW w:w="6712" w:type="dxa"/>
          </w:tcPr>
          <w:p w:rsidR="00F71B0D" w:rsidRPr="00D0684B" w:rsidRDefault="00F71B0D" w:rsidP="008C3049">
            <w:pPr>
              <w:spacing w:before="60" w:after="144" w:line="240" w:lineRule="auto"/>
              <w:ind w:left="284"/>
              <w:rPr>
                <w:rFonts w:ascii="Times New Roman" w:hAnsi="Times New Roman" w:cs="Times New Roman"/>
                <w:sz w:val="18"/>
                <w:szCs w:val="18"/>
                <w:lang w:val="es-AR"/>
              </w:rPr>
            </w:pPr>
            <w:r w:rsidRPr="00D0684B">
              <w:rPr>
                <w:rFonts w:ascii="Times New Roman" w:hAnsi="Times New Roman" w:cs="Times New Roman"/>
                <w:sz w:val="18"/>
                <w:szCs w:val="18"/>
                <w:lang w:val="es-AR"/>
              </w:rPr>
              <w:t>4.1.1 La subjetividad frente al propio Estado</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305</w:t>
            </w:r>
          </w:p>
        </w:tc>
      </w:tr>
      <w:tr w:rsidR="00F71B0D" w:rsidRPr="00C8220A" w:rsidTr="008C3049">
        <w:tc>
          <w:tcPr>
            <w:tcW w:w="6712" w:type="dxa"/>
          </w:tcPr>
          <w:p w:rsidR="00F71B0D" w:rsidRPr="00D0684B" w:rsidRDefault="00F71B0D" w:rsidP="008C3049">
            <w:pPr>
              <w:spacing w:before="60" w:after="144" w:line="240" w:lineRule="auto"/>
              <w:ind w:left="284"/>
              <w:rPr>
                <w:rFonts w:ascii="Times New Roman" w:hAnsi="Times New Roman" w:cs="Times New Roman"/>
                <w:sz w:val="18"/>
                <w:szCs w:val="18"/>
                <w:lang w:val="es-AR"/>
              </w:rPr>
            </w:pPr>
            <w:r w:rsidRPr="00D0684B">
              <w:rPr>
                <w:rFonts w:ascii="Times New Roman" w:hAnsi="Times New Roman" w:cs="Times New Roman"/>
                <w:sz w:val="18"/>
                <w:szCs w:val="18"/>
                <w:lang w:val="es-AR"/>
              </w:rPr>
              <w:t>4.1.2 La subjetividad frente a otros sujetos de derecho internacional</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307</w:t>
            </w:r>
          </w:p>
        </w:tc>
      </w:tr>
      <w:tr w:rsidR="00F71B0D" w:rsidRPr="00C8220A" w:rsidTr="008C3049">
        <w:tc>
          <w:tcPr>
            <w:tcW w:w="6712" w:type="dxa"/>
          </w:tcPr>
          <w:p w:rsidR="00F71B0D" w:rsidRPr="00D0684B" w:rsidRDefault="00F71B0D" w:rsidP="008C3049">
            <w:pPr>
              <w:spacing w:before="60" w:afterLines="60" w:line="240" w:lineRule="auto"/>
              <w:rPr>
                <w:rFonts w:ascii="Times New Roman" w:hAnsi="Times New Roman" w:cs="Times New Roman"/>
                <w:sz w:val="18"/>
                <w:szCs w:val="18"/>
                <w:lang w:val="es-AR"/>
              </w:rPr>
            </w:pPr>
            <w:r w:rsidRPr="00D0684B">
              <w:rPr>
                <w:rFonts w:ascii="Times New Roman" w:hAnsi="Times New Roman" w:cs="Times New Roman"/>
                <w:sz w:val="18"/>
                <w:szCs w:val="18"/>
                <w:lang w:val="es-AR"/>
              </w:rPr>
              <w:t>4.2 El derecho al reconocimiento de la personalidad jurídica y de la capacidad jurídica en el derecho internacional de los derechos humanos</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310</w:t>
            </w:r>
          </w:p>
        </w:tc>
      </w:tr>
      <w:tr w:rsidR="00F71B0D" w:rsidRPr="00C8220A" w:rsidTr="008C3049">
        <w:tc>
          <w:tcPr>
            <w:tcW w:w="6712" w:type="dxa"/>
          </w:tcPr>
          <w:p w:rsidR="00F71B0D" w:rsidRPr="00D0684B" w:rsidRDefault="00F71B0D" w:rsidP="008C3049">
            <w:pPr>
              <w:spacing w:before="60" w:after="144" w:line="240" w:lineRule="auto"/>
              <w:ind w:left="284"/>
              <w:rPr>
                <w:rFonts w:ascii="Times New Roman" w:hAnsi="Times New Roman" w:cs="Times New Roman"/>
                <w:sz w:val="18"/>
                <w:szCs w:val="18"/>
                <w:lang w:val="es-AR"/>
              </w:rPr>
            </w:pPr>
            <w:r w:rsidRPr="00D0684B">
              <w:rPr>
                <w:rFonts w:ascii="Times New Roman" w:hAnsi="Times New Roman" w:cs="Times New Roman"/>
                <w:sz w:val="18"/>
                <w:szCs w:val="18"/>
                <w:lang w:val="es-AR"/>
              </w:rPr>
              <w:t>4.2.1 El derecho a la personalidad jurídica</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313</w:t>
            </w:r>
          </w:p>
        </w:tc>
      </w:tr>
      <w:tr w:rsidR="00F71B0D" w:rsidRPr="00C8220A" w:rsidTr="008C3049">
        <w:tc>
          <w:tcPr>
            <w:tcW w:w="6712" w:type="dxa"/>
          </w:tcPr>
          <w:p w:rsidR="00F71B0D" w:rsidRPr="00D0684B" w:rsidRDefault="00F71B0D" w:rsidP="008C3049">
            <w:pPr>
              <w:spacing w:before="60" w:after="144" w:line="240" w:lineRule="auto"/>
              <w:ind w:left="284"/>
              <w:rPr>
                <w:rFonts w:ascii="Times New Roman" w:hAnsi="Times New Roman" w:cs="Times New Roman"/>
                <w:sz w:val="18"/>
                <w:szCs w:val="18"/>
                <w:lang w:val="es-AR"/>
              </w:rPr>
            </w:pPr>
            <w:r w:rsidRPr="00D0684B">
              <w:rPr>
                <w:rFonts w:ascii="Times New Roman" w:hAnsi="Times New Roman" w:cs="Times New Roman"/>
                <w:sz w:val="18"/>
                <w:szCs w:val="18"/>
                <w:lang w:val="es-AR"/>
              </w:rPr>
              <w:t>4.2.2 El derecho a la capacidad jurídica</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318</w:t>
            </w:r>
          </w:p>
        </w:tc>
      </w:tr>
      <w:tr w:rsidR="00F71B0D" w:rsidRPr="00C8220A" w:rsidTr="008C3049">
        <w:tc>
          <w:tcPr>
            <w:tcW w:w="6712" w:type="dxa"/>
          </w:tcPr>
          <w:p w:rsidR="00F71B0D" w:rsidRPr="00D0684B" w:rsidRDefault="00F71B0D" w:rsidP="008C3049">
            <w:pPr>
              <w:spacing w:before="60" w:afterLines="60" w:line="240" w:lineRule="auto"/>
              <w:rPr>
                <w:rFonts w:ascii="Times New Roman" w:hAnsi="Times New Roman" w:cs="Times New Roman"/>
                <w:sz w:val="18"/>
                <w:szCs w:val="18"/>
                <w:lang w:val="es-AR"/>
              </w:rPr>
            </w:pPr>
            <w:r w:rsidRPr="00D0684B">
              <w:rPr>
                <w:rFonts w:ascii="Times New Roman" w:hAnsi="Times New Roman" w:cs="Times New Roman"/>
                <w:sz w:val="18"/>
                <w:szCs w:val="18"/>
                <w:lang w:val="es-AR"/>
              </w:rPr>
              <w:lastRenderedPageBreak/>
              <w:t>4.3 El ejercicio de la capacidad jurídica como garantía de acceso al goce y ejercicio de todos los derechos humanos</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322</w:t>
            </w:r>
          </w:p>
        </w:tc>
      </w:tr>
      <w:tr w:rsidR="00F71B0D" w:rsidRPr="00C8220A" w:rsidTr="008C3049">
        <w:tc>
          <w:tcPr>
            <w:tcW w:w="6712" w:type="dxa"/>
          </w:tcPr>
          <w:p w:rsidR="00F71B0D" w:rsidRPr="00D0684B" w:rsidRDefault="00F71B0D" w:rsidP="008C3049">
            <w:pPr>
              <w:spacing w:before="60" w:after="144" w:line="240" w:lineRule="auto"/>
              <w:ind w:left="284"/>
              <w:rPr>
                <w:rFonts w:ascii="Times New Roman" w:hAnsi="Times New Roman" w:cs="Times New Roman"/>
                <w:sz w:val="18"/>
                <w:szCs w:val="18"/>
                <w:lang w:val="es-AR"/>
              </w:rPr>
            </w:pPr>
            <w:r w:rsidRPr="00D0684B">
              <w:rPr>
                <w:rFonts w:ascii="Times New Roman" w:hAnsi="Times New Roman" w:cs="Times New Roman"/>
                <w:sz w:val="18"/>
                <w:szCs w:val="18"/>
                <w:lang w:val="es-AR"/>
              </w:rPr>
              <w:t>4.3.1 Capacidad jurídica como garantía de respeto</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326</w:t>
            </w:r>
          </w:p>
        </w:tc>
      </w:tr>
      <w:tr w:rsidR="00F71B0D" w:rsidRPr="00C8220A" w:rsidTr="008C3049">
        <w:tc>
          <w:tcPr>
            <w:tcW w:w="6712" w:type="dxa"/>
          </w:tcPr>
          <w:p w:rsidR="00F71B0D" w:rsidRPr="00D0684B" w:rsidRDefault="00F71B0D" w:rsidP="008C3049">
            <w:pPr>
              <w:spacing w:before="60" w:after="144" w:line="240" w:lineRule="auto"/>
              <w:ind w:left="284"/>
              <w:rPr>
                <w:rFonts w:ascii="Times New Roman" w:hAnsi="Times New Roman" w:cs="Times New Roman"/>
                <w:sz w:val="18"/>
                <w:szCs w:val="18"/>
                <w:lang w:val="es-AR"/>
              </w:rPr>
            </w:pPr>
            <w:r w:rsidRPr="00D0684B">
              <w:rPr>
                <w:rFonts w:ascii="Times New Roman" w:hAnsi="Times New Roman" w:cs="Times New Roman"/>
                <w:sz w:val="18"/>
                <w:szCs w:val="18"/>
                <w:lang w:val="es-AR"/>
              </w:rPr>
              <w:t>4.3.2 Capacidad jurídica como garantía de protección</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328</w:t>
            </w:r>
          </w:p>
        </w:tc>
      </w:tr>
      <w:tr w:rsidR="00F71B0D" w:rsidRPr="00C8220A" w:rsidTr="008C3049">
        <w:tc>
          <w:tcPr>
            <w:tcW w:w="6712" w:type="dxa"/>
          </w:tcPr>
          <w:p w:rsidR="00F71B0D" w:rsidRPr="00D0684B" w:rsidRDefault="00F71B0D" w:rsidP="008C3049">
            <w:pPr>
              <w:spacing w:before="60" w:after="144" w:line="240" w:lineRule="auto"/>
              <w:ind w:left="284"/>
              <w:rPr>
                <w:rFonts w:ascii="Times New Roman" w:hAnsi="Times New Roman" w:cs="Times New Roman"/>
                <w:sz w:val="18"/>
                <w:szCs w:val="18"/>
                <w:lang w:val="es-AR"/>
              </w:rPr>
            </w:pPr>
            <w:r w:rsidRPr="00D0684B">
              <w:rPr>
                <w:rFonts w:ascii="Times New Roman" w:hAnsi="Times New Roman" w:cs="Times New Roman"/>
                <w:sz w:val="18"/>
                <w:szCs w:val="18"/>
                <w:lang w:val="es-AR"/>
              </w:rPr>
              <w:t>4.3.3 Capacidad jurídica como garantía de realización</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330</w:t>
            </w:r>
          </w:p>
        </w:tc>
      </w:tr>
      <w:tr w:rsidR="00F71B0D" w:rsidRPr="00C8220A" w:rsidTr="008C3049">
        <w:tc>
          <w:tcPr>
            <w:tcW w:w="6712" w:type="dxa"/>
          </w:tcPr>
          <w:p w:rsidR="00F71B0D" w:rsidRPr="00D0684B" w:rsidRDefault="00F71B0D" w:rsidP="008C3049">
            <w:pPr>
              <w:spacing w:before="60" w:after="144" w:line="240" w:lineRule="auto"/>
              <w:ind w:left="284"/>
              <w:rPr>
                <w:rFonts w:ascii="Times New Roman" w:hAnsi="Times New Roman" w:cs="Times New Roman"/>
                <w:sz w:val="18"/>
                <w:szCs w:val="18"/>
                <w:lang w:val="es-AR"/>
              </w:rPr>
            </w:pPr>
            <w:r w:rsidRPr="00D0684B">
              <w:rPr>
                <w:rFonts w:ascii="Times New Roman" w:hAnsi="Times New Roman" w:cs="Times New Roman"/>
                <w:sz w:val="18"/>
                <w:szCs w:val="18"/>
                <w:lang w:val="es-AR"/>
              </w:rPr>
              <w:t>4.3.4 Representación legal (legitimidad y proporcionalidad)</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331</w:t>
            </w:r>
          </w:p>
        </w:tc>
      </w:tr>
      <w:tr w:rsidR="00F71B0D" w:rsidRPr="00C8220A" w:rsidTr="008C3049">
        <w:tc>
          <w:tcPr>
            <w:tcW w:w="6712" w:type="dxa"/>
          </w:tcPr>
          <w:p w:rsidR="00F71B0D" w:rsidRPr="00D0684B" w:rsidRDefault="00F71B0D" w:rsidP="008C3049">
            <w:pPr>
              <w:spacing w:before="60" w:afterLines="60" w:line="240" w:lineRule="auto"/>
              <w:rPr>
                <w:rFonts w:ascii="Times New Roman" w:hAnsi="Times New Roman" w:cs="Times New Roman"/>
                <w:sz w:val="18"/>
                <w:szCs w:val="18"/>
                <w:lang w:val="es-AR"/>
              </w:rPr>
            </w:pPr>
            <w:r w:rsidRPr="00D0684B">
              <w:rPr>
                <w:rFonts w:ascii="Times New Roman" w:hAnsi="Times New Roman" w:cs="Times New Roman"/>
                <w:sz w:val="18"/>
                <w:szCs w:val="18"/>
                <w:lang w:val="es-AR"/>
              </w:rPr>
              <w:t>4.4 La protección de la capacidad jurídica en la casuística de los órganos internacionales sobre derechos humanos</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338</w:t>
            </w:r>
          </w:p>
        </w:tc>
      </w:tr>
      <w:tr w:rsidR="00F71B0D" w:rsidRPr="00D0684B" w:rsidTr="008C3049">
        <w:tc>
          <w:tcPr>
            <w:tcW w:w="6712" w:type="dxa"/>
          </w:tcPr>
          <w:p w:rsidR="00F71B0D" w:rsidRPr="00D0684B" w:rsidRDefault="00F71B0D" w:rsidP="008C3049">
            <w:pPr>
              <w:spacing w:before="60" w:after="144" w:line="240" w:lineRule="auto"/>
              <w:ind w:left="284"/>
              <w:rPr>
                <w:rFonts w:ascii="Times New Roman" w:hAnsi="Times New Roman" w:cs="Times New Roman"/>
                <w:sz w:val="18"/>
                <w:szCs w:val="18"/>
                <w:lang w:val="es-AR"/>
              </w:rPr>
            </w:pPr>
            <w:r w:rsidRPr="00D0684B">
              <w:rPr>
                <w:rFonts w:ascii="Times New Roman" w:hAnsi="Times New Roman" w:cs="Times New Roman"/>
                <w:sz w:val="18"/>
                <w:szCs w:val="18"/>
                <w:lang w:val="es-AR"/>
              </w:rPr>
              <w:t>4.4.1 Tribunales de derechos humanos</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339</w:t>
            </w:r>
          </w:p>
        </w:tc>
      </w:tr>
      <w:tr w:rsidR="00F71B0D" w:rsidRPr="00C8220A" w:rsidTr="008C3049">
        <w:tc>
          <w:tcPr>
            <w:tcW w:w="6712" w:type="dxa"/>
          </w:tcPr>
          <w:p w:rsidR="00F71B0D" w:rsidRPr="00D0684B" w:rsidRDefault="00F71B0D" w:rsidP="008C3049">
            <w:pPr>
              <w:spacing w:before="60" w:after="144" w:line="240" w:lineRule="auto"/>
              <w:ind w:left="567"/>
              <w:rPr>
                <w:rFonts w:ascii="Times New Roman" w:hAnsi="Times New Roman" w:cs="Times New Roman"/>
                <w:sz w:val="18"/>
                <w:szCs w:val="18"/>
                <w:lang w:val="es-AR"/>
              </w:rPr>
            </w:pPr>
            <w:r w:rsidRPr="00D0684B">
              <w:rPr>
                <w:rFonts w:ascii="Times New Roman" w:hAnsi="Times New Roman" w:cs="Times New Roman"/>
                <w:sz w:val="18"/>
                <w:szCs w:val="18"/>
                <w:lang w:val="es-AR"/>
              </w:rPr>
              <w:t>4.4.1.1 Corte Interamericana de Derechos Humano</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339</w:t>
            </w:r>
          </w:p>
        </w:tc>
      </w:tr>
      <w:tr w:rsidR="00F71B0D" w:rsidRPr="00C8220A" w:rsidTr="008C3049">
        <w:tc>
          <w:tcPr>
            <w:tcW w:w="6712" w:type="dxa"/>
          </w:tcPr>
          <w:p w:rsidR="00F71B0D" w:rsidRPr="00D0684B" w:rsidRDefault="00F71B0D" w:rsidP="008C3049">
            <w:pPr>
              <w:spacing w:before="60" w:after="144" w:line="240" w:lineRule="auto"/>
              <w:ind w:left="567"/>
              <w:rPr>
                <w:rFonts w:ascii="Times New Roman" w:hAnsi="Times New Roman" w:cs="Times New Roman"/>
                <w:sz w:val="18"/>
                <w:szCs w:val="18"/>
                <w:lang w:val="es-AR"/>
              </w:rPr>
            </w:pPr>
            <w:r w:rsidRPr="00D0684B">
              <w:rPr>
                <w:rFonts w:ascii="Times New Roman" w:hAnsi="Times New Roman" w:cs="Times New Roman"/>
                <w:sz w:val="18"/>
                <w:szCs w:val="18"/>
                <w:lang w:val="es-AR"/>
              </w:rPr>
              <w:t>4.4.1.2 Tribunal Europeo de Derechos Humanos</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342</w:t>
            </w:r>
          </w:p>
        </w:tc>
      </w:tr>
      <w:tr w:rsidR="00F71B0D" w:rsidRPr="00D0684B" w:rsidTr="008C3049">
        <w:tc>
          <w:tcPr>
            <w:tcW w:w="6712" w:type="dxa"/>
          </w:tcPr>
          <w:p w:rsidR="00F71B0D" w:rsidRPr="00D0684B" w:rsidRDefault="00F71B0D" w:rsidP="008C3049">
            <w:pPr>
              <w:spacing w:before="60" w:after="144" w:line="240" w:lineRule="auto"/>
              <w:ind w:left="284"/>
              <w:rPr>
                <w:rFonts w:ascii="Times New Roman" w:hAnsi="Times New Roman" w:cs="Times New Roman"/>
                <w:sz w:val="18"/>
                <w:szCs w:val="18"/>
                <w:lang w:val="es-AR"/>
              </w:rPr>
            </w:pPr>
            <w:r w:rsidRPr="00D0684B">
              <w:rPr>
                <w:rFonts w:ascii="Times New Roman" w:hAnsi="Times New Roman" w:cs="Times New Roman"/>
                <w:sz w:val="18"/>
                <w:szCs w:val="18"/>
                <w:lang w:val="es-AR"/>
              </w:rPr>
              <w:t>4.4.2 Órganos de tratados</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348</w:t>
            </w:r>
          </w:p>
        </w:tc>
      </w:tr>
      <w:tr w:rsidR="00F71B0D" w:rsidRPr="00D0684B" w:rsidTr="008C3049">
        <w:tc>
          <w:tcPr>
            <w:tcW w:w="6712" w:type="dxa"/>
          </w:tcPr>
          <w:p w:rsidR="00F71B0D" w:rsidRPr="00D0684B" w:rsidRDefault="00F71B0D" w:rsidP="008C3049">
            <w:pPr>
              <w:spacing w:before="60" w:after="144" w:line="240" w:lineRule="auto"/>
              <w:ind w:left="567"/>
              <w:rPr>
                <w:rFonts w:ascii="Times New Roman" w:hAnsi="Times New Roman" w:cs="Times New Roman"/>
                <w:sz w:val="18"/>
                <w:szCs w:val="18"/>
                <w:lang w:val="es-AR"/>
              </w:rPr>
            </w:pPr>
            <w:r w:rsidRPr="00D0684B">
              <w:rPr>
                <w:rFonts w:ascii="Times New Roman" w:hAnsi="Times New Roman" w:cs="Times New Roman"/>
                <w:sz w:val="18"/>
                <w:szCs w:val="18"/>
                <w:lang w:val="es-AR"/>
              </w:rPr>
              <w:t>4.4.2.1 Observaciones Generales</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348</w:t>
            </w:r>
          </w:p>
        </w:tc>
      </w:tr>
      <w:tr w:rsidR="00F71B0D" w:rsidRPr="00C8220A" w:rsidTr="008C3049">
        <w:tc>
          <w:tcPr>
            <w:tcW w:w="6712" w:type="dxa"/>
          </w:tcPr>
          <w:p w:rsidR="00F71B0D" w:rsidRPr="00D0684B" w:rsidRDefault="00F71B0D" w:rsidP="008C3049">
            <w:pPr>
              <w:spacing w:before="60" w:after="144" w:line="240" w:lineRule="auto"/>
              <w:ind w:left="567"/>
              <w:rPr>
                <w:rFonts w:ascii="Times New Roman" w:hAnsi="Times New Roman" w:cs="Times New Roman"/>
                <w:sz w:val="18"/>
                <w:szCs w:val="18"/>
                <w:lang w:val="es-AR"/>
              </w:rPr>
            </w:pPr>
            <w:r w:rsidRPr="00D0684B">
              <w:rPr>
                <w:rFonts w:ascii="Times New Roman" w:hAnsi="Times New Roman" w:cs="Times New Roman"/>
                <w:sz w:val="18"/>
                <w:szCs w:val="18"/>
                <w:lang w:val="es-AR"/>
              </w:rPr>
              <w:t>4.4.2.2 Observaciones Finales a los Informes de los Estados</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356</w:t>
            </w:r>
          </w:p>
        </w:tc>
      </w:tr>
      <w:tr w:rsidR="00F71B0D" w:rsidRPr="00C8220A" w:rsidTr="008C3049">
        <w:tc>
          <w:tcPr>
            <w:tcW w:w="6712" w:type="dxa"/>
          </w:tcPr>
          <w:p w:rsidR="00F71B0D" w:rsidRPr="00D0684B" w:rsidRDefault="00F71B0D" w:rsidP="008C3049">
            <w:pPr>
              <w:spacing w:before="60" w:afterLines="60" w:line="240" w:lineRule="auto"/>
              <w:jc w:val="center"/>
              <w:rPr>
                <w:rFonts w:ascii="Times New Roman" w:hAnsi="Times New Roman" w:cs="Times New Roman"/>
                <w:b/>
                <w:i/>
                <w:sz w:val="18"/>
                <w:szCs w:val="18"/>
                <w:lang w:val="es-AR"/>
              </w:rPr>
            </w:pPr>
            <w:r w:rsidRPr="00D0684B">
              <w:rPr>
                <w:rFonts w:ascii="Times New Roman" w:hAnsi="Times New Roman" w:cs="Times New Roman"/>
                <w:b/>
                <w:i/>
                <w:sz w:val="18"/>
                <w:szCs w:val="18"/>
                <w:lang w:val="es-AR"/>
              </w:rPr>
              <w:t>Capítulo 5</w:t>
            </w:r>
          </w:p>
          <w:p w:rsidR="00F71B0D" w:rsidRPr="00D0684B" w:rsidRDefault="00F71B0D" w:rsidP="008C3049">
            <w:pPr>
              <w:spacing w:before="60" w:afterLines="60" w:line="240" w:lineRule="auto"/>
              <w:jc w:val="center"/>
              <w:rPr>
                <w:rFonts w:ascii="Times New Roman" w:hAnsi="Times New Roman" w:cs="Times New Roman"/>
                <w:sz w:val="18"/>
                <w:szCs w:val="18"/>
                <w:lang w:val="es-AR"/>
              </w:rPr>
            </w:pPr>
            <w:r w:rsidRPr="00D0684B">
              <w:rPr>
                <w:rFonts w:ascii="Times New Roman" w:hAnsi="Times New Roman" w:cs="Times New Roman"/>
                <w:b/>
                <w:i/>
                <w:sz w:val="18"/>
                <w:szCs w:val="18"/>
                <w:lang w:val="es-AR"/>
              </w:rPr>
              <w:t>Las disposiciones de la CDPD en materia de capacidad jurídica: identificación de las obligaciones internacionales impuestas a los Estados Partes</w:t>
            </w:r>
          </w:p>
        </w:tc>
        <w:tc>
          <w:tcPr>
            <w:tcW w:w="874" w:type="dxa"/>
          </w:tcPr>
          <w:p w:rsidR="00F71B0D" w:rsidRDefault="00F71B0D" w:rsidP="008C3049">
            <w:pPr>
              <w:spacing w:before="60" w:afterLines="60" w:line="240" w:lineRule="auto"/>
              <w:rPr>
                <w:rFonts w:ascii="Times New Roman" w:hAnsi="Times New Roman" w:cs="Times New Roman"/>
                <w:sz w:val="18"/>
                <w:szCs w:val="18"/>
                <w:lang w:val="es-AR"/>
              </w:rPr>
            </w:pPr>
          </w:p>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369</w:t>
            </w:r>
          </w:p>
        </w:tc>
      </w:tr>
      <w:tr w:rsidR="00F71B0D" w:rsidRPr="00D0684B" w:rsidTr="008C3049">
        <w:tc>
          <w:tcPr>
            <w:tcW w:w="6712" w:type="dxa"/>
          </w:tcPr>
          <w:p w:rsidR="00F71B0D" w:rsidRPr="00D0684B" w:rsidRDefault="00F71B0D" w:rsidP="008C3049">
            <w:pPr>
              <w:spacing w:before="60" w:afterLines="60" w:line="240" w:lineRule="auto"/>
              <w:rPr>
                <w:rFonts w:ascii="Times New Roman" w:hAnsi="Times New Roman" w:cs="Times New Roman"/>
                <w:sz w:val="18"/>
                <w:szCs w:val="18"/>
                <w:lang w:val="es-AR"/>
              </w:rPr>
            </w:pPr>
            <w:r w:rsidRPr="00D0684B">
              <w:rPr>
                <w:rFonts w:ascii="Times New Roman" w:hAnsi="Times New Roman" w:cs="Times New Roman"/>
                <w:sz w:val="18"/>
                <w:szCs w:val="18"/>
                <w:lang w:val="es-AR"/>
              </w:rPr>
              <w:t>5.1 Introducción</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371</w:t>
            </w:r>
          </w:p>
        </w:tc>
      </w:tr>
      <w:tr w:rsidR="00F71B0D" w:rsidRPr="00D0684B" w:rsidTr="008C3049">
        <w:tc>
          <w:tcPr>
            <w:tcW w:w="6712" w:type="dxa"/>
          </w:tcPr>
          <w:p w:rsidR="00F71B0D" w:rsidRPr="00D0684B" w:rsidRDefault="00F71B0D" w:rsidP="008C3049">
            <w:pPr>
              <w:spacing w:before="60" w:afterLines="60" w:line="240" w:lineRule="auto"/>
              <w:rPr>
                <w:rFonts w:ascii="Times New Roman" w:hAnsi="Times New Roman" w:cs="Times New Roman"/>
                <w:sz w:val="18"/>
                <w:szCs w:val="18"/>
                <w:lang w:val="es-AR"/>
              </w:rPr>
            </w:pPr>
            <w:r w:rsidRPr="00D0684B">
              <w:rPr>
                <w:rFonts w:ascii="Times New Roman" w:hAnsi="Times New Roman" w:cs="Times New Roman"/>
                <w:sz w:val="18"/>
                <w:szCs w:val="18"/>
                <w:lang w:val="es-AR"/>
              </w:rPr>
              <w:t>5.2. Aspectos generales del artículo 12</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374</w:t>
            </w:r>
          </w:p>
        </w:tc>
      </w:tr>
      <w:tr w:rsidR="00F71B0D" w:rsidRPr="00C8220A" w:rsidTr="008C3049">
        <w:tc>
          <w:tcPr>
            <w:tcW w:w="6712" w:type="dxa"/>
          </w:tcPr>
          <w:p w:rsidR="00F71B0D" w:rsidRPr="00D0684B" w:rsidRDefault="00F71B0D" w:rsidP="008C3049">
            <w:pPr>
              <w:spacing w:before="60" w:afterLines="60" w:line="240" w:lineRule="auto"/>
              <w:rPr>
                <w:rFonts w:ascii="Times New Roman" w:hAnsi="Times New Roman" w:cs="Times New Roman"/>
                <w:sz w:val="18"/>
                <w:szCs w:val="18"/>
                <w:lang w:val="es-AR"/>
              </w:rPr>
            </w:pPr>
            <w:r w:rsidRPr="00D0684B">
              <w:rPr>
                <w:rFonts w:ascii="Times New Roman" w:hAnsi="Times New Roman" w:cs="Times New Roman"/>
                <w:sz w:val="18"/>
                <w:szCs w:val="18"/>
                <w:lang w:val="es-AR"/>
              </w:rPr>
              <w:t>5.3 Artículo 12.1: Reafirmando la Personalidad Jurídica de las Personas con Discapacidad</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377</w:t>
            </w:r>
          </w:p>
        </w:tc>
      </w:tr>
      <w:tr w:rsidR="00F71B0D" w:rsidRPr="00C8220A" w:rsidTr="008C3049">
        <w:tc>
          <w:tcPr>
            <w:tcW w:w="6712" w:type="dxa"/>
          </w:tcPr>
          <w:p w:rsidR="00F71B0D" w:rsidRPr="00D0684B" w:rsidRDefault="00F71B0D" w:rsidP="008C3049">
            <w:pPr>
              <w:spacing w:before="60" w:after="144" w:line="240" w:lineRule="auto"/>
              <w:ind w:left="284"/>
              <w:rPr>
                <w:rFonts w:ascii="Times New Roman" w:hAnsi="Times New Roman" w:cs="Times New Roman"/>
                <w:sz w:val="18"/>
                <w:szCs w:val="18"/>
                <w:lang w:val="es-AR"/>
              </w:rPr>
            </w:pPr>
            <w:r w:rsidRPr="00D0684B">
              <w:rPr>
                <w:rFonts w:ascii="Times New Roman" w:hAnsi="Times New Roman" w:cs="Times New Roman"/>
                <w:sz w:val="18"/>
                <w:szCs w:val="18"/>
                <w:lang w:val="es-AR"/>
              </w:rPr>
              <w:t>5.3.1 Identificación de las obligaciones jurídico internacionales</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381</w:t>
            </w:r>
          </w:p>
        </w:tc>
      </w:tr>
      <w:tr w:rsidR="00F71B0D" w:rsidRPr="00C8220A" w:rsidTr="008C3049">
        <w:tc>
          <w:tcPr>
            <w:tcW w:w="6712" w:type="dxa"/>
          </w:tcPr>
          <w:p w:rsidR="00F71B0D" w:rsidRPr="00D0684B" w:rsidRDefault="00F71B0D" w:rsidP="008C3049">
            <w:pPr>
              <w:spacing w:before="60" w:afterLines="60" w:line="240" w:lineRule="auto"/>
              <w:rPr>
                <w:rFonts w:ascii="Times New Roman" w:hAnsi="Times New Roman" w:cs="Times New Roman"/>
                <w:sz w:val="18"/>
                <w:szCs w:val="18"/>
                <w:lang w:val="es-AR"/>
              </w:rPr>
            </w:pPr>
            <w:r w:rsidRPr="00D0684B">
              <w:rPr>
                <w:rFonts w:ascii="Times New Roman" w:hAnsi="Times New Roman" w:cs="Times New Roman"/>
                <w:sz w:val="18"/>
                <w:szCs w:val="18"/>
                <w:lang w:val="es-AR"/>
              </w:rPr>
              <w:t>5.4 Artículo 12(2): El derecho de las personas con discapacidad a la igualdad en el ejercicio de la capacidad jurídica</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382</w:t>
            </w:r>
          </w:p>
        </w:tc>
      </w:tr>
      <w:tr w:rsidR="00F71B0D" w:rsidRPr="00D0684B" w:rsidTr="008C3049">
        <w:tc>
          <w:tcPr>
            <w:tcW w:w="6712" w:type="dxa"/>
          </w:tcPr>
          <w:p w:rsidR="00F71B0D" w:rsidRPr="00D0684B" w:rsidRDefault="00F71B0D" w:rsidP="008C3049">
            <w:pPr>
              <w:spacing w:before="60" w:after="144" w:line="240" w:lineRule="auto"/>
              <w:ind w:left="284"/>
              <w:rPr>
                <w:rFonts w:ascii="Times New Roman" w:hAnsi="Times New Roman" w:cs="Times New Roman"/>
                <w:sz w:val="18"/>
                <w:szCs w:val="18"/>
              </w:rPr>
            </w:pPr>
            <w:r w:rsidRPr="00D0684B">
              <w:rPr>
                <w:rFonts w:ascii="Times New Roman" w:hAnsi="Times New Roman" w:cs="Times New Roman"/>
                <w:sz w:val="18"/>
                <w:szCs w:val="18"/>
              </w:rPr>
              <w:t>5.4.1 Personas con discapacidad</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383</w:t>
            </w:r>
          </w:p>
        </w:tc>
      </w:tr>
      <w:tr w:rsidR="00F71B0D" w:rsidRPr="00D0684B" w:rsidTr="008C3049">
        <w:tc>
          <w:tcPr>
            <w:tcW w:w="6712" w:type="dxa"/>
          </w:tcPr>
          <w:p w:rsidR="00F71B0D" w:rsidRPr="00D0684B" w:rsidRDefault="00F71B0D" w:rsidP="008C3049">
            <w:pPr>
              <w:spacing w:before="60" w:after="144" w:line="240" w:lineRule="auto"/>
              <w:ind w:left="284"/>
              <w:rPr>
                <w:rFonts w:ascii="Times New Roman" w:hAnsi="Times New Roman" w:cs="Times New Roman"/>
                <w:sz w:val="18"/>
                <w:szCs w:val="18"/>
                <w:lang w:val="es-AR"/>
              </w:rPr>
            </w:pPr>
            <w:r w:rsidRPr="00D0684B">
              <w:rPr>
                <w:rFonts w:ascii="Times New Roman" w:hAnsi="Times New Roman" w:cs="Times New Roman"/>
                <w:sz w:val="18"/>
                <w:szCs w:val="18"/>
                <w:lang w:val="es-AR"/>
              </w:rPr>
              <w:t>5.4.2 Capacidad jurídica</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387</w:t>
            </w:r>
          </w:p>
        </w:tc>
      </w:tr>
      <w:tr w:rsidR="00F71B0D" w:rsidRPr="00C8220A" w:rsidTr="008C3049">
        <w:tc>
          <w:tcPr>
            <w:tcW w:w="6712" w:type="dxa"/>
          </w:tcPr>
          <w:p w:rsidR="00F71B0D" w:rsidRPr="00D0684B" w:rsidRDefault="00F71B0D" w:rsidP="008C3049">
            <w:pPr>
              <w:spacing w:before="60" w:after="144" w:line="240" w:lineRule="auto"/>
              <w:ind w:left="284"/>
              <w:rPr>
                <w:rFonts w:ascii="Times New Roman" w:hAnsi="Times New Roman" w:cs="Times New Roman"/>
                <w:sz w:val="18"/>
                <w:szCs w:val="18"/>
                <w:lang w:val="es-AR"/>
              </w:rPr>
            </w:pPr>
            <w:r w:rsidRPr="00D0684B">
              <w:rPr>
                <w:rFonts w:ascii="Times New Roman" w:hAnsi="Times New Roman" w:cs="Times New Roman"/>
                <w:sz w:val="18"/>
                <w:szCs w:val="18"/>
                <w:lang w:val="es-AR"/>
              </w:rPr>
              <w:t>5.4.3 Igualdad de condiciones con los demás</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392</w:t>
            </w:r>
          </w:p>
        </w:tc>
      </w:tr>
      <w:tr w:rsidR="00F71B0D" w:rsidRPr="00C8220A" w:rsidTr="008C3049">
        <w:tc>
          <w:tcPr>
            <w:tcW w:w="6712" w:type="dxa"/>
          </w:tcPr>
          <w:p w:rsidR="00F71B0D" w:rsidRPr="00D0684B" w:rsidRDefault="00F71B0D" w:rsidP="008C3049">
            <w:pPr>
              <w:spacing w:before="60" w:after="144" w:line="240" w:lineRule="auto"/>
              <w:ind w:left="284"/>
              <w:rPr>
                <w:rFonts w:ascii="Times New Roman" w:hAnsi="Times New Roman" w:cs="Times New Roman"/>
                <w:sz w:val="18"/>
                <w:szCs w:val="18"/>
                <w:lang w:val="es-AR"/>
              </w:rPr>
            </w:pPr>
            <w:r w:rsidRPr="00D0684B">
              <w:rPr>
                <w:rFonts w:ascii="Times New Roman" w:hAnsi="Times New Roman" w:cs="Times New Roman"/>
                <w:sz w:val="18"/>
                <w:szCs w:val="18"/>
                <w:lang w:val="es-AR"/>
              </w:rPr>
              <w:t>5.4.4 Todos los aspectos de la vida</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396</w:t>
            </w:r>
          </w:p>
        </w:tc>
      </w:tr>
      <w:tr w:rsidR="00F71B0D" w:rsidRPr="00C8220A" w:rsidTr="008C3049">
        <w:tc>
          <w:tcPr>
            <w:tcW w:w="6712" w:type="dxa"/>
          </w:tcPr>
          <w:p w:rsidR="00F71B0D" w:rsidRPr="00D0684B" w:rsidRDefault="00F71B0D" w:rsidP="008C3049">
            <w:pPr>
              <w:spacing w:before="60" w:after="144" w:line="240" w:lineRule="auto"/>
              <w:ind w:left="284"/>
              <w:rPr>
                <w:rFonts w:ascii="Times New Roman" w:hAnsi="Times New Roman" w:cs="Times New Roman"/>
                <w:sz w:val="18"/>
                <w:szCs w:val="18"/>
                <w:lang w:val="es-AR"/>
              </w:rPr>
            </w:pPr>
            <w:r w:rsidRPr="00D0684B">
              <w:rPr>
                <w:rFonts w:ascii="Times New Roman" w:hAnsi="Times New Roman" w:cs="Times New Roman"/>
                <w:sz w:val="18"/>
                <w:szCs w:val="18"/>
                <w:lang w:val="es-AR"/>
              </w:rPr>
              <w:t>5.4.5 La garantía de igualdad en el ejercicio de la capacidad jurídica y su conexión con otros derechos</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397</w:t>
            </w:r>
          </w:p>
        </w:tc>
      </w:tr>
      <w:tr w:rsidR="00F71B0D" w:rsidRPr="00C8220A" w:rsidTr="008C3049">
        <w:tc>
          <w:tcPr>
            <w:tcW w:w="6712" w:type="dxa"/>
          </w:tcPr>
          <w:p w:rsidR="00F71B0D" w:rsidRPr="00D0684B" w:rsidRDefault="00F71B0D" w:rsidP="008C3049">
            <w:pPr>
              <w:spacing w:before="60" w:after="144" w:line="240" w:lineRule="auto"/>
              <w:ind w:left="567"/>
              <w:rPr>
                <w:rFonts w:ascii="Times New Roman" w:hAnsi="Times New Roman" w:cs="Times New Roman"/>
                <w:sz w:val="18"/>
                <w:szCs w:val="18"/>
                <w:lang w:val="es-AR"/>
              </w:rPr>
            </w:pPr>
            <w:r w:rsidRPr="00D0684B">
              <w:rPr>
                <w:rFonts w:ascii="Times New Roman" w:hAnsi="Times New Roman" w:cs="Times New Roman"/>
                <w:sz w:val="18"/>
                <w:szCs w:val="18"/>
                <w:lang w:val="es-AR"/>
              </w:rPr>
              <w:t>5.4.5.1 Capacidad Jurídica y Acceso a la justicia</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408</w:t>
            </w:r>
          </w:p>
        </w:tc>
      </w:tr>
      <w:tr w:rsidR="00F71B0D" w:rsidRPr="00C8220A" w:rsidTr="008C3049">
        <w:tc>
          <w:tcPr>
            <w:tcW w:w="6712" w:type="dxa"/>
          </w:tcPr>
          <w:p w:rsidR="00F71B0D" w:rsidRPr="00D0684B" w:rsidRDefault="00F71B0D" w:rsidP="008C3049">
            <w:pPr>
              <w:spacing w:before="60" w:after="144" w:line="240" w:lineRule="auto"/>
              <w:ind w:left="567"/>
              <w:rPr>
                <w:rFonts w:ascii="Times New Roman" w:hAnsi="Times New Roman" w:cs="Times New Roman"/>
                <w:sz w:val="18"/>
                <w:szCs w:val="18"/>
                <w:lang w:val="es-AR"/>
              </w:rPr>
            </w:pPr>
            <w:r w:rsidRPr="00D0684B">
              <w:rPr>
                <w:rFonts w:ascii="Times New Roman" w:hAnsi="Times New Roman" w:cs="Times New Roman"/>
                <w:sz w:val="18"/>
                <w:szCs w:val="18"/>
                <w:lang w:val="es-AR"/>
              </w:rPr>
              <w:t>5.4.5.2 Capacidad Jurídica y Protección de la Libertad</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416</w:t>
            </w:r>
          </w:p>
        </w:tc>
      </w:tr>
      <w:tr w:rsidR="00F71B0D" w:rsidRPr="00C8220A" w:rsidTr="008C3049">
        <w:tc>
          <w:tcPr>
            <w:tcW w:w="6712" w:type="dxa"/>
          </w:tcPr>
          <w:p w:rsidR="00F71B0D" w:rsidRPr="00D0684B" w:rsidRDefault="00F71B0D" w:rsidP="008C3049">
            <w:pPr>
              <w:spacing w:before="60" w:afterLines="60" w:line="240" w:lineRule="auto"/>
              <w:rPr>
                <w:rFonts w:ascii="Times New Roman" w:hAnsi="Times New Roman" w:cs="Times New Roman"/>
                <w:sz w:val="18"/>
                <w:szCs w:val="18"/>
                <w:lang w:val="es-AR"/>
              </w:rPr>
            </w:pPr>
            <w:r w:rsidRPr="00D0684B">
              <w:rPr>
                <w:rFonts w:ascii="Times New Roman" w:hAnsi="Times New Roman" w:cs="Times New Roman"/>
                <w:sz w:val="18"/>
                <w:szCs w:val="18"/>
                <w:lang w:val="es-AR"/>
              </w:rPr>
              <w:t>5.4.5.3 Capacidad Jurídica y Vida Independiente</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431</w:t>
            </w:r>
          </w:p>
        </w:tc>
      </w:tr>
      <w:tr w:rsidR="00F71B0D" w:rsidRPr="00C8220A" w:rsidTr="008C3049">
        <w:tc>
          <w:tcPr>
            <w:tcW w:w="6712" w:type="dxa"/>
          </w:tcPr>
          <w:p w:rsidR="00F71B0D" w:rsidRPr="00D0684B" w:rsidRDefault="00F71B0D" w:rsidP="008C3049">
            <w:pPr>
              <w:spacing w:before="60" w:after="144" w:line="240" w:lineRule="auto"/>
              <w:ind w:left="567"/>
              <w:rPr>
                <w:rFonts w:ascii="Times New Roman" w:hAnsi="Times New Roman" w:cs="Times New Roman"/>
                <w:sz w:val="18"/>
                <w:szCs w:val="18"/>
                <w:lang w:val="es-AR"/>
              </w:rPr>
            </w:pPr>
            <w:r w:rsidRPr="00D0684B">
              <w:rPr>
                <w:rFonts w:ascii="Times New Roman" w:hAnsi="Times New Roman" w:cs="Times New Roman"/>
                <w:sz w:val="18"/>
                <w:szCs w:val="18"/>
                <w:lang w:val="es-AR"/>
              </w:rPr>
              <w:t>5.4.5.4 Capacidad Jurídica y Protección de la Integridad Personal</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435</w:t>
            </w:r>
          </w:p>
        </w:tc>
      </w:tr>
      <w:tr w:rsidR="00F71B0D" w:rsidRPr="00C8220A" w:rsidTr="008C3049">
        <w:tc>
          <w:tcPr>
            <w:tcW w:w="6712" w:type="dxa"/>
          </w:tcPr>
          <w:p w:rsidR="00F71B0D" w:rsidRPr="00D0684B" w:rsidRDefault="00F71B0D" w:rsidP="008C3049">
            <w:pPr>
              <w:spacing w:before="60" w:after="144" w:line="240" w:lineRule="auto"/>
              <w:ind w:left="567"/>
              <w:rPr>
                <w:rFonts w:ascii="Times New Roman" w:hAnsi="Times New Roman" w:cs="Times New Roman"/>
                <w:sz w:val="18"/>
                <w:szCs w:val="18"/>
                <w:lang w:val="es-AR"/>
              </w:rPr>
            </w:pPr>
            <w:r w:rsidRPr="00D0684B">
              <w:rPr>
                <w:rFonts w:ascii="Times New Roman" w:hAnsi="Times New Roman" w:cs="Times New Roman"/>
                <w:sz w:val="18"/>
                <w:szCs w:val="18"/>
                <w:lang w:val="es-AR"/>
              </w:rPr>
              <w:lastRenderedPageBreak/>
              <w:t>5.4.5.5 Capacidad Jurídica y Participación en la Vida Política Y Pública</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447</w:t>
            </w:r>
          </w:p>
        </w:tc>
      </w:tr>
      <w:tr w:rsidR="00F71B0D" w:rsidRPr="00C8220A" w:rsidTr="008C3049">
        <w:tc>
          <w:tcPr>
            <w:tcW w:w="6712" w:type="dxa"/>
          </w:tcPr>
          <w:p w:rsidR="00F71B0D" w:rsidRPr="00D0684B" w:rsidRDefault="00F71B0D" w:rsidP="008C3049">
            <w:pPr>
              <w:spacing w:before="60" w:after="144" w:line="240" w:lineRule="auto"/>
              <w:ind w:left="567"/>
              <w:rPr>
                <w:rFonts w:ascii="Times New Roman" w:hAnsi="Times New Roman" w:cs="Times New Roman"/>
                <w:sz w:val="18"/>
                <w:szCs w:val="18"/>
                <w:lang w:val="es-AR"/>
              </w:rPr>
            </w:pPr>
            <w:r w:rsidRPr="00D0684B">
              <w:rPr>
                <w:rFonts w:ascii="Times New Roman" w:hAnsi="Times New Roman" w:cs="Times New Roman"/>
                <w:sz w:val="18"/>
                <w:szCs w:val="18"/>
                <w:lang w:val="es-AR"/>
              </w:rPr>
              <w:t>5.4.5.6 Capacidad Jurídica y Derechos de Familia</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456</w:t>
            </w:r>
          </w:p>
        </w:tc>
      </w:tr>
      <w:tr w:rsidR="00F71B0D" w:rsidRPr="00C8220A" w:rsidTr="008C3049">
        <w:tc>
          <w:tcPr>
            <w:tcW w:w="6712" w:type="dxa"/>
          </w:tcPr>
          <w:p w:rsidR="00F71B0D" w:rsidRPr="00D0684B" w:rsidRDefault="00F71B0D" w:rsidP="008C3049">
            <w:pPr>
              <w:spacing w:before="60" w:after="144" w:line="240" w:lineRule="auto"/>
              <w:ind w:left="284"/>
              <w:rPr>
                <w:rFonts w:ascii="Times New Roman" w:hAnsi="Times New Roman" w:cs="Times New Roman"/>
                <w:sz w:val="18"/>
                <w:szCs w:val="18"/>
                <w:lang w:val="es-AR"/>
              </w:rPr>
            </w:pPr>
            <w:r w:rsidRPr="00D0684B">
              <w:rPr>
                <w:rFonts w:ascii="Times New Roman" w:hAnsi="Times New Roman" w:cs="Times New Roman"/>
                <w:sz w:val="18"/>
                <w:szCs w:val="18"/>
                <w:lang w:val="es-AR"/>
              </w:rPr>
              <w:t>5.4.6 Identificación de las obligaciones jurídico internacionales</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467</w:t>
            </w:r>
          </w:p>
        </w:tc>
      </w:tr>
      <w:tr w:rsidR="00F71B0D" w:rsidRPr="00C8220A" w:rsidTr="008C3049">
        <w:tc>
          <w:tcPr>
            <w:tcW w:w="6712" w:type="dxa"/>
          </w:tcPr>
          <w:p w:rsidR="00F71B0D" w:rsidRPr="00D0684B" w:rsidRDefault="00F71B0D" w:rsidP="008C3049">
            <w:pPr>
              <w:spacing w:before="60" w:afterLines="60" w:line="240" w:lineRule="auto"/>
              <w:rPr>
                <w:rFonts w:ascii="Times New Roman" w:hAnsi="Times New Roman" w:cs="Times New Roman"/>
                <w:sz w:val="18"/>
                <w:szCs w:val="18"/>
                <w:lang w:val="es-AR"/>
              </w:rPr>
            </w:pPr>
            <w:r w:rsidRPr="00D0684B">
              <w:rPr>
                <w:rFonts w:ascii="Times New Roman" w:hAnsi="Times New Roman" w:cs="Times New Roman"/>
                <w:sz w:val="18"/>
                <w:szCs w:val="18"/>
                <w:lang w:val="es-AR"/>
              </w:rPr>
              <w:t>5.5 Artículo 12(3): Hacia la implementación de un modelo de apoyos en el ejercicio de la capacidad jurídica</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470</w:t>
            </w:r>
          </w:p>
        </w:tc>
      </w:tr>
      <w:tr w:rsidR="00F71B0D" w:rsidRPr="00C8220A" w:rsidTr="008C3049">
        <w:tc>
          <w:tcPr>
            <w:tcW w:w="6712" w:type="dxa"/>
          </w:tcPr>
          <w:p w:rsidR="00F71B0D" w:rsidRPr="00D0684B" w:rsidRDefault="00F71B0D" w:rsidP="008C3049">
            <w:pPr>
              <w:spacing w:before="60" w:after="144" w:line="240" w:lineRule="auto"/>
              <w:ind w:left="284"/>
              <w:rPr>
                <w:rFonts w:ascii="Times New Roman" w:hAnsi="Times New Roman" w:cs="Times New Roman"/>
                <w:sz w:val="18"/>
                <w:szCs w:val="18"/>
                <w:lang w:val="es-AR"/>
              </w:rPr>
            </w:pPr>
            <w:r w:rsidRPr="00D0684B">
              <w:rPr>
                <w:rFonts w:ascii="Times New Roman" w:hAnsi="Times New Roman" w:cs="Times New Roman"/>
                <w:sz w:val="18"/>
                <w:szCs w:val="18"/>
                <w:lang w:val="es-AR"/>
              </w:rPr>
              <w:t>5.5.1 Los elementos medulares del Artículo 12(3)</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473</w:t>
            </w:r>
          </w:p>
        </w:tc>
      </w:tr>
      <w:tr w:rsidR="00F71B0D" w:rsidRPr="00D0684B" w:rsidTr="008C3049">
        <w:tc>
          <w:tcPr>
            <w:tcW w:w="6712" w:type="dxa"/>
          </w:tcPr>
          <w:p w:rsidR="00F71B0D" w:rsidRPr="00D0684B" w:rsidRDefault="00F71B0D" w:rsidP="008C3049">
            <w:pPr>
              <w:spacing w:before="60" w:after="144" w:line="240" w:lineRule="auto"/>
              <w:ind w:left="567"/>
              <w:rPr>
                <w:rFonts w:ascii="Times New Roman" w:hAnsi="Times New Roman" w:cs="Times New Roman"/>
                <w:sz w:val="18"/>
                <w:szCs w:val="18"/>
                <w:lang w:val="es-AR"/>
              </w:rPr>
            </w:pPr>
            <w:r w:rsidRPr="00D0684B">
              <w:rPr>
                <w:rFonts w:ascii="Times New Roman" w:hAnsi="Times New Roman" w:cs="Times New Roman"/>
                <w:sz w:val="18"/>
                <w:szCs w:val="18"/>
                <w:lang w:val="es-AR"/>
              </w:rPr>
              <w:t>5.5.1.1 Medidas pertinentes</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474</w:t>
            </w:r>
          </w:p>
        </w:tc>
      </w:tr>
      <w:tr w:rsidR="00F71B0D" w:rsidRPr="00D0684B" w:rsidTr="008C3049">
        <w:tc>
          <w:tcPr>
            <w:tcW w:w="6712" w:type="dxa"/>
          </w:tcPr>
          <w:p w:rsidR="00F71B0D" w:rsidRPr="00D0684B" w:rsidRDefault="00F71B0D" w:rsidP="008C3049">
            <w:pPr>
              <w:spacing w:before="60" w:after="144" w:line="240" w:lineRule="auto"/>
              <w:ind w:left="567"/>
              <w:rPr>
                <w:rFonts w:ascii="Times New Roman" w:hAnsi="Times New Roman" w:cs="Times New Roman"/>
                <w:sz w:val="18"/>
                <w:szCs w:val="18"/>
                <w:lang w:val="es-AR"/>
              </w:rPr>
            </w:pPr>
            <w:r w:rsidRPr="00D0684B">
              <w:rPr>
                <w:rFonts w:ascii="Times New Roman" w:hAnsi="Times New Roman" w:cs="Times New Roman"/>
                <w:sz w:val="18"/>
                <w:szCs w:val="18"/>
                <w:lang w:val="es-AR"/>
              </w:rPr>
              <w:t>5.5.1.2 Personas con discapacidad</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476</w:t>
            </w:r>
          </w:p>
        </w:tc>
      </w:tr>
      <w:tr w:rsidR="00F71B0D" w:rsidRPr="00D0684B" w:rsidTr="008C3049">
        <w:tc>
          <w:tcPr>
            <w:tcW w:w="6712" w:type="dxa"/>
          </w:tcPr>
          <w:p w:rsidR="00F71B0D" w:rsidRPr="00D0684B" w:rsidRDefault="00F71B0D" w:rsidP="008C3049">
            <w:pPr>
              <w:spacing w:before="60" w:after="144" w:line="240" w:lineRule="auto"/>
              <w:ind w:left="567"/>
              <w:rPr>
                <w:rFonts w:ascii="Times New Roman" w:hAnsi="Times New Roman" w:cs="Times New Roman"/>
                <w:sz w:val="18"/>
                <w:szCs w:val="18"/>
                <w:lang w:val="es-AR"/>
              </w:rPr>
            </w:pPr>
            <w:r w:rsidRPr="00D0684B">
              <w:rPr>
                <w:rFonts w:ascii="Times New Roman" w:hAnsi="Times New Roman" w:cs="Times New Roman"/>
                <w:sz w:val="18"/>
                <w:szCs w:val="18"/>
                <w:lang w:val="es-AR"/>
              </w:rPr>
              <w:t>5.5.1.3 Apoyos que puedan necesitar</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476</w:t>
            </w:r>
          </w:p>
        </w:tc>
      </w:tr>
      <w:tr w:rsidR="00F71B0D" w:rsidRPr="00C8220A" w:rsidTr="008C3049">
        <w:tc>
          <w:tcPr>
            <w:tcW w:w="6712" w:type="dxa"/>
          </w:tcPr>
          <w:p w:rsidR="00F71B0D" w:rsidRPr="00D0684B" w:rsidRDefault="00F71B0D" w:rsidP="008C3049">
            <w:pPr>
              <w:spacing w:before="60" w:after="144" w:line="240" w:lineRule="auto"/>
              <w:ind w:left="567"/>
              <w:rPr>
                <w:rFonts w:ascii="Times New Roman" w:hAnsi="Times New Roman" w:cs="Times New Roman"/>
                <w:sz w:val="18"/>
                <w:szCs w:val="18"/>
                <w:lang w:val="es-AR"/>
              </w:rPr>
            </w:pPr>
            <w:r w:rsidRPr="00D0684B">
              <w:rPr>
                <w:rFonts w:ascii="Times New Roman" w:hAnsi="Times New Roman" w:cs="Times New Roman"/>
                <w:sz w:val="18"/>
                <w:szCs w:val="18"/>
                <w:lang w:val="es-AR"/>
              </w:rPr>
              <w:t>5.5.1.4 En el ejercicio de su capacidad jurídica</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480</w:t>
            </w:r>
          </w:p>
        </w:tc>
      </w:tr>
      <w:tr w:rsidR="00F71B0D" w:rsidRPr="00C8220A" w:rsidTr="008C3049">
        <w:tc>
          <w:tcPr>
            <w:tcW w:w="6712" w:type="dxa"/>
          </w:tcPr>
          <w:p w:rsidR="00F71B0D" w:rsidRPr="00D0684B" w:rsidRDefault="00F71B0D" w:rsidP="008C3049">
            <w:pPr>
              <w:spacing w:before="60" w:after="144" w:line="240" w:lineRule="auto"/>
              <w:ind w:left="284"/>
              <w:rPr>
                <w:rFonts w:ascii="Times New Roman" w:hAnsi="Times New Roman" w:cs="Times New Roman"/>
                <w:sz w:val="18"/>
                <w:szCs w:val="18"/>
                <w:lang w:val="es-AR"/>
              </w:rPr>
            </w:pPr>
            <w:r w:rsidRPr="00D0684B">
              <w:rPr>
                <w:rFonts w:ascii="Times New Roman" w:hAnsi="Times New Roman" w:cs="Times New Roman"/>
                <w:sz w:val="18"/>
                <w:szCs w:val="18"/>
                <w:lang w:val="es-AR"/>
              </w:rPr>
              <w:t>5.5.2 Las características del sistema de apoyos en el ejercicio de la capacidad jurídica</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483</w:t>
            </w:r>
          </w:p>
        </w:tc>
      </w:tr>
      <w:tr w:rsidR="00F71B0D" w:rsidRPr="00D0684B" w:rsidTr="008C3049">
        <w:tc>
          <w:tcPr>
            <w:tcW w:w="6712" w:type="dxa"/>
          </w:tcPr>
          <w:p w:rsidR="00F71B0D" w:rsidRPr="00D0684B" w:rsidRDefault="00F71B0D" w:rsidP="008C3049">
            <w:pPr>
              <w:spacing w:before="60" w:after="144" w:line="240" w:lineRule="auto"/>
              <w:ind w:left="567"/>
              <w:rPr>
                <w:rFonts w:ascii="Times New Roman" w:hAnsi="Times New Roman" w:cs="Times New Roman"/>
                <w:sz w:val="18"/>
                <w:szCs w:val="18"/>
                <w:lang w:val="es-AR"/>
              </w:rPr>
            </w:pPr>
            <w:r w:rsidRPr="00D0684B">
              <w:rPr>
                <w:rFonts w:ascii="Times New Roman" w:hAnsi="Times New Roman" w:cs="Times New Roman"/>
                <w:sz w:val="18"/>
                <w:szCs w:val="18"/>
                <w:lang w:val="es-AR"/>
              </w:rPr>
              <w:t>5.5.2.1 Gradual</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483</w:t>
            </w:r>
          </w:p>
        </w:tc>
      </w:tr>
      <w:tr w:rsidR="00F71B0D" w:rsidRPr="00D0684B" w:rsidTr="008C3049">
        <w:tc>
          <w:tcPr>
            <w:tcW w:w="6712" w:type="dxa"/>
          </w:tcPr>
          <w:p w:rsidR="00F71B0D" w:rsidRPr="00D0684B" w:rsidRDefault="00F71B0D" w:rsidP="008C3049">
            <w:pPr>
              <w:spacing w:before="60" w:after="144" w:line="240" w:lineRule="auto"/>
              <w:ind w:left="567"/>
              <w:rPr>
                <w:rFonts w:ascii="Times New Roman" w:hAnsi="Times New Roman" w:cs="Times New Roman"/>
                <w:sz w:val="18"/>
                <w:szCs w:val="18"/>
                <w:lang w:val="es-AR"/>
              </w:rPr>
            </w:pPr>
            <w:r w:rsidRPr="00D0684B">
              <w:rPr>
                <w:rFonts w:ascii="Times New Roman" w:hAnsi="Times New Roman" w:cs="Times New Roman"/>
                <w:sz w:val="18"/>
                <w:szCs w:val="18"/>
                <w:lang w:val="es-AR"/>
              </w:rPr>
              <w:t>5.5.2.2 Complejo</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484</w:t>
            </w:r>
          </w:p>
        </w:tc>
      </w:tr>
      <w:tr w:rsidR="00F71B0D" w:rsidRPr="00D0684B" w:rsidTr="008C3049">
        <w:tc>
          <w:tcPr>
            <w:tcW w:w="6712" w:type="dxa"/>
          </w:tcPr>
          <w:p w:rsidR="00F71B0D" w:rsidRPr="00D0684B" w:rsidRDefault="00F71B0D" w:rsidP="008C3049">
            <w:pPr>
              <w:spacing w:before="60" w:after="144" w:line="240" w:lineRule="auto"/>
              <w:ind w:left="567"/>
              <w:rPr>
                <w:rFonts w:ascii="Times New Roman" w:hAnsi="Times New Roman" w:cs="Times New Roman"/>
                <w:sz w:val="18"/>
                <w:szCs w:val="18"/>
                <w:lang w:val="es-AR"/>
              </w:rPr>
            </w:pPr>
            <w:r w:rsidRPr="00D0684B">
              <w:rPr>
                <w:rFonts w:ascii="Times New Roman" w:hAnsi="Times New Roman" w:cs="Times New Roman"/>
                <w:sz w:val="18"/>
                <w:szCs w:val="18"/>
                <w:lang w:val="es-AR"/>
              </w:rPr>
              <w:t>5.5.2.3 Diverso</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485</w:t>
            </w:r>
          </w:p>
        </w:tc>
      </w:tr>
      <w:tr w:rsidR="00F71B0D" w:rsidRPr="00D0684B" w:rsidTr="008C3049">
        <w:tc>
          <w:tcPr>
            <w:tcW w:w="6712" w:type="dxa"/>
          </w:tcPr>
          <w:p w:rsidR="00F71B0D" w:rsidRPr="00D0684B" w:rsidRDefault="00F71B0D" w:rsidP="008C3049">
            <w:pPr>
              <w:spacing w:before="60" w:after="144" w:line="240" w:lineRule="auto"/>
              <w:ind w:left="567"/>
              <w:rPr>
                <w:rFonts w:ascii="Times New Roman" w:hAnsi="Times New Roman" w:cs="Times New Roman"/>
                <w:sz w:val="18"/>
                <w:szCs w:val="18"/>
                <w:lang w:val="es-AR"/>
              </w:rPr>
            </w:pPr>
            <w:r w:rsidRPr="00D0684B">
              <w:rPr>
                <w:rFonts w:ascii="Times New Roman" w:hAnsi="Times New Roman" w:cs="Times New Roman"/>
                <w:sz w:val="18"/>
                <w:szCs w:val="18"/>
                <w:lang w:val="es-AR"/>
              </w:rPr>
              <w:t>5.5.2.4 Respetuoso</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487</w:t>
            </w:r>
          </w:p>
        </w:tc>
      </w:tr>
      <w:tr w:rsidR="00F71B0D" w:rsidRPr="00D0684B" w:rsidTr="008C3049">
        <w:tc>
          <w:tcPr>
            <w:tcW w:w="6712" w:type="dxa"/>
          </w:tcPr>
          <w:p w:rsidR="00F71B0D" w:rsidRPr="00D0684B" w:rsidRDefault="00F71B0D" w:rsidP="008C3049">
            <w:pPr>
              <w:spacing w:before="60" w:after="144" w:line="240" w:lineRule="auto"/>
              <w:ind w:left="567"/>
              <w:rPr>
                <w:rFonts w:ascii="Times New Roman" w:hAnsi="Times New Roman" w:cs="Times New Roman"/>
                <w:sz w:val="18"/>
                <w:szCs w:val="18"/>
                <w:lang w:val="es-AR"/>
              </w:rPr>
            </w:pPr>
            <w:r w:rsidRPr="00D0684B">
              <w:rPr>
                <w:rFonts w:ascii="Times New Roman" w:hAnsi="Times New Roman" w:cs="Times New Roman"/>
                <w:sz w:val="18"/>
                <w:szCs w:val="18"/>
                <w:lang w:val="es-AR"/>
              </w:rPr>
              <w:t>5.5.2.5 Abierto</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489</w:t>
            </w:r>
          </w:p>
        </w:tc>
      </w:tr>
      <w:tr w:rsidR="00F71B0D" w:rsidRPr="00D0684B" w:rsidTr="008C3049">
        <w:tc>
          <w:tcPr>
            <w:tcW w:w="6712" w:type="dxa"/>
          </w:tcPr>
          <w:p w:rsidR="00F71B0D" w:rsidRPr="00D0684B" w:rsidRDefault="00F71B0D" w:rsidP="008C3049">
            <w:pPr>
              <w:spacing w:before="60" w:after="144" w:line="240" w:lineRule="auto"/>
              <w:ind w:left="567"/>
              <w:rPr>
                <w:rFonts w:ascii="Times New Roman" w:hAnsi="Times New Roman" w:cs="Times New Roman"/>
                <w:sz w:val="18"/>
                <w:szCs w:val="18"/>
                <w:lang w:val="es-AR"/>
              </w:rPr>
            </w:pPr>
            <w:r w:rsidRPr="00D0684B">
              <w:rPr>
                <w:rFonts w:ascii="Times New Roman" w:hAnsi="Times New Roman" w:cs="Times New Roman"/>
                <w:sz w:val="18"/>
                <w:szCs w:val="18"/>
                <w:lang w:val="es-AR"/>
              </w:rPr>
              <w:t>5.5.2.6 Formal</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491</w:t>
            </w:r>
          </w:p>
        </w:tc>
      </w:tr>
      <w:tr w:rsidR="00F71B0D" w:rsidRPr="00C8220A" w:rsidTr="008C3049">
        <w:tc>
          <w:tcPr>
            <w:tcW w:w="6712" w:type="dxa"/>
          </w:tcPr>
          <w:p w:rsidR="00F71B0D" w:rsidRPr="00D0684B" w:rsidRDefault="00F71B0D" w:rsidP="008C3049">
            <w:pPr>
              <w:spacing w:before="60" w:after="144" w:line="240" w:lineRule="auto"/>
              <w:ind w:left="284"/>
              <w:rPr>
                <w:rFonts w:ascii="Times New Roman" w:hAnsi="Times New Roman" w:cs="Times New Roman"/>
                <w:sz w:val="18"/>
                <w:szCs w:val="18"/>
                <w:lang w:val="es-AR"/>
              </w:rPr>
            </w:pPr>
            <w:r w:rsidRPr="00D0684B">
              <w:rPr>
                <w:rFonts w:ascii="Times New Roman" w:hAnsi="Times New Roman" w:cs="Times New Roman"/>
                <w:sz w:val="18"/>
                <w:szCs w:val="18"/>
                <w:lang w:val="es-AR"/>
              </w:rPr>
              <w:t>5.5.3 El modelo de apoyos y la representación</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491</w:t>
            </w:r>
          </w:p>
        </w:tc>
      </w:tr>
      <w:tr w:rsidR="00F71B0D" w:rsidRPr="00C8220A" w:rsidTr="008C3049">
        <w:tc>
          <w:tcPr>
            <w:tcW w:w="6712" w:type="dxa"/>
          </w:tcPr>
          <w:p w:rsidR="00F71B0D" w:rsidRPr="00D0684B" w:rsidRDefault="00F71B0D" w:rsidP="008C3049">
            <w:pPr>
              <w:spacing w:before="60" w:after="144" w:line="240" w:lineRule="auto"/>
              <w:ind w:left="567"/>
              <w:rPr>
                <w:rFonts w:ascii="Times New Roman" w:hAnsi="Times New Roman" w:cs="Times New Roman"/>
                <w:sz w:val="18"/>
                <w:szCs w:val="18"/>
                <w:lang w:val="es-AR"/>
              </w:rPr>
            </w:pPr>
            <w:r w:rsidRPr="00D0684B">
              <w:rPr>
                <w:rFonts w:ascii="Times New Roman" w:hAnsi="Times New Roman" w:cs="Times New Roman"/>
                <w:sz w:val="18"/>
                <w:szCs w:val="18"/>
                <w:lang w:val="es-AR"/>
              </w:rPr>
              <w:t>5.5.3.1 Acciones de representación en el marco de un modelo de apoyo</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492</w:t>
            </w:r>
          </w:p>
        </w:tc>
      </w:tr>
      <w:tr w:rsidR="00F71B0D" w:rsidRPr="00C8220A" w:rsidTr="008C3049">
        <w:tc>
          <w:tcPr>
            <w:tcW w:w="6712" w:type="dxa"/>
          </w:tcPr>
          <w:p w:rsidR="00F71B0D" w:rsidRPr="00D0684B" w:rsidRDefault="00F71B0D" w:rsidP="008C3049">
            <w:pPr>
              <w:spacing w:before="60" w:after="144" w:line="240" w:lineRule="auto"/>
              <w:ind w:left="567"/>
              <w:rPr>
                <w:rFonts w:ascii="Times New Roman" w:hAnsi="Times New Roman" w:cs="Times New Roman"/>
                <w:sz w:val="18"/>
                <w:szCs w:val="18"/>
                <w:lang w:val="es-AR"/>
              </w:rPr>
            </w:pPr>
            <w:r w:rsidRPr="00D0684B">
              <w:rPr>
                <w:rFonts w:ascii="Times New Roman" w:hAnsi="Times New Roman" w:cs="Times New Roman"/>
                <w:sz w:val="18"/>
                <w:szCs w:val="18"/>
                <w:lang w:val="es-AR"/>
              </w:rPr>
              <w:t>5.5.3.2 Representación voluntaria generada en el marco de un modelo de apoyos</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494</w:t>
            </w:r>
          </w:p>
        </w:tc>
      </w:tr>
      <w:tr w:rsidR="00F71B0D" w:rsidRPr="00C8220A" w:rsidTr="008C3049">
        <w:tc>
          <w:tcPr>
            <w:tcW w:w="6712" w:type="dxa"/>
          </w:tcPr>
          <w:p w:rsidR="00F71B0D" w:rsidRPr="00D0684B" w:rsidRDefault="00F71B0D" w:rsidP="008C3049">
            <w:pPr>
              <w:spacing w:before="60" w:after="144" w:line="240" w:lineRule="auto"/>
              <w:ind w:left="567"/>
              <w:rPr>
                <w:rFonts w:ascii="Times New Roman" w:hAnsi="Times New Roman" w:cs="Times New Roman"/>
                <w:sz w:val="18"/>
                <w:szCs w:val="18"/>
                <w:lang w:val="es-AR"/>
              </w:rPr>
            </w:pPr>
            <w:r w:rsidRPr="00D0684B">
              <w:rPr>
                <w:rFonts w:ascii="Times New Roman" w:hAnsi="Times New Roman" w:cs="Times New Roman"/>
                <w:sz w:val="18"/>
                <w:szCs w:val="18"/>
                <w:lang w:val="es-AR"/>
              </w:rPr>
              <w:t>5.5.3.3 Representación excepcional fuera del modelo de apoyos</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497</w:t>
            </w:r>
          </w:p>
        </w:tc>
      </w:tr>
      <w:tr w:rsidR="00F71B0D" w:rsidRPr="00C8220A" w:rsidTr="008C3049">
        <w:tc>
          <w:tcPr>
            <w:tcW w:w="6712" w:type="dxa"/>
          </w:tcPr>
          <w:p w:rsidR="00F71B0D" w:rsidRPr="00D0684B" w:rsidRDefault="00F71B0D" w:rsidP="008C3049">
            <w:pPr>
              <w:spacing w:before="60" w:after="144" w:line="240" w:lineRule="auto"/>
              <w:ind w:left="567"/>
              <w:rPr>
                <w:rFonts w:ascii="Times New Roman" w:hAnsi="Times New Roman" w:cs="Times New Roman"/>
                <w:sz w:val="18"/>
                <w:szCs w:val="18"/>
                <w:lang w:val="es-AR"/>
              </w:rPr>
            </w:pPr>
            <w:r w:rsidRPr="00D0684B">
              <w:rPr>
                <w:rFonts w:ascii="Times New Roman" w:hAnsi="Times New Roman" w:cs="Times New Roman"/>
                <w:sz w:val="18"/>
                <w:szCs w:val="18"/>
                <w:lang w:val="es-AR"/>
              </w:rPr>
              <w:t>5.5.4 Identificación de las obligaciones jurídico internacionales</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500</w:t>
            </w:r>
          </w:p>
        </w:tc>
      </w:tr>
      <w:tr w:rsidR="00F71B0D" w:rsidRPr="00C8220A" w:rsidTr="008C3049">
        <w:tc>
          <w:tcPr>
            <w:tcW w:w="6712" w:type="dxa"/>
          </w:tcPr>
          <w:p w:rsidR="00F71B0D" w:rsidRPr="00D0684B" w:rsidRDefault="00F71B0D" w:rsidP="008C3049">
            <w:pPr>
              <w:spacing w:before="60" w:afterLines="60" w:line="240" w:lineRule="auto"/>
              <w:rPr>
                <w:rFonts w:ascii="Times New Roman" w:hAnsi="Times New Roman" w:cs="Times New Roman"/>
                <w:sz w:val="18"/>
                <w:szCs w:val="18"/>
                <w:lang w:val="es-AR"/>
              </w:rPr>
            </w:pPr>
            <w:r w:rsidRPr="00D0684B">
              <w:rPr>
                <w:rFonts w:ascii="Times New Roman" w:hAnsi="Times New Roman" w:cs="Times New Roman"/>
                <w:sz w:val="18"/>
                <w:szCs w:val="18"/>
                <w:lang w:val="es-AR"/>
              </w:rPr>
              <w:t>5.6 Artículo 12(4): Las salvaguardias sobre las medidas relativas al ejercicio de la capacidad jurídica</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502</w:t>
            </w:r>
          </w:p>
        </w:tc>
      </w:tr>
      <w:tr w:rsidR="00F71B0D" w:rsidRPr="00C8220A" w:rsidTr="008C3049">
        <w:tc>
          <w:tcPr>
            <w:tcW w:w="6712" w:type="dxa"/>
          </w:tcPr>
          <w:p w:rsidR="00F71B0D" w:rsidRPr="00D0684B" w:rsidRDefault="00F71B0D" w:rsidP="008C3049">
            <w:pPr>
              <w:spacing w:before="60" w:after="144" w:line="240" w:lineRule="auto"/>
              <w:ind w:left="284"/>
              <w:rPr>
                <w:rFonts w:ascii="Times New Roman" w:hAnsi="Times New Roman" w:cs="Times New Roman"/>
                <w:sz w:val="18"/>
                <w:szCs w:val="18"/>
                <w:lang w:val="es-AR"/>
              </w:rPr>
            </w:pPr>
            <w:r w:rsidRPr="00D0684B">
              <w:rPr>
                <w:rFonts w:ascii="Times New Roman" w:hAnsi="Times New Roman" w:cs="Times New Roman"/>
                <w:sz w:val="18"/>
                <w:szCs w:val="18"/>
                <w:lang w:val="es-AR"/>
              </w:rPr>
              <w:t>5.6.1 El objeto de las salvaguardias</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503</w:t>
            </w:r>
          </w:p>
        </w:tc>
      </w:tr>
      <w:tr w:rsidR="00F71B0D" w:rsidRPr="00C8220A" w:rsidTr="008C3049">
        <w:tc>
          <w:tcPr>
            <w:tcW w:w="6712" w:type="dxa"/>
          </w:tcPr>
          <w:p w:rsidR="00F71B0D" w:rsidRPr="00D0684B" w:rsidRDefault="00F71B0D" w:rsidP="008C3049">
            <w:pPr>
              <w:spacing w:before="60" w:after="144" w:line="240" w:lineRule="auto"/>
              <w:ind w:left="284"/>
              <w:rPr>
                <w:rFonts w:ascii="Times New Roman" w:hAnsi="Times New Roman" w:cs="Times New Roman"/>
                <w:sz w:val="18"/>
                <w:szCs w:val="18"/>
                <w:lang w:val="es-AR"/>
              </w:rPr>
            </w:pPr>
            <w:r w:rsidRPr="00D0684B">
              <w:rPr>
                <w:rFonts w:ascii="Times New Roman" w:hAnsi="Times New Roman" w:cs="Times New Roman"/>
                <w:sz w:val="18"/>
                <w:szCs w:val="18"/>
                <w:lang w:val="es-AR"/>
              </w:rPr>
              <w:t>5.6.2 Las características de las medidas relativas al ejercicio de la capacidad jurídica</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506</w:t>
            </w:r>
          </w:p>
        </w:tc>
      </w:tr>
      <w:tr w:rsidR="00F71B0D" w:rsidRPr="00C8220A" w:rsidTr="008C3049">
        <w:tc>
          <w:tcPr>
            <w:tcW w:w="6712" w:type="dxa"/>
          </w:tcPr>
          <w:p w:rsidR="00F71B0D" w:rsidRPr="00D0684B" w:rsidRDefault="00F71B0D" w:rsidP="008C3049">
            <w:pPr>
              <w:spacing w:before="60" w:after="144" w:line="240" w:lineRule="auto"/>
              <w:ind w:left="567"/>
              <w:rPr>
                <w:rFonts w:ascii="Times New Roman" w:hAnsi="Times New Roman" w:cs="Times New Roman"/>
                <w:sz w:val="18"/>
                <w:szCs w:val="18"/>
                <w:lang w:val="es-AR"/>
              </w:rPr>
            </w:pPr>
            <w:r w:rsidRPr="00D0684B">
              <w:rPr>
                <w:rFonts w:ascii="Times New Roman" w:hAnsi="Times New Roman" w:cs="Times New Roman"/>
                <w:sz w:val="18"/>
                <w:szCs w:val="18"/>
                <w:lang w:val="es-AR"/>
              </w:rPr>
              <w:t>5.6.2.1 Que respeten los derechos, la voluntad y las preferencias de la persona</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506</w:t>
            </w:r>
          </w:p>
        </w:tc>
      </w:tr>
      <w:tr w:rsidR="00F71B0D" w:rsidRPr="00C8220A" w:rsidTr="008C3049">
        <w:tc>
          <w:tcPr>
            <w:tcW w:w="6712" w:type="dxa"/>
          </w:tcPr>
          <w:p w:rsidR="00F71B0D" w:rsidRPr="00D0684B" w:rsidRDefault="00F71B0D" w:rsidP="008C3049">
            <w:pPr>
              <w:spacing w:before="60" w:after="144" w:line="240" w:lineRule="auto"/>
              <w:ind w:left="567"/>
              <w:rPr>
                <w:rFonts w:ascii="Times New Roman" w:hAnsi="Times New Roman" w:cs="Times New Roman"/>
                <w:sz w:val="18"/>
                <w:szCs w:val="18"/>
                <w:lang w:val="es-AR"/>
              </w:rPr>
            </w:pPr>
            <w:r w:rsidRPr="00D0684B">
              <w:rPr>
                <w:rFonts w:ascii="Times New Roman" w:hAnsi="Times New Roman" w:cs="Times New Roman"/>
                <w:sz w:val="18"/>
                <w:szCs w:val="18"/>
                <w:lang w:val="es-AR"/>
              </w:rPr>
              <w:t>5.6.2.2 Que no haya conflicto de intereses ni influencia indebida</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507</w:t>
            </w:r>
          </w:p>
        </w:tc>
      </w:tr>
      <w:tr w:rsidR="00F71B0D" w:rsidRPr="00C8220A" w:rsidTr="008C3049">
        <w:tc>
          <w:tcPr>
            <w:tcW w:w="6712" w:type="dxa"/>
          </w:tcPr>
          <w:p w:rsidR="00F71B0D" w:rsidRPr="00D0684B" w:rsidRDefault="00F71B0D" w:rsidP="008C3049">
            <w:pPr>
              <w:spacing w:before="60" w:after="144" w:line="240" w:lineRule="auto"/>
              <w:ind w:left="567"/>
              <w:rPr>
                <w:rFonts w:ascii="Times New Roman" w:hAnsi="Times New Roman" w:cs="Times New Roman"/>
                <w:sz w:val="18"/>
                <w:szCs w:val="18"/>
                <w:lang w:val="es-AR"/>
              </w:rPr>
            </w:pPr>
            <w:r w:rsidRPr="00D0684B">
              <w:rPr>
                <w:rFonts w:ascii="Times New Roman" w:hAnsi="Times New Roman" w:cs="Times New Roman"/>
                <w:sz w:val="18"/>
                <w:szCs w:val="18"/>
                <w:lang w:val="es-AR"/>
              </w:rPr>
              <w:t>5.6.2.3 Que sean proporcionales y adaptadas a las circunstancias de la persona</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508</w:t>
            </w:r>
          </w:p>
        </w:tc>
      </w:tr>
      <w:tr w:rsidR="00F71B0D" w:rsidRPr="00C8220A" w:rsidTr="008C3049">
        <w:tc>
          <w:tcPr>
            <w:tcW w:w="6712" w:type="dxa"/>
          </w:tcPr>
          <w:p w:rsidR="00F71B0D" w:rsidRPr="00D0684B" w:rsidRDefault="00F71B0D" w:rsidP="008C3049">
            <w:pPr>
              <w:spacing w:before="60" w:after="144" w:line="240" w:lineRule="auto"/>
              <w:ind w:left="567"/>
              <w:rPr>
                <w:rFonts w:ascii="Times New Roman" w:hAnsi="Times New Roman" w:cs="Times New Roman"/>
                <w:sz w:val="18"/>
                <w:szCs w:val="18"/>
                <w:lang w:val="es-AR"/>
              </w:rPr>
            </w:pPr>
            <w:r w:rsidRPr="00D0684B">
              <w:rPr>
                <w:rFonts w:ascii="Times New Roman" w:hAnsi="Times New Roman" w:cs="Times New Roman"/>
                <w:sz w:val="18"/>
                <w:szCs w:val="18"/>
                <w:lang w:val="es-AR"/>
              </w:rPr>
              <w:t>5.6.2.4 Que se apliquen en el plazo más corto posible</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509</w:t>
            </w:r>
          </w:p>
        </w:tc>
      </w:tr>
      <w:tr w:rsidR="00F71B0D" w:rsidRPr="00C8220A" w:rsidTr="008C3049">
        <w:tc>
          <w:tcPr>
            <w:tcW w:w="6712" w:type="dxa"/>
          </w:tcPr>
          <w:p w:rsidR="00F71B0D" w:rsidRPr="00D0684B" w:rsidRDefault="00F71B0D" w:rsidP="008C3049">
            <w:pPr>
              <w:spacing w:before="60" w:after="144" w:line="240" w:lineRule="auto"/>
              <w:ind w:left="567"/>
              <w:rPr>
                <w:rFonts w:ascii="Times New Roman" w:hAnsi="Times New Roman" w:cs="Times New Roman"/>
                <w:sz w:val="18"/>
                <w:szCs w:val="18"/>
                <w:lang w:val="es-AR"/>
              </w:rPr>
            </w:pPr>
            <w:r w:rsidRPr="00D0684B">
              <w:rPr>
                <w:rFonts w:ascii="Times New Roman" w:hAnsi="Times New Roman" w:cs="Times New Roman"/>
                <w:sz w:val="18"/>
                <w:szCs w:val="18"/>
                <w:lang w:val="es-AR"/>
              </w:rPr>
              <w:t>5.6.2.5 Que estén sujetas a exámenes periódicos, por parte de una autoridad o un órgano judicial competente, independiente e imparcial</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510</w:t>
            </w:r>
          </w:p>
        </w:tc>
      </w:tr>
      <w:tr w:rsidR="00F71B0D" w:rsidRPr="00C8220A" w:rsidTr="008C3049">
        <w:tc>
          <w:tcPr>
            <w:tcW w:w="6712" w:type="dxa"/>
          </w:tcPr>
          <w:p w:rsidR="00F71B0D" w:rsidRPr="00D0684B" w:rsidRDefault="00F71B0D" w:rsidP="008C3049">
            <w:pPr>
              <w:spacing w:before="60" w:after="144" w:line="240" w:lineRule="auto"/>
              <w:ind w:left="567"/>
              <w:rPr>
                <w:rFonts w:ascii="Times New Roman" w:hAnsi="Times New Roman" w:cs="Times New Roman"/>
                <w:sz w:val="18"/>
                <w:szCs w:val="18"/>
                <w:lang w:val="es-AR"/>
              </w:rPr>
            </w:pPr>
            <w:r w:rsidRPr="00D0684B">
              <w:rPr>
                <w:rFonts w:ascii="Times New Roman" w:hAnsi="Times New Roman" w:cs="Times New Roman"/>
                <w:sz w:val="18"/>
                <w:szCs w:val="18"/>
                <w:lang w:val="es-AR"/>
              </w:rPr>
              <w:lastRenderedPageBreak/>
              <w:t>5.6.2.6 Que sea proporcionales al grado en que dichas medidas afecten a los derechos e intereses de las personas</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510</w:t>
            </w:r>
          </w:p>
        </w:tc>
      </w:tr>
      <w:tr w:rsidR="00F71B0D" w:rsidRPr="00C8220A" w:rsidTr="008C3049">
        <w:tc>
          <w:tcPr>
            <w:tcW w:w="6712" w:type="dxa"/>
          </w:tcPr>
          <w:p w:rsidR="00F71B0D" w:rsidRPr="00D0684B" w:rsidRDefault="00F71B0D" w:rsidP="008C3049">
            <w:pPr>
              <w:spacing w:before="60" w:after="144" w:line="240" w:lineRule="auto"/>
              <w:ind w:left="284"/>
              <w:rPr>
                <w:rFonts w:ascii="Times New Roman" w:hAnsi="Times New Roman" w:cs="Times New Roman"/>
                <w:sz w:val="18"/>
                <w:szCs w:val="18"/>
                <w:lang w:val="es-AR"/>
              </w:rPr>
            </w:pPr>
            <w:r w:rsidRPr="00D0684B">
              <w:rPr>
                <w:rFonts w:ascii="Times New Roman" w:hAnsi="Times New Roman" w:cs="Times New Roman"/>
                <w:sz w:val="18"/>
                <w:szCs w:val="18"/>
                <w:lang w:val="es-AR"/>
              </w:rPr>
              <w:t>5.6.3 Identificación de las obligaciones jurídico internacionales</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511</w:t>
            </w:r>
          </w:p>
        </w:tc>
      </w:tr>
      <w:tr w:rsidR="00F71B0D" w:rsidRPr="00C8220A" w:rsidTr="008C3049">
        <w:tc>
          <w:tcPr>
            <w:tcW w:w="6712" w:type="dxa"/>
          </w:tcPr>
          <w:p w:rsidR="00F71B0D" w:rsidRPr="00D0684B" w:rsidRDefault="00F71B0D" w:rsidP="008C3049">
            <w:pPr>
              <w:spacing w:before="60" w:afterLines="60" w:line="240" w:lineRule="auto"/>
              <w:rPr>
                <w:rFonts w:ascii="Times New Roman" w:hAnsi="Times New Roman" w:cs="Times New Roman"/>
                <w:sz w:val="18"/>
                <w:szCs w:val="18"/>
                <w:lang w:val="es-AR"/>
              </w:rPr>
            </w:pPr>
            <w:r w:rsidRPr="00D0684B">
              <w:rPr>
                <w:rFonts w:ascii="Times New Roman" w:hAnsi="Times New Roman" w:cs="Times New Roman"/>
                <w:sz w:val="18"/>
                <w:szCs w:val="18"/>
                <w:lang w:val="es-AR"/>
              </w:rPr>
              <w:t>5.7 Artículo 12(5): Garantía de ejercicio de derechos patrimoniales</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513</w:t>
            </w:r>
          </w:p>
        </w:tc>
      </w:tr>
      <w:tr w:rsidR="00F71B0D" w:rsidRPr="00C8220A" w:rsidTr="008C3049">
        <w:tc>
          <w:tcPr>
            <w:tcW w:w="6712" w:type="dxa"/>
          </w:tcPr>
          <w:p w:rsidR="00F71B0D" w:rsidRPr="00D0684B" w:rsidRDefault="00F71B0D" w:rsidP="008C3049">
            <w:pPr>
              <w:spacing w:before="60" w:after="144" w:line="240" w:lineRule="auto"/>
              <w:ind w:left="284"/>
              <w:rPr>
                <w:rFonts w:ascii="Times New Roman" w:hAnsi="Times New Roman" w:cs="Times New Roman"/>
                <w:sz w:val="18"/>
                <w:szCs w:val="18"/>
                <w:lang w:val="es-AR"/>
              </w:rPr>
            </w:pPr>
            <w:r w:rsidRPr="00D0684B">
              <w:rPr>
                <w:rFonts w:ascii="Times New Roman" w:hAnsi="Times New Roman" w:cs="Times New Roman"/>
                <w:sz w:val="18"/>
                <w:szCs w:val="18"/>
                <w:lang w:val="es-AR"/>
              </w:rPr>
              <w:t>5.7.1 El valor instrumental e interpretativo del Artículo 12(5)</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514</w:t>
            </w:r>
          </w:p>
        </w:tc>
      </w:tr>
      <w:tr w:rsidR="00F71B0D" w:rsidRPr="00C8220A" w:rsidTr="008C3049">
        <w:tc>
          <w:tcPr>
            <w:tcW w:w="6712" w:type="dxa"/>
          </w:tcPr>
          <w:p w:rsidR="00F71B0D" w:rsidRPr="00D0684B" w:rsidRDefault="00F71B0D" w:rsidP="008C3049">
            <w:pPr>
              <w:spacing w:before="60" w:after="144" w:line="240" w:lineRule="auto"/>
              <w:ind w:left="284"/>
              <w:rPr>
                <w:rFonts w:ascii="Times New Roman" w:hAnsi="Times New Roman" w:cs="Times New Roman"/>
                <w:sz w:val="18"/>
                <w:szCs w:val="18"/>
                <w:lang w:val="es-AR"/>
              </w:rPr>
            </w:pPr>
            <w:r w:rsidRPr="00D0684B">
              <w:rPr>
                <w:rFonts w:ascii="Times New Roman" w:hAnsi="Times New Roman" w:cs="Times New Roman"/>
                <w:sz w:val="18"/>
                <w:szCs w:val="18"/>
                <w:lang w:val="es-AR"/>
              </w:rPr>
              <w:t>5.7.2 La garantía de no discriminación</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515</w:t>
            </w:r>
          </w:p>
        </w:tc>
      </w:tr>
      <w:tr w:rsidR="00F71B0D" w:rsidRPr="00C8220A" w:rsidTr="008C3049">
        <w:tc>
          <w:tcPr>
            <w:tcW w:w="6712" w:type="dxa"/>
          </w:tcPr>
          <w:p w:rsidR="00F71B0D" w:rsidRPr="00D0684B" w:rsidRDefault="00F71B0D" w:rsidP="008C3049">
            <w:pPr>
              <w:spacing w:before="60" w:after="144" w:line="240" w:lineRule="auto"/>
              <w:ind w:left="284"/>
              <w:rPr>
                <w:rFonts w:ascii="Times New Roman" w:hAnsi="Times New Roman" w:cs="Times New Roman"/>
                <w:sz w:val="18"/>
                <w:szCs w:val="18"/>
                <w:lang w:val="es-AR"/>
              </w:rPr>
            </w:pPr>
            <w:r w:rsidRPr="00D0684B">
              <w:rPr>
                <w:rFonts w:ascii="Times New Roman" w:hAnsi="Times New Roman" w:cs="Times New Roman"/>
                <w:sz w:val="18"/>
                <w:szCs w:val="18"/>
                <w:lang w:val="es-AR"/>
              </w:rPr>
              <w:t>5.7.3 Acceso al patrimonio y vida independiente</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516</w:t>
            </w:r>
          </w:p>
        </w:tc>
      </w:tr>
      <w:tr w:rsidR="00F71B0D" w:rsidRPr="00C8220A" w:rsidTr="008C3049">
        <w:tc>
          <w:tcPr>
            <w:tcW w:w="6712" w:type="dxa"/>
          </w:tcPr>
          <w:p w:rsidR="00F71B0D" w:rsidRPr="00D0684B" w:rsidRDefault="00F71B0D" w:rsidP="008C3049">
            <w:pPr>
              <w:spacing w:before="60" w:after="144" w:line="240" w:lineRule="auto"/>
              <w:ind w:left="284"/>
              <w:rPr>
                <w:rFonts w:ascii="Times New Roman" w:hAnsi="Times New Roman" w:cs="Times New Roman"/>
                <w:sz w:val="18"/>
                <w:szCs w:val="18"/>
                <w:lang w:val="es-AR"/>
              </w:rPr>
            </w:pPr>
            <w:r w:rsidRPr="00D0684B">
              <w:rPr>
                <w:rFonts w:ascii="Times New Roman" w:hAnsi="Times New Roman" w:cs="Times New Roman"/>
                <w:sz w:val="18"/>
                <w:szCs w:val="18"/>
                <w:lang w:val="es-AR"/>
              </w:rPr>
              <w:t>5.7.4 Identificación de las obligaciones jurídico internacionales</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517</w:t>
            </w:r>
          </w:p>
        </w:tc>
      </w:tr>
      <w:tr w:rsidR="00F71B0D" w:rsidRPr="00C8220A" w:rsidTr="008C3049">
        <w:tc>
          <w:tcPr>
            <w:tcW w:w="6712" w:type="dxa"/>
          </w:tcPr>
          <w:p w:rsidR="00F71B0D" w:rsidRPr="00D0684B" w:rsidRDefault="00F71B0D" w:rsidP="008C3049">
            <w:pPr>
              <w:spacing w:before="60" w:afterLines="60" w:line="240" w:lineRule="auto"/>
              <w:jc w:val="center"/>
              <w:rPr>
                <w:rFonts w:ascii="Times New Roman" w:hAnsi="Times New Roman" w:cs="Times New Roman"/>
                <w:b/>
                <w:i/>
                <w:sz w:val="18"/>
                <w:szCs w:val="18"/>
                <w:lang w:val="es-AR"/>
              </w:rPr>
            </w:pPr>
            <w:r w:rsidRPr="00D0684B">
              <w:rPr>
                <w:rFonts w:ascii="Times New Roman" w:hAnsi="Times New Roman" w:cs="Times New Roman"/>
                <w:b/>
                <w:i/>
                <w:sz w:val="18"/>
                <w:szCs w:val="18"/>
                <w:lang w:val="es-AR"/>
              </w:rPr>
              <w:t>Capítulo 6</w:t>
            </w:r>
          </w:p>
          <w:p w:rsidR="00F71B0D" w:rsidRPr="00D0684B" w:rsidRDefault="00F71B0D" w:rsidP="008C3049">
            <w:pPr>
              <w:spacing w:before="60" w:afterLines="60" w:line="240" w:lineRule="auto"/>
              <w:jc w:val="center"/>
              <w:rPr>
                <w:rFonts w:ascii="Times New Roman" w:hAnsi="Times New Roman" w:cs="Times New Roman"/>
                <w:sz w:val="18"/>
                <w:szCs w:val="18"/>
                <w:lang w:val="es-AR"/>
              </w:rPr>
            </w:pPr>
            <w:r w:rsidRPr="00D0684B">
              <w:rPr>
                <w:rFonts w:ascii="Times New Roman" w:hAnsi="Times New Roman" w:cs="Times New Roman"/>
                <w:b/>
                <w:i/>
                <w:sz w:val="18"/>
                <w:szCs w:val="18"/>
                <w:lang w:val="es-AR"/>
              </w:rPr>
              <w:t>Las disposiciones de la CDPD en materia de capacidad jurídica: inserción en el ordenamiento jurídico internacional</w:t>
            </w:r>
          </w:p>
        </w:tc>
        <w:tc>
          <w:tcPr>
            <w:tcW w:w="874" w:type="dxa"/>
          </w:tcPr>
          <w:p w:rsidR="00F71B0D" w:rsidRDefault="00F71B0D" w:rsidP="008C3049">
            <w:pPr>
              <w:spacing w:before="60" w:afterLines="60" w:line="240" w:lineRule="auto"/>
              <w:rPr>
                <w:rFonts w:ascii="Times New Roman" w:hAnsi="Times New Roman" w:cs="Times New Roman"/>
                <w:sz w:val="18"/>
                <w:szCs w:val="18"/>
                <w:lang w:val="es-AR"/>
              </w:rPr>
            </w:pPr>
          </w:p>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519</w:t>
            </w:r>
          </w:p>
        </w:tc>
      </w:tr>
      <w:tr w:rsidR="00F71B0D" w:rsidRPr="00D0684B" w:rsidTr="008C3049">
        <w:tc>
          <w:tcPr>
            <w:tcW w:w="6712" w:type="dxa"/>
          </w:tcPr>
          <w:p w:rsidR="00F71B0D" w:rsidRPr="00D0684B" w:rsidRDefault="00F71B0D" w:rsidP="008C3049">
            <w:pPr>
              <w:spacing w:before="60" w:after="144" w:line="240" w:lineRule="auto"/>
              <w:rPr>
                <w:rFonts w:ascii="Times New Roman" w:hAnsi="Times New Roman" w:cs="Times New Roman"/>
                <w:i/>
                <w:iCs/>
                <w:sz w:val="18"/>
              </w:rPr>
            </w:pPr>
            <w:r w:rsidRPr="00D0684B">
              <w:rPr>
                <w:rFonts w:ascii="Times New Roman" w:hAnsi="Times New Roman" w:cs="Times New Roman"/>
                <w:sz w:val="18"/>
              </w:rPr>
              <w:t>6.1 Introducción</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521</w:t>
            </w:r>
          </w:p>
        </w:tc>
      </w:tr>
      <w:tr w:rsidR="00F71B0D" w:rsidRPr="00C8220A" w:rsidTr="008C3049">
        <w:tc>
          <w:tcPr>
            <w:tcW w:w="6712" w:type="dxa"/>
          </w:tcPr>
          <w:p w:rsidR="00F71B0D" w:rsidRPr="00D0684B" w:rsidRDefault="00F71B0D" w:rsidP="008C3049">
            <w:pPr>
              <w:spacing w:before="60" w:after="144" w:line="240" w:lineRule="auto"/>
              <w:rPr>
                <w:rFonts w:ascii="Times New Roman" w:hAnsi="Times New Roman" w:cs="Times New Roman"/>
                <w:sz w:val="18"/>
                <w:lang w:val="es-AR"/>
              </w:rPr>
            </w:pPr>
            <w:r w:rsidRPr="00D0684B">
              <w:rPr>
                <w:rFonts w:ascii="Times New Roman" w:hAnsi="Times New Roman" w:cs="Times New Roman"/>
                <w:sz w:val="18"/>
                <w:lang w:val="es-AR"/>
              </w:rPr>
              <w:t>6.2 El artículo 12 y los conflictos con otras normas de derecho internacional</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522</w:t>
            </w:r>
          </w:p>
        </w:tc>
      </w:tr>
      <w:tr w:rsidR="00F71B0D" w:rsidRPr="00C8220A" w:rsidTr="008C3049">
        <w:tc>
          <w:tcPr>
            <w:tcW w:w="6712" w:type="dxa"/>
          </w:tcPr>
          <w:p w:rsidR="00F71B0D" w:rsidRPr="00D0684B" w:rsidRDefault="00F71B0D" w:rsidP="008C3049">
            <w:pPr>
              <w:spacing w:before="60" w:after="144" w:line="240" w:lineRule="auto"/>
              <w:ind w:left="284"/>
              <w:rPr>
                <w:rFonts w:ascii="Times New Roman" w:hAnsi="Times New Roman" w:cs="Times New Roman"/>
                <w:sz w:val="18"/>
                <w:lang w:val="es-AR"/>
              </w:rPr>
            </w:pPr>
            <w:r w:rsidRPr="00D0684B">
              <w:rPr>
                <w:rFonts w:ascii="Times New Roman" w:hAnsi="Times New Roman" w:cs="Times New Roman"/>
                <w:sz w:val="18"/>
                <w:lang w:val="es-AR"/>
              </w:rPr>
              <w:t>6.2.1 Fuentes normativas en contraposición con lo estipulado por la CDPD</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522</w:t>
            </w:r>
          </w:p>
        </w:tc>
      </w:tr>
      <w:tr w:rsidR="00F71B0D" w:rsidRPr="00C8220A" w:rsidTr="008C3049">
        <w:tc>
          <w:tcPr>
            <w:tcW w:w="6712" w:type="dxa"/>
          </w:tcPr>
          <w:p w:rsidR="00F71B0D" w:rsidRPr="00D0684B" w:rsidRDefault="00F71B0D" w:rsidP="008C3049">
            <w:pPr>
              <w:spacing w:before="60" w:after="144" w:line="240" w:lineRule="auto"/>
              <w:ind w:left="284"/>
              <w:rPr>
                <w:rFonts w:ascii="Times New Roman" w:hAnsi="Times New Roman" w:cs="Times New Roman"/>
                <w:sz w:val="18"/>
                <w:lang w:val="es-AR"/>
              </w:rPr>
            </w:pPr>
            <w:r w:rsidRPr="00D0684B">
              <w:rPr>
                <w:rFonts w:ascii="Times New Roman" w:hAnsi="Times New Roman" w:cs="Times New Roman"/>
                <w:sz w:val="18"/>
                <w:lang w:val="es-AR"/>
              </w:rPr>
              <w:t>6.2.2 Conflicto entre la CDPD y las normas no vinculantes</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528</w:t>
            </w:r>
          </w:p>
        </w:tc>
      </w:tr>
      <w:tr w:rsidR="00F71B0D" w:rsidRPr="00C8220A" w:rsidTr="008C3049">
        <w:tc>
          <w:tcPr>
            <w:tcW w:w="6712" w:type="dxa"/>
          </w:tcPr>
          <w:p w:rsidR="00F71B0D" w:rsidRPr="00D0684B" w:rsidRDefault="00F71B0D" w:rsidP="008C3049">
            <w:pPr>
              <w:spacing w:before="60" w:after="144" w:line="240" w:lineRule="auto"/>
              <w:ind w:left="284"/>
              <w:rPr>
                <w:rFonts w:ascii="Times New Roman" w:hAnsi="Times New Roman" w:cs="Times New Roman"/>
                <w:sz w:val="18"/>
                <w:lang w:val="es-AR"/>
              </w:rPr>
            </w:pPr>
            <w:r w:rsidRPr="00D0684B">
              <w:rPr>
                <w:rFonts w:ascii="Times New Roman" w:hAnsi="Times New Roman" w:cs="Times New Roman"/>
                <w:sz w:val="18"/>
                <w:lang w:val="es-AR"/>
              </w:rPr>
              <w:t>6.2.3 Conflicto entre la CDPD y las normas consuetudinarias</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530</w:t>
            </w:r>
          </w:p>
        </w:tc>
      </w:tr>
      <w:tr w:rsidR="00F71B0D" w:rsidRPr="00C8220A" w:rsidTr="008C3049">
        <w:tc>
          <w:tcPr>
            <w:tcW w:w="6712" w:type="dxa"/>
          </w:tcPr>
          <w:p w:rsidR="00F71B0D" w:rsidRPr="00D0684B" w:rsidRDefault="00F71B0D" w:rsidP="008C3049">
            <w:pPr>
              <w:spacing w:before="60" w:after="144" w:line="240" w:lineRule="auto"/>
              <w:ind w:left="284"/>
              <w:rPr>
                <w:rFonts w:ascii="Times New Roman" w:hAnsi="Times New Roman" w:cs="Times New Roman"/>
                <w:sz w:val="18"/>
                <w:lang w:val="es-AR"/>
              </w:rPr>
            </w:pPr>
            <w:r w:rsidRPr="00D0684B">
              <w:rPr>
                <w:rFonts w:ascii="Times New Roman" w:hAnsi="Times New Roman" w:cs="Times New Roman"/>
                <w:sz w:val="18"/>
                <w:lang w:val="es-AR"/>
              </w:rPr>
              <w:t>6.2.4 Conflicto entre la CDPD y otras fuentes convencionales</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531</w:t>
            </w:r>
          </w:p>
        </w:tc>
      </w:tr>
      <w:tr w:rsidR="00F71B0D" w:rsidRPr="00D0684B" w:rsidTr="008C3049">
        <w:tc>
          <w:tcPr>
            <w:tcW w:w="6712" w:type="dxa"/>
          </w:tcPr>
          <w:p w:rsidR="00F71B0D" w:rsidRPr="00D0684B" w:rsidRDefault="00F71B0D" w:rsidP="008C3049">
            <w:pPr>
              <w:spacing w:before="60" w:after="144" w:line="240" w:lineRule="auto"/>
              <w:ind w:left="567"/>
              <w:rPr>
                <w:rFonts w:ascii="Times New Roman" w:hAnsi="Times New Roman" w:cs="Times New Roman"/>
                <w:sz w:val="18"/>
              </w:rPr>
            </w:pPr>
            <w:r w:rsidRPr="00D0684B">
              <w:rPr>
                <w:rFonts w:ascii="Times New Roman" w:hAnsi="Times New Roman" w:cs="Times New Roman"/>
                <w:sz w:val="18"/>
              </w:rPr>
              <w:t xml:space="preserve">6.2.4.1 Criterio de </w:t>
            </w:r>
            <w:proofErr w:type="spellStart"/>
            <w:r w:rsidRPr="00D0684B">
              <w:rPr>
                <w:rFonts w:ascii="Times New Roman" w:hAnsi="Times New Roman" w:cs="Times New Roman"/>
                <w:sz w:val="18"/>
              </w:rPr>
              <w:t>lex</w:t>
            </w:r>
            <w:proofErr w:type="spellEnd"/>
            <w:r w:rsidRPr="00D0684B">
              <w:rPr>
                <w:rFonts w:ascii="Times New Roman" w:hAnsi="Times New Roman" w:cs="Times New Roman"/>
                <w:sz w:val="18"/>
              </w:rPr>
              <w:t xml:space="preserve"> superior</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535</w:t>
            </w:r>
          </w:p>
        </w:tc>
      </w:tr>
      <w:tr w:rsidR="00F71B0D" w:rsidRPr="00D0684B" w:rsidTr="008C3049">
        <w:tc>
          <w:tcPr>
            <w:tcW w:w="6712" w:type="dxa"/>
          </w:tcPr>
          <w:p w:rsidR="00F71B0D" w:rsidRPr="00D0684B" w:rsidRDefault="00F71B0D" w:rsidP="008C3049">
            <w:pPr>
              <w:spacing w:before="60" w:after="144" w:line="240" w:lineRule="auto"/>
              <w:ind w:left="567"/>
              <w:rPr>
                <w:rFonts w:ascii="Times New Roman" w:hAnsi="Times New Roman" w:cs="Times New Roman"/>
                <w:sz w:val="18"/>
              </w:rPr>
            </w:pPr>
            <w:r w:rsidRPr="00D0684B">
              <w:rPr>
                <w:rFonts w:ascii="Times New Roman" w:hAnsi="Times New Roman" w:cs="Times New Roman"/>
                <w:sz w:val="18"/>
              </w:rPr>
              <w:t xml:space="preserve">6.2.4.2 Criterio de </w:t>
            </w:r>
            <w:proofErr w:type="spellStart"/>
            <w:r w:rsidRPr="00D0684B">
              <w:rPr>
                <w:rFonts w:ascii="Times New Roman" w:hAnsi="Times New Roman" w:cs="Times New Roman"/>
                <w:sz w:val="18"/>
              </w:rPr>
              <w:t>lex</w:t>
            </w:r>
            <w:proofErr w:type="spellEnd"/>
            <w:r w:rsidRPr="00D0684B">
              <w:rPr>
                <w:rFonts w:ascii="Times New Roman" w:hAnsi="Times New Roman" w:cs="Times New Roman"/>
                <w:sz w:val="18"/>
              </w:rPr>
              <w:t xml:space="preserve"> </w:t>
            </w:r>
            <w:proofErr w:type="spellStart"/>
            <w:r w:rsidRPr="00D0684B">
              <w:rPr>
                <w:rFonts w:ascii="Times New Roman" w:hAnsi="Times New Roman" w:cs="Times New Roman"/>
                <w:sz w:val="18"/>
              </w:rPr>
              <w:t>specialis</w:t>
            </w:r>
            <w:proofErr w:type="spellEnd"/>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536</w:t>
            </w:r>
          </w:p>
        </w:tc>
      </w:tr>
      <w:tr w:rsidR="00F71B0D" w:rsidRPr="00C8220A" w:rsidTr="008C3049">
        <w:tc>
          <w:tcPr>
            <w:tcW w:w="6712" w:type="dxa"/>
          </w:tcPr>
          <w:p w:rsidR="00F71B0D" w:rsidRPr="00D0684B" w:rsidRDefault="00F71B0D" w:rsidP="008C3049">
            <w:pPr>
              <w:spacing w:before="60" w:after="144" w:line="240" w:lineRule="auto"/>
              <w:ind w:left="567"/>
              <w:rPr>
                <w:rFonts w:ascii="Times New Roman" w:hAnsi="Times New Roman" w:cs="Times New Roman"/>
                <w:sz w:val="18"/>
                <w:lang w:val="es-AR"/>
              </w:rPr>
            </w:pPr>
            <w:r w:rsidRPr="00D0684B">
              <w:rPr>
                <w:rFonts w:ascii="Times New Roman" w:hAnsi="Times New Roman" w:cs="Times New Roman"/>
                <w:sz w:val="18"/>
                <w:lang w:val="es-AR"/>
              </w:rPr>
              <w:t xml:space="preserve">6.2.4.3 El criterio de </w:t>
            </w:r>
            <w:proofErr w:type="spellStart"/>
            <w:r w:rsidRPr="00D0684B">
              <w:rPr>
                <w:rFonts w:ascii="Times New Roman" w:hAnsi="Times New Roman" w:cs="Times New Roman"/>
                <w:sz w:val="18"/>
                <w:lang w:val="es-AR"/>
              </w:rPr>
              <w:t>lex</w:t>
            </w:r>
            <w:proofErr w:type="spellEnd"/>
            <w:r w:rsidRPr="00D0684B">
              <w:rPr>
                <w:rFonts w:ascii="Times New Roman" w:hAnsi="Times New Roman" w:cs="Times New Roman"/>
                <w:sz w:val="18"/>
                <w:lang w:val="es-AR"/>
              </w:rPr>
              <w:t xml:space="preserve"> posterior</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536</w:t>
            </w:r>
          </w:p>
        </w:tc>
      </w:tr>
      <w:tr w:rsidR="00F71B0D" w:rsidRPr="00C8220A" w:rsidTr="008C3049">
        <w:tc>
          <w:tcPr>
            <w:tcW w:w="6712" w:type="dxa"/>
          </w:tcPr>
          <w:p w:rsidR="00F71B0D" w:rsidRPr="00D0684B" w:rsidRDefault="00F71B0D" w:rsidP="008C3049">
            <w:pPr>
              <w:spacing w:before="60" w:after="144" w:line="240" w:lineRule="auto"/>
              <w:ind w:left="567"/>
              <w:rPr>
                <w:rFonts w:ascii="Times New Roman" w:hAnsi="Times New Roman" w:cs="Times New Roman"/>
                <w:sz w:val="18"/>
                <w:lang w:val="es-AR"/>
              </w:rPr>
            </w:pPr>
            <w:r w:rsidRPr="00D0684B">
              <w:rPr>
                <w:rFonts w:ascii="Times New Roman" w:hAnsi="Times New Roman" w:cs="Times New Roman"/>
                <w:sz w:val="18"/>
                <w:lang w:val="es-AR"/>
              </w:rPr>
              <w:t>6.2.4.4 El criterio de interpretación pro-persona</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539</w:t>
            </w:r>
          </w:p>
        </w:tc>
      </w:tr>
      <w:tr w:rsidR="00F71B0D" w:rsidRPr="00C8220A" w:rsidTr="008C3049">
        <w:tc>
          <w:tcPr>
            <w:tcW w:w="6712" w:type="dxa"/>
          </w:tcPr>
          <w:p w:rsidR="00F71B0D" w:rsidRPr="00D0684B" w:rsidRDefault="00F71B0D" w:rsidP="008C3049">
            <w:pPr>
              <w:spacing w:before="60" w:after="144" w:line="240" w:lineRule="auto"/>
              <w:rPr>
                <w:rFonts w:ascii="Times New Roman" w:hAnsi="Times New Roman" w:cs="Times New Roman"/>
                <w:sz w:val="18"/>
                <w:szCs w:val="18"/>
                <w:lang w:val="es-ES_tradnl"/>
              </w:rPr>
            </w:pPr>
            <w:r w:rsidRPr="00D0684B">
              <w:rPr>
                <w:rFonts w:ascii="Times New Roman" w:hAnsi="Times New Roman" w:cs="Times New Roman"/>
                <w:sz w:val="18"/>
                <w:szCs w:val="18"/>
                <w:lang w:val="es-ES_tradnl"/>
              </w:rPr>
              <w:t>6.3 Las reservas y declaraciones en relación con el artículo 12</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540</w:t>
            </w:r>
          </w:p>
        </w:tc>
      </w:tr>
      <w:tr w:rsidR="00F71B0D" w:rsidRPr="00C8220A" w:rsidTr="008C3049">
        <w:tc>
          <w:tcPr>
            <w:tcW w:w="6712" w:type="dxa"/>
          </w:tcPr>
          <w:p w:rsidR="00F71B0D" w:rsidRPr="00D0684B" w:rsidRDefault="00F71B0D" w:rsidP="008C3049">
            <w:pPr>
              <w:spacing w:before="60" w:after="144" w:line="240" w:lineRule="auto"/>
              <w:ind w:left="284"/>
              <w:rPr>
                <w:rFonts w:ascii="Times New Roman" w:hAnsi="Times New Roman" w:cs="Times New Roman"/>
                <w:sz w:val="18"/>
                <w:szCs w:val="18"/>
                <w:lang w:val="es-AR"/>
              </w:rPr>
            </w:pPr>
            <w:r w:rsidRPr="00D0684B">
              <w:rPr>
                <w:rFonts w:ascii="Times New Roman" w:hAnsi="Times New Roman" w:cs="Times New Roman"/>
                <w:sz w:val="18"/>
                <w:szCs w:val="18"/>
                <w:lang w:val="es-AR"/>
              </w:rPr>
              <w:t>6.3.1 El régimen jurídico de reservas previstos por la CDPD</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541</w:t>
            </w:r>
          </w:p>
        </w:tc>
      </w:tr>
      <w:tr w:rsidR="00F71B0D" w:rsidRPr="00C8220A" w:rsidTr="008C3049">
        <w:tc>
          <w:tcPr>
            <w:tcW w:w="6712" w:type="dxa"/>
          </w:tcPr>
          <w:p w:rsidR="00F71B0D" w:rsidRPr="00D0684B" w:rsidRDefault="00F71B0D" w:rsidP="008C3049">
            <w:pPr>
              <w:spacing w:before="60" w:after="144" w:line="240" w:lineRule="auto"/>
              <w:ind w:left="284"/>
              <w:rPr>
                <w:rFonts w:ascii="Times New Roman" w:hAnsi="Times New Roman" w:cs="Times New Roman"/>
                <w:sz w:val="18"/>
                <w:szCs w:val="18"/>
                <w:lang w:val="es-AR"/>
              </w:rPr>
            </w:pPr>
            <w:r w:rsidRPr="00D0684B">
              <w:rPr>
                <w:rFonts w:ascii="Times New Roman" w:hAnsi="Times New Roman" w:cs="Times New Roman"/>
                <w:sz w:val="18"/>
                <w:lang w:val="es-ES_tradnl"/>
              </w:rPr>
              <w:t>6.3.2 reservas y declaraciones interpretativas formuladas respecto del artículo 12 de la CDPD</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543</w:t>
            </w:r>
          </w:p>
        </w:tc>
      </w:tr>
      <w:tr w:rsidR="00F71B0D" w:rsidRPr="00D0684B" w:rsidTr="008C3049">
        <w:tc>
          <w:tcPr>
            <w:tcW w:w="6712" w:type="dxa"/>
          </w:tcPr>
          <w:p w:rsidR="00F71B0D" w:rsidRPr="00D0684B" w:rsidRDefault="00F71B0D" w:rsidP="008C3049">
            <w:pPr>
              <w:spacing w:before="60" w:after="144" w:line="240" w:lineRule="auto"/>
              <w:ind w:left="567"/>
              <w:rPr>
                <w:rFonts w:ascii="Times New Roman" w:hAnsi="Times New Roman" w:cs="Times New Roman"/>
                <w:sz w:val="18"/>
                <w:lang w:val="es-ES_tradnl"/>
              </w:rPr>
            </w:pPr>
            <w:r w:rsidRPr="00D0684B">
              <w:rPr>
                <w:rFonts w:ascii="Times New Roman" w:hAnsi="Times New Roman" w:cs="Times New Roman"/>
                <w:sz w:val="18"/>
                <w:lang w:val="es-ES_tradnl"/>
              </w:rPr>
              <w:t>6.3.2.1 Egipto, Siria y Kuwait</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543</w:t>
            </w:r>
          </w:p>
        </w:tc>
      </w:tr>
      <w:tr w:rsidR="00F71B0D" w:rsidRPr="00D0684B" w:rsidTr="008C3049">
        <w:tc>
          <w:tcPr>
            <w:tcW w:w="6712" w:type="dxa"/>
          </w:tcPr>
          <w:p w:rsidR="00F71B0D" w:rsidRPr="00D0684B" w:rsidRDefault="00F71B0D" w:rsidP="008C3049">
            <w:pPr>
              <w:spacing w:before="60" w:after="144" w:line="240" w:lineRule="auto"/>
              <w:ind w:left="567"/>
              <w:rPr>
                <w:rFonts w:ascii="Times New Roman" w:hAnsi="Times New Roman" w:cs="Times New Roman"/>
                <w:sz w:val="18"/>
              </w:rPr>
            </w:pPr>
            <w:r w:rsidRPr="00D0684B">
              <w:rPr>
                <w:rFonts w:ascii="Times New Roman" w:hAnsi="Times New Roman" w:cs="Times New Roman"/>
                <w:sz w:val="18"/>
                <w:lang w:val="es-ES_tradnl"/>
              </w:rPr>
              <w:t xml:space="preserve">6.3.2.2 </w:t>
            </w:r>
            <w:r w:rsidRPr="00D0684B">
              <w:rPr>
                <w:rFonts w:ascii="Times New Roman" w:hAnsi="Times New Roman" w:cs="Times New Roman"/>
                <w:sz w:val="18"/>
              </w:rPr>
              <w:t xml:space="preserve">Australia </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546</w:t>
            </w:r>
          </w:p>
        </w:tc>
      </w:tr>
      <w:tr w:rsidR="00F71B0D" w:rsidRPr="00D0684B" w:rsidTr="008C3049">
        <w:tc>
          <w:tcPr>
            <w:tcW w:w="6712" w:type="dxa"/>
          </w:tcPr>
          <w:p w:rsidR="00F71B0D" w:rsidRPr="00D0684B" w:rsidRDefault="00F71B0D" w:rsidP="008C3049">
            <w:pPr>
              <w:spacing w:before="60" w:after="144" w:line="240" w:lineRule="auto"/>
              <w:ind w:left="567"/>
              <w:rPr>
                <w:rFonts w:ascii="Times New Roman" w:hAnsi="Times New Roman" w:cs="Times New Roman"/>
                <w:sz w:val="18"/>
                <w:szCs w:val="18"/>
                <w:lang w:val="es-AR"/>
              </w:rPr>
            </w:pPr>
            <w:r w:rsidRPr="00D0684B">
              <w:rPr>
                <w:rFonts w:ascii="Times New Roman" w:hAnsi="Times New Roman" w:cs="Times New Roman"/>
                <w:sz w:val="18"/>
                <w:lang w:val="es-ES_tradnl"/>
              </w:rPr>
              <w:t xml:space="preserve">6.3.2.3 </w:t>
            </w:r>
            <w:r w:rsidRPr="00D0684B">
              <w:rPr>
                <w:rFonts w:ascii="Times New Roman" w:hAnsi="Times New Roman" w:cs="Times New Roman"/>
                <w:sz w:val="18"/>
              </w:rPr>
              <w:t>Canadá</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547</w:t>
            </w:r>
          </w:p>
        </w:tc>
      </w:tr>
      <w:tr w:rsidR="00F71B0D" w:rsidRPr="00D0684B" w:rsidTr="008C3049">
        <w:tc>
          <w:tcPr>
            <w:tcW w:w="6712" w:type="dxa"/>
          </w:tcPr>
          <w:p w:rsidR="00F71B0D" w:rsidRPr="00D0684B" w:rsidRDefault="00F71B0D" w:rsidP="008C3049">
            <w:pPr>
              <w:spacing w:before="60" w:after="144" w:line="240" w:lineRule="auto"/>
              <w:ind w:left="567"/>
              <w:rPr>
                <w:rFonts w:ascii="Times New Roman" w:hAnsi="Times New Roman" w:cs="Times New Roman"/>
                <w:sz w:val="18"/>
                <w:szCs w:val="18"/>
                <w:lang w:val="es-AR"/>
              </w:rPr>
            </w:pPr>
            <w:r w:rsidRPr="00D0684B">
              <w:rPr>
                <w:rFonts w:ascii="Times New Roman" w:hAnsi="Times New Roman" w:cs="Times New Roman"/>
                <w:sz w:val="18"/>
                <w:lang w:val="es-ES_tradnl"/>
              </w:rPr>
              <w:t xml:space="preserve">6.3.2.4 </w:t>
            </w:r>
            <w:r w:rsidRPr="00D0684B">
              <w:rPr>
                <w:rFonts w:ascii="Times New Roman" w:hAnsi="Times New Roman" w:cs="Times New Roman"/>
                <w:sz w:val="18"/>
              </w:rPr>
              <w:t>Estonia</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549</w:t>
            </w:r>
          </w:p>
        </w:tc>
      </w:tr>
      <w:tr w:rsidR="00F71B0D" w:rsidRPr="00D0684B" w:rsidTr="008C3049">
        <w:tc>
          <w:tcPr>
            <w:tcW w:w="6712" w:type="dxa"/>
          </w:tcPr>
          <w:p w:rsidR="00F71B0D" w:rsidRPr="00D0684B" w:rsidRDefault="00F71B0D" w:rsidP="008C3049">
            <w:pPr>
              <w:spacing w:before="60" w:after="144" w:line="240" w:lineRule="auto"/>
              <w:ind w:left="567"/>
              <w:rPr>
                <w:rFonts w:ascii="Times New Roman" w:hAnsi="Times New Roman" w:cs="Times New Roman"/>
                <w:sz w:val="18"/>
                <w:szCs w:val="18"/>
                <w:lang w:val="es-AR"/>
              </w:rPr>
            </w:pPr>
            <w:r w:rsidRPr="00D0684B">
              <w:rPr>
                <w:rFonts w:ascii="Times New Roman" w:hAnsi="Times New Roman" w:cs="Times New Roman"/>
                <w:sz w:val="18"/>
                <w:lang w:val="es-ES_tradnl"/>
              </w:rPr>
              <w:t xml:space="preserve">6.3.2.5 </w:t>
            </w:r>
            <w:r w:rsidRPr="00D0684B">
              <w:rPr>
                <w:rFonts w:ascii="Times New Roman" w:hAnsi="Times New Roman" w:cs="Times New Roman"/>
                <w:sz w:val="18"/>
              </w:rPr>
              <w:t>Noruega</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550</w:t>
            </w:r>
          </w:p>
        </w:tc>
      </w:tr>
      <w:tr w:rsidR="00F71B0D" w:rsidRPr="00D0684B" w:rsidTr="008C3049">
        <w:tc>
          <w:tcPr>
            <w:tcW w:w="6712" w:type="dxa"/>
          </w:tcPr>
          <w:p w:rsidR="00F71B0D" w:rsidRPr="00D0684B" w:rsidRDefault="00F71B0D" w:rsidP="008C3049">
            <w:pPr>
              <w:spacing w:before="60" w:after="144" w:line="240" w:lineRule="auto"/>
              <w:ind w:left="567"/>
              <w:rPr>
                <w:rFonts w:ascii="Times New Roman" w:hAnsi="Times New Roman" w:cs="Times New Roman"/>
                <w:sz w:val="18"/>
              </w:rPr>
            </w:pPr>
            <w:r w:rsidRPr="00D0684B">
              <w:rPr>
                <w:rFonts w:ascii="Times New Roman" w:hAnsi="Times New Roman" w:cs="Times New Roman"/>
                <w:sz w:val="18"/>
                <w:lang w:val="es-ES_tradnl"/>
              </w:rPr>
              <w:t xml:space="preserve">6.3.2.6 </w:t>
            </w:r>
            <w:r w:rsidRPr="00D0684B">
              <w:rPr>
                <w:rFonts w:ascii="Times New Roman" w:hAnsi="Times New Roman" w:cs="Times New Roman"/>
                <w:sz w:val="18"/>
              </w:rPr>
              <w:t>Polonia</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551</w:t>
            </w:r>
          </w:p>
        </w:tc>
      </w:tr>
      <w:tr w:rsidR="00F71B0D" w:rsidRPr="00D0684B" w:rsidTr="008C3049">
        <w:tc>
          <w:tcPr>
            <w:tcW w:w="6712" w:type="dxa"/>
          </w:tcPr>
          <w:p w:rsidR="00F71B0D" w:rsidRPr="00D0684B" w:rsidRDefault="00F71B0D" w:rsidP="008C3049">
            <w:pPr>
              <w:spacing w:before="60" w:after="144" w:line="240" w:lineRule="auto"/>
              <w:ind w:left="567"/>
              <w:rPr>
                <w:rFonts w:ascii="Times New Roman" w:hAnsi="Times New Roman" w:cs="Times New Roman"/>
                <w:sz w:val="18"/>
                <w:lang w:val="es-ES_tradnl"/>
              </w:rPr>
            </w:pPr>
            <w:r w:rsidRPr="00D0684B">
              <w:rPr>
                <w:rFonts w:ascii="Times New Roman" w:hAnsi="Times New Roman" w:cs="Times New Roman"/>
                <w:sz w:val="18"/>
                <w:lang w:val="es-ES_tradnl"/>
              </w:rPr>
              <w:t>6.3.2.7 Singapur</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552</w:t>
            </w:r>
          </w:p>
        </w:tc>
      </w:tr>
      <w:tr w:rsidR="00F71B0D" w:rsidRPr="00D0684B" w:rsidTr="008C3049">
        <w:tc>
          <w:tcPr>
            <w:tcW w:w="6712" w:type="dxa"/>
          </w:tcPr>
          <w:p w:rsidR="00F71B0D" w:rsidRPr="00D0684B" w:rsidRDefault="00F71B0D" w:rsidP="008C3049">
            <w:pPr>
              <w:spacing w:before="60" w:after="144" w:line="240" w:lineRule="auto"/>
              <w:ind w:left="567"/>
              <w:rPr>
                <w:rFonts w:ascii="Times New Roman" w:hAnsi="Times New Roman" w:cs="Times New Roman"/>
                <w:sz w:val="18"/>
                <w:lang w:val="es-ES_tradnl"/>
              </w:rPr>
            </w:pPr>
            <w:r w:rsidRPr="00D0684B">
              <w:rPr>
                <w:rFonts w:ascii="Times New Roman" w:hAnsi="Times New Roman" w:cs="Times New Roman"/>
                <w:sz w:val="18"/>
                <w:lang w:val="es-ES_tradnl"/>
              </w:rPr>
              <w:lastRenderedPageBreak/>
              <w:t>6.3.2.8 Venezuela</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553</w:t>
            </w:r>
          </w:p>
        </w:tc>
      </w:tr>
      <w:tr w:rsidR="00F71B0D" w:rsidRPr="00D0684B" w:rsidTr="008C3049">
        <w:tc>
          <w:tcPr>
            <w:tcW w:w="6712" w:type="dxa"/>
          </w:tcPr>
          <w:p w:rsidR="00F71B0D" w:rsidRPr="00D0684B" w:rsidRDefault="00F71B0D" w:rsidP="008C3049">
            <w:pPr>
              <w:spacing w:before="60" w:after="144" w:line="240" w:lineRule="auto"/>
              <w:ind w:left="567"/>
              <w:rPr>
                <w:rFonts w:ascii="Times New Roman" w:hAnsi="Times New Roman" w:cs="Times New Roman"/>
                <w:sz w:val="18"/>
                <w:szCs w:val="18"/>
                <w:lang w:val="es-AR"/>
              </w:rPr>
            </w:pPr>
            <w:r w:rsidRPr="00D0684B">
              <w:rPr>
                <w:rFonts w:ascii="Times New Roman" w:hAnsi="Times New Roman" w:cs="Times New Roman"/>
                <w:sz w:val="18"/>
                <w:lang w:val="es-ES_tradnl"/>
              </w:rPr>
              <w:t xml:space="preserve">6.3.2.9 </w:t>
            </w:r>
            <w:r w:rsidRPr="00D0684B">
              <w:rPr>
                <w:rFonts w:ascii="Times New Roman" w:hAnsi="Times New Roman" w:cs="Times New Roman"/>
                <w:sz w:val="18"/>
              </w:rPr>
              <w:t>Países Bajos, y Francia</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554</w:t>
            </w:r>
          </w:p>
        </w:tc>
      </w:tr>
      <w:tr w:rsidR="00F71B0D" w:rsidRPr="00D0684B" w:rsidTr="008C3049">
        <w:tc>
          <w:tcPr>
            <w:tcW w:w="6712" w:type="dxa"/>
          </w:tcPr>
          <w:p w:rsidR="00F71B0D" w:rsidRPr="00D0684B" w:rsidRDefault="00F71B0D" w:rsidP="008C3049">
            <w:pPr>
              <w:spacing w:before="60" w:after="144" w:line="240" w:lineRule="auto"/>
              <w:ind w:left="567"/>
              <w:rPr>
                <w:rFonts w:ascii="Times New Roman" w:hAnsi="Times New Roman" w:cs="Times New Roman"/>
                <w:sz w:val="18"/>
                <w:szCs w:val="18"/>
                <w:lang w:val="es-AR"/>
              </w:rPr>
            </w:pPr>
            <w:r w:rsidRPr="00D0684B">
              <w:rPr>
                <w:rFonts w:ascii="Times New Roman" w:hAnsi="Times New Roman" w:cs="Times New Roman"/>
                <w:sz w:val="18"/>
                <w:lang w:val="es-ES_tradnl"/>
              </w:rPr>
              <w:t xml:space="preserve">6.3.2.10 </w:t>
            </w:r>
            <w:r w:rsidRPr="00D0684B">
              <w:rPr>
                <w:rFonts w:ascii="Times New Roman" w:hAnsi="Times New Roman" w:cs="Times New Roman"/>
                <w:sz w:val="18"/>
              </w:rPr>
              <w:t>México y Reino Unido</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555</w:t>
            </w:r>
          </w:p>
        </w:tc>
      </w:tr>
      <w:tr w:rsidR="00F71B0D" w:rsidRPr="00C8220A" w:rsidTr="008C3049">
        <w:tc>
          <w:tcPr>
            <w:tcW w:w="6712" w:type="dxa"/>
          </w:tcPr>
          <w:p w:rsidR="00F71B0D" w:rsidRPr="00D0684B" w:rsidRDefault="00F71B0D" w:rsidP="008C3049">
            <w:pPr>
              <w:spacing w:before="60" w:after="144" w:line="240" w:lineRule="auto"/>
              <w:ind w:left="284"/>
              <w:rPr>
                <w:rFonts w:ascii="Times New Roman" w:hAnsi="Times New Roman" w:cs="Times New Roman"/>
                <w:sz w:val="18"/>
                <w:szCs w:val="18"/>
                <w:lang w:val="es-AR"/>
              </w:rPr>
            </w:pPr>
            <w:r w:rsidRPr="00D0684B">
              <w:rPr>
                <w:rFonts w:ascii="Times New Roman" w:hAnsi="Times New Roman" w:cs="Times New Roman"/>
                <w:sz w:val="18"/>
                <w:szCs w:val="18"/>
                <w:lang w:val="es-AR"/>
              </w:rPr>
              <w:t>6.3.3 Análisis de las declaraciones y reservas</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558</w:t>
            </w:r>
          </w:p>
        </w:tc>
      </w:tr>
      <w:tr w:rsidR="00F71B0D" w:rsidRPr="00C8220A" w:rsidTr="008C3049">
        <w:tc>
          <w:tcPr>
            <w:tcW w:w="6712" w:type="dxa"/>
          </w:tcPr>
          <w:p w:rsidR="00F71B0D" w:rsidRPr="00D0684B" w:rsidRDefault="00F71B0D" w:rsidP="008C3049">
            <w:pPr>
              <w:spacing w:before="60" w:after="144" w:line="240" w:lineRule="auto"/>
              <w:ind w:left="567"/>
              <w:rPr>
                <w:rFonts w:ascii="Times New Roman" w:hAnsi="Times New Roman" w:cs="Times New Roman"/>
                <w:sz w:val="18"/>
                <w:szCs w:val="18"/>
                <w:lang w:val="es-AR"/>
              </w:rPr>
            </w:pPr>
            <w:r w:rsidRPr="00D0684B">
              <w:rPr>
                <w:rFonts w:ascii="Times New Roman" w:hAnsi="Times New Roman" w:cs="Times New Roman"/>
                <w:sz w:val="18"/>
              </w:rPr>
              <w:t>6.3.3.1 Los modelos de reservas y declaraciones</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558</w:t>
            </w:r>
          </w:p>
        </w:tc>
      </w:tr>
      <w:tr w:rsidR="00F71B0D" w:rsidRPr="00C8220A" w:rsidTr="008C3049">
        <w:tc>
          <w:tcPr>
            <w:tcW w:w="6712" w:type="dxa"/>
          </w:tcPr>
          <w:p w:rsidR="00F71B0D" w:rsidRPr="00D0684B" w:rsidRDefault="00F71B0D" w:rsidP="008C3049">
            <w:pPr>
              <w:spacing w:before="60" w:after="144" w:line="240" w:lineRule="auto"/>
              <w:ind w:left="567"/>
              <w:rPr>
                <w:rFonts w:ascii="Times New Roman" w:hAnsi="Times New Roman" w:cs="Times New Roman"/>
                <w:sz w:val="18"/>
              </w:rPr>
            </w:pPr>
            <w:r w:rsidRPr="00D0684B">
              <w:rPr>
                <w:rFonts w:ascii="Times New Roman" w:hAnsi="Times New Roman" w:cs="Times New Roman"/>
                <w:sz w:val="18"/>
              </w:rPr>
              <w:t>6.3.3.2 El valor jurídico de las reservas y declaraciones</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561</w:t>
            </w:r>
          </w:p>
        </w:tc>
      </w:tr>
      <w:tr w:rsidR="00F71B0D" w:rsidRPr="00C8220A" w:rsidTr="008C3049">
        <w:tc>
          <w:tcPr>
            <w:tcW w:w="6712" w:type="dxa"/>
          </w:tcPr>
          <w:p w:rsidR="00F71B0D" w:rsidRPr="00D0684B" w:rsidRDefault="00F71B0D" w:rsidP="008C3049">
            <w:pPr>
              <w:spacing w:before="60" w:after="144" w:line="240" w:lineRule="auto"/>
              <w:ind w:left="567"/>
              <w:rPr>
                <w:rFonts w:ascii="Times New Roman" w:hAnsi="Times New Roman" w:cs="Times New Roman"/>
                <w:sz w:val="18"/>
                <w:szCs w:val="18"/>
                <w:lang w:val="es-AR"/>
              </w:rPr>
            </w:pPr>
            <w:r w:rsidRPr="00D0684B">
              <w:rPr>
                <w:rFonts w:ascii="Times New Roman" w:hAnsi="Times New Roman" w:cs="Times New Roman"/>
                <w:sz w:val="18"/>
              </w:rPr>
              <w:t>6.3.3.3 El test de compatibilidad de las reservas y declaraciones</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562</w:t>
            </w:r>
          </w:p>
        </w:tc>
      </w:tr>
      <w:tr w:rsidR="00F71B0D" w:rsidRPr="00C8220A" w:rsidTr="008C3049">
        <w:tc>
          <w:tcPr>
            <w:tcW w:w="6712" w:type="dxa"/>
          </w:tcPr>
          <w:p w:rsidR="00F71B0D" w:rsidRPr="00D0684B" w:rsidRDefault="00F71B0D" w:rsidP="008C3049">
            <w:pPr>
              <w:spacing w:before="60" w:afterLines="60" w:line="240" w:lineRule="auto"/>
              <w:rPr>
                <w:rFonts w:ascii="Times New Roman" w:hAnsi="Times New Roman" w:cs="Times New Roman"/>
                <w:sz w:val="18"/>
                <w:szCs w:val="18"/>
                <w:lang w:val="es-AR"/>
              </w:rPr>
            </w:pPr>
            <w:r w:rsidRPr="00D0684B">
              <w:rPr>
                <w:rFonts w:ascii="Times New Roman" w:hAnsi="Times New Roman" w:cs="Times New Roman"/>
                <w:sz w:val="18"/>
                <w:szCs w:val="18"/>
                <w:lang w:val="es-AR"/>
              </w:rPr>
              <w:t>6.4 Pautas interpretación en torno al artículo 12</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568</w:t>
            </w:r>
          </w:p>
        </w:tc>
      </w:tr>
      <w:tr w:rsidR="00F71B0D" w:rsidRPr="00C8220A" w:rsidTr="008C3049">
        <w:tc>
          <w:tcPr>
            <w:tcW w:w="6712" w:type="dxa"/>
          </w:tcPr>
          <w:p w:rsidR="00F71B0D" w:rsidRPr="00D0684B" w:rsidRDefault="00F71B0D" w:rsidP="008C3049">
            <w:pPr>
              <w:spacing w:before="60" w:after="144" w:line="240" w:lineRule="auto"/>
              <w:ind w:left="284"/>
              <w:rPr>
                <w:rFonts w:ascii="Times New Roman" w:hAnsi="Times New Roman" w:cs="Times New Roman"/>
                <w:i/>
                <w:sz w:val="18"/>
                <w:szCs w:val="18"/>
                <w:lang w:val="es-AR"/>
              </w:rPr>
            </w:pPr>
            <w:r w:rsidRPr="00D0684B">
              <w:rPr>
                <w:rFonts w:ascii="Times New Roman" w:hAnsi="Times New Roman" w:cs="Times New Roman"/>
                <w:sz w:val="18"/>
                <w:lang w:val="es-ES_tradnl"/>
              </w:rPr>
              <w:t>6.4.1 Principios generales sobre interpretación de tratados</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569</w:t>
            </w:r>
          </w:p>
        </w:tc>
      </w:tr>
      <w:tr w:rsidR="00F71B0D" w:rsidRPr="00C8220A" w:rsidTr="008C3049">
        <w:tc>
          <w:tcPr>
            <w:tcW w:w="6712" w:type="dxa"/>
          </w:tcPr>
          <w:p w:rsidR="00F71B0D" w:rsidRPr="00D0684B" w:rsidRDefault="00F71B0D" w:rsidP="008C3049">
            <w:pPr>
              <w:spacing w:before="60" w:after="144" w:line="240" w:lineRule="auto"/>
              <w:ind w:left="284"/>
              <w:rPr>
                <w:rFonts w:ascii="Times New Roman" w:hAnsi="Times New Roman" w:cs="Times New Roman"/>
                <w:sz w:val="18"/>
              </w:rPr>
            </w:pPr>
            <w:r w:rsidRPr="00D0684B">
              <w:rPr>
                <w:rFonts w:ascii="Times New Roman" w:hAnsi="Times New Roman" w:cs="Times New Roman"/>
                <w:sz w:val="18"/>
              </w:rPr>
              <w:t>6.4.2 La interpretación de tratados de derechos humanos</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572</w:t>
            </w:r>
          </w:p>
        </w:tc>
      </w:tr>
      <w:tr w:rsidR="00F71B0D" w:rsidRPr="00C8220A" w:rsidTr="008C3049">
        <w:tc>
          <w:tcPr>
            <w:tcW w:w="6712" w:type="dxa"/>
          </w:tcPr>
          <w:p w:rsidR="00F71B0D" w:rsidRPr="00D0684B" w:rsidRDefault="00F71B0D" w:rsidP="008C3049">
            <w:pPr>
              <w:spacing w:before="60" w:after="144" w:line="240" w:lineRule="auto"/>
              <w:ind w:left="284"/>
              <w:rPr>
                <w:rFonts w:ascii="Times New Roman" w:hAnsi="Times New Roman" w:cs="Times New Roman"/>
                <w:sz w:val="18"/>
                <w:lang w:val="es-ES_tradnl"/>
              </w:rPr>
            </w:pPr>
            <w:r w:rsidRPr="00D0684B">
              <w:rPr>
                <w:rFonts w:ascii="Times New Roman" w:hAnsi="Times New Roman" w:cs="Times New Roman"/>
                <w:sz w:val="18"/>
                <w:lang w:val="es-ES_tradnl"/>
              </w:rPr>
              <w:t>6.4.3 La interpretación del artículo 12 por órganos internacionales</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574</w:t>
            </w:r>
          </w:p>
        </w:tc>
      </w:tr>
      <w:tr w:rsidR="00F71B0D" w:rsidRPr="00C8220A" w:rsidTr="008C3049">
        <w:tc>
          <w:tcPr>
            <w:tcW w:w="6712" w:type="dxa"/>
          </w:tcPr>
          <w:p w:rsidR="00F71B0D" w:rsidRPr="00D0684B" w:rsidRDefault="00F71B0D" w:rsidP="008C3049">
            <w:pPr>
              <w:spacing w:before="60" w:after="144" w:line="240" w:lineRule="auto"/>
              <w:ind w:left="567"/>
              <w:rPr>
                <w:rFonts w:ascii="Times New Roman" w:hAnsi="Times New Roman" w:cs="Times New Roman"/>
                <w:sz w:val="18"/>
                <w:szCs w:val="18"/>
                <w:lang w:val="es-AR"/>
              </w:rPr>
            </w:pPr>
            <w:r w:rsidRPr="00D0684B">
              <w:rPr>
                <w:rFonts w:ascii="Times New Roman" w:hAnsi="Times New Roman" w:cs="Times New Roman"/>
                <w:sz w:val="18"/>
                <w:szCs w:val="18"/>
                <w:lang w:val="es-AR"/>
              </w:rPr>
              <w:t>6.4.3.1 El Comité de la CDPD</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574</w:t>
            </w:r>
          </w:p>
        </w:tc>
      </w:tr>
      <w:tr w:rsidR="00F71B0D" w:rsidRPr="00C8220A" w:rsidTr="008C3049">
        <w:tc>
          <w:tcPr>
            <w:tcW w:w="6712" w:type="dxa"/>
          </w:tcPr>
          <w:p w:rsidR="00F71B0D" w:rsidRPr="00D0684B" w:rsidRDefault="00F71B0D" w:rsidP="008C3049">
            <w:pPr>
              <w:spacing w:before="60" w:after="144" w:line="240" w:lineRule="auto"/>
              <w:ind w:left="567"/>
              <w:rPr>
                <w:rFonts w:ascii="Times New Roman" w:hAnsi="Times New Roman" w:cs="Times New Roman"/>
                <w:sz w:val="18"/>
                <w:szCs w:val="18"/>
                <w:lang w:val="es-AR"/>
              </w:rPr>
            </w:pPr>
            <w:r w:rsidRPr="00D0684B">
              <w:rPr>
                <w:rFonts w:ascii="Times New Roman" w:hAnsi="Times New Roman" w:cs="Times New Roman"/>
                <w:sz w:val="18"/>
                <w:szCs w:val="18"/>
                <w:lang w:val="es-AR"/>
              </w:rPr>
              <w:t>6.4.3.2 Comité para la Eliminación de Todas las formas de Discriminación contra las Personas con Discapacidad</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578</w:t>
            </w:r>
          </w:p>
        </w:tc>
      </w:tr>
      <w:tr w:rsidR="00F71B0D" w:rsidRPr="00D0684B" w:rsidTr="008C3049">
        <w:tc>
          <w:tcPr>
            <w:tcW w:w="6712" w:type="dxa"/>
          </w:tcPr>
          <w:p w:rsidR="00F71B0D" w:rsidRPr="00D0684B" w:rsidRDefault="00F71B0D" w:rsidP="008C3049">
            <w:pPr>
              <w:spacing w:before="60" w:afterLines="60" w:line="240" w:lineRule="auto"/>
              <w:jc w:val="center"/>
              <w:rPr>
                <w:rFonts w:ascii="Times New Roman" w:hAnsi="Times New Roman" w:cs="Times New Roman"/>
                <w:b/>
                <w:caps/>
                <w:sz w:val="18"/>
                <w:szCs w:val="18"/>
                <w:lang w:val="es-AR"/>
              </w:rPr>
            </w:pPr>
            <w:r w:rsidRPr="00D0684B">
              <w:rPr>
                <w:rFonts w:ascii="Times New Roman" w:hAnsi="Times New Roman" w:cs="Times New Roman"/>
                <w:b/>
                <w:caps/>
                <w:sz w:val="18"/>
                <w:szCs w:val="18"/>
                <w:lang w:val="es-AR"/>
              </w:rPr>
              <w:t>Conclusiones</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581</w:t>
            </w:r>
          </w:p>
        </w:tc>
      </w:tr>
      <w:tr w:rsidR="00F71B0D" w:rsidRPr="00C8220A" w:rsidTr="008C3049">
        <w:tc>
          <w:tcPr>
            <w:tcW w:w="6712" w:type="dxa"/>
          </w:tcPr>
          <w:p w:rsidR="00F71B0D" w:rsidRPr="00D0684B" w:rsidRDefault="00F71B0D" w:rsidP="008C3049">
            <w:pPr>
              <w:spacing w:before="60" w:afterLines="60" w:line="240" w:lineRule="auto"/>
              <w:jc w:val="center"/>
              <w:rPr>
                <w:rFonts w:ascii="Times New Roman" w:hAnsi="Times New Roman" w:cs="Times New Roman"/>
                <w:b/>
                <w:caps/>
                <w:sz w:val="18"/>
                <w:szCs w:val="18"/>
                <w:lang w:val="es-AR"/>
              </w:rPr>
            </w:pPr>
            <w:r w:rsidRPr="00D0684B">
              <w:rPr>
                <w:rFonts w:ascii="Times New Roman" w:hAnsi="Times New Roman" w:cs="Times New Roman"/>
                <w:b/>
                <w:caps/>
                <w:sz w:val="18"/>
                <w:szCs w:val="18"/>
                <w:lang w:val="es-AR"/>
              </w:rPr>
              <w:t>APENDICE</w:t>
            </w:r>
          </w:p>
          <w:p w:rsidR="00F71B0D" w:rsidRPr="00D0684B" w:rsidRDefault="00F71B0D" w:rsidP="008C3049">
            <w:pPr>
              <w:spacing w:before="60" w:afterLines="60" w:line="240" w:lineRule="auto"/>
              <w:jc w:val="center"/>
              <w:rPr>
                <w:rFonts w:ascii="Times New Roman" w:hAnsi="Times New Roman" w:cs="Times New Roman"/>
                <w:sz w:val="18"/>
                <w:szCs w:val="18"/>
                <w:lang w:val="es-AR"/>
              </w:rPr>
            </w:pPr>
            <w:r w:rsidRPr="00D0684B">
              <w:rPr>
                <w:rFonts w:ascii="Times New Roman" w:hAnsi="Times New Roman" w:cs="Times New Roman"/>
                <w:b/>
                <w:caps/>
                <w:sz w:val="18"/>
                <w:szCs w:val="18"/>
                <w:lang w:val="es-AR"/>
              </w:rPr>
              <w:t>UN MODELO DE REFORMA DE LOS CÓDIGOS CIVILES DE LOS SISTEMAS IBEROAMERICANOS A LA LUZ DEL CAMBIO DE PARADIGMA SOBRE CAPACIDAD JURIDICA DE LA CDPD</w:t>
            </w:r>
          </w:p>
        </w:tc>
        <w:tc>
          <w:tcPr>
            <w:tcW w:w="874" w:type="dxa"/>
          </w:tcPr>
          <w:p w:rsidR="00F71B0D" w:rsidRDefault="00F71B0D" w:rsidP="008C3049">
            <w:pPr>
              <w:spacing w:before="60" w:afterLines="60" w:line="240" w:lineRule="auto"/>
              <w:rPr>
                <w:rFonts w:ascii="Times New Roman" w:hAnsi="Times New Roman" w:cs="Times New Roman"/>
                <w:sz w:val="18"/>
                <w:szCs w:val="18"/>
                <w:lang w:val="es-AR"/>
              </w:rPr>
            </w:pPr>
          </w:p>
          <w:p w:rsidR="00F71B0D" w:rsidRDefault="00F71B0D" w:rsidP="008C3049">
            <w:pPr>
              <w:spacing w:before="60" w:afterLines="60" w:line="240" w:lineRule="auto"/>
              <w:rPr>
                <w:rFonts w:ascii="Times New Roman" w:hAnsi="Times New Roman" w:cs="Times New Roman"/>
                <w:sz w:val="18"/>
                <w:szCs w:val="18"/>
                <w:lang w:val="es-AR"/>
              </w:rPr>
            </w:pPr>
          </w:p>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597</w:t>
            </w:r>
          </w:p>
        </w:tc>
      </w:tr>
      <w:tr w:rsidR="00F71B0D" w:rsidRPr="00C8220A" w:rsidTr="008C3049">
        <w:tc>
          <w:tcPr>
            <w:tcW w:w="6712" w:type="dxa"/>
          </w:tcPr>
          <w:p w:rsidR="00F71B0D" w:rsidRPr="001A2BE3" w:rsidRDefault="00F71B0D" w:rsidP="008C3049">
            <w:pPr>
              <w:spacing w:before="60" w:afterLines="60" w:line="240" w:lineRule="auto"/>
              <w:jc w:val="center"/>
              <w:rPr>
                <w:rFonts w:ascii="Times New Roman" w:hAnsi="Times New Roman" w:cs="Times New Roman"/>
                <w:b/>
                <w:sz w:val="18"/>
                <w:szCs w:val="18"/>
              </w:rPr>
            </w:pPr>
            <w:r w:rsidRPr="001A2BE3">
              <w:rPr>
                <w:rFonts w:ascii="Times New Roman" w:hAnsi="Times New Roman" w:cs="Times New Roman"/>
                <w:b/>
                <w:sz w:val="18"/>
                <w:szCs w:val="18"/>
              </w:rPr>
              <w:t>BIBLIOGRAFÍA</w:t>
            </w:r>
          </w:p>
        </w:tc>
        <w:tc>
          <w:tcPr>
            <w:tcW w:w="874" w:type="dxa"/>
          </w:tcPr>
          <w:p w:rsidR="00F71B0D" w:rsidRPr="00D0684B" w:rsidRDefault="00F71B0D" w:rsidP="008C3049">
            <w:pPr>
              <w:spacing w:before="60" w:afterLines="60" w:line="240" w:lineRule="auto"/>
              <w:rPr>
                <w:rFonts w:ascii="Times New Roman" w:hAnsi="Times New Roman" w:cs="Times New Roman"/>
                <w:sz w:val="18"/>
                <w:szCs w:val="18"/>
                <w:lang w:val="es-AR"/>
              </w:rPr>
            </w:pPr>
            <w:r>
              <w:rPr>
                <w:rFonts w:ascii="Times New Roman" w:hAnsi="Times New Roman" w:cs="Times New Roman"/>
                <w:sz w:val="18"/>
                <w:szCs w:val="18"/>
                <w:lang w:val="es-AR"/>
              </w:rPr>
              <w:t>617</w:t>
            </w:r>
          </w:p>
        </w:tc>
      </w:tr>
    </w:tbl>
    <w:p w:rsidR="00F71B0D" w:rsidRPr="00E72B02" w:rsidRDefault="00F71B0D" w:rsidP="00F71B0D">
      <w:pPr>
        <w:spacing w:before="0" w:line="240" w:lineRule="auto"/>
        <w:jc w:val="left"/>
        <w:rPr>
          <w:b/>
          <w:bCs/>
          <w:caps/>
          <w:kern w:val="32"/>
          <w:sz w:val="28"/>
          <w:szCs w:val="28"/>
        </w:rPr>
      </w:pPr>
      <w:r w:rsidRPr="00E72B02">
        <w:br w:type="page"/>
      </w:r>
    </w:p>
    <w:p w:rsidR="00F71B0D" w:rsidRDefault="00F71B0D" w:rsidP="004551E9">
      <w:pPr>
        <w:pStyle w:val="titulo3"/>
      </w:pPr>
    </w:p>
    <w:p w:rsidR="00F71B0D" w:rsidRDefault="00F71B0D" w:rsidP="004551E9">
      <w:pPr>
        <w:pStyle w:val="titulo3"/>
      </w:pPr>
    </w:p>
    <w:p w:rsidR="00F71B0D" w:rsidRDefault="00F71B0D" w:rsidP="004551E9">
      <w:pPr>
        <w:pStyle w:val="titulo3"/>
      </w:pPr>
    </w:p>
    <w:p w:rsidR="00F71B0D" w:rsidRDefault="00F71B0D" w:rsidP="004551E9">
      <w:pPr>
        <w:pStyle w:val="titulo3"/>
      </w:pPr>
    </w:p>
    <w:p w:rsidR="00F71B0D" w:rsidRDefault="00F71B0D" w:rsidP="004551E9">
      <w:pPr>
        <w:pStyle w:val="titulo3"/>
      </w:pPr>
    </w:p>
    <w:p w:rsidR="00F71B0D" w:rsidRDefault="00F71B0D" w:rsidP="004551E9">
      <w:pPr>
        <w:pStyle w:val="titulo3"/>
      </w:pPr>
    </w:p>
    <w:p w:rsidR="00F71B0D" w:rsidRDefault="00F71B0D" w:rsidP="004551E9">
      <w:pPr>
        <w:pStyle w:val="titulo3"/>
      </w:pPr>
    </w:p>
    <w:p w:rsidR="00F71B0D" w:rsidRDefault="00F71B0D" w:rsidP="004551E9">
      <w:pPr>
        <w:pStyle w:val="titulo3"/>
      </w:pPr>
    </w:p>
    <w:p w:rsidR="00F71B0D" w:rsidRDefault="00F71B0D" w:rsidP="004551E9">
      <w:pPr>
        <w:pStyle w:val="titulo3"/>
      </w:pPr>
    </w:p>
    <w:p w:rsidR="00F71B0D" w:rsidRDefault="00F71B0D" w:rsidP="004551E9">
      <w:pPr>
        <w:pStyle w:val="titulo3"/>
      </w:pPr>
    </w:p>
    <w:p w:rsidR="00F71B0D" w:rsidRDefault="00F71B0D" w:rsidP="004551E9">
      <w:pPr>
        <w:pStyle w:val="titulo3"/>
      </w:pPr>
    </w:p>
    <w:p w:rsidR="00F71B0D" w:rsidRDefault="00F71B0D" w:rsidP="004551E9">
      <w:pPr>
        <w:pStyle w:val="titulo3"/>
      </w:pPr>
    </w:p>
    <w:p w:rsidR="00F71B0D" w:rsidRDefault="00F71B0D" w:rsidP="004551E9">
      <w:pPr>
        <w:pStyle w:val="titulo3"/>
      </w:pPr>
    </w:p>
    <w:p w:rsidR="00F71B0D" w:rsidRDefault="00F71B0D" w:rsidP="004551E9">
      <w:pPr>
        <w:pStyle w:val="titulo3"/>
      </w:pPr>
    </w:p>
    <w:p w:rsidR="00F71B0D" w:rsidRDefault="00F71B0D" w:rsidP="004551E9">
      <w:pPr>
        <w:pStyle w:val="titulo3"/>
      </w:pPr>
    </w:p>
    <w:p w:rsidR="00F71B0D" w:rsidRDefault="00F71B0D" w:rsidP="004551E9">
      <w:pPr>
        <w:pStyle w:val="titulo3"/>
      </w:pPr>
    </w:p>
    <w:p w:rsidR="00F71B0D" w:rsidRDefault="00F71B0D" w:rsidP="004551E9">
      <w:pPr>
        <w:pStyle w:val="titulo3"/>
      </w:pPr>
    </w:p>
    <w:p w:rsidR="00F71B0D" w:rsidRDefault="00F71B0D" w:rsidP="004551E9">
      <w:pPr>
        <w:pStyle w:val="titulo3"/>
      </w:pPr>
    </w:p>
    <w:p w:rsidR="00F71B0D" w:rsidRDefault="00F71B0D" w:rsidP="004551E9">
      <w:pPr>
        <w:pStyle w:val="titulo3"/>
      </w:pPr>
    </w:p>
    <w:p w:rsidR="00F71B0D" w:rsidRDefault="00F71B0D" w:rsidP="004551E9">
      <w:pPr>
        <w:pStyle w:val="titulo3"/>
      </w:pPr>
    </w:p>
    <w:p w:rsidR="00F71B0D" w:rsidRDefault="00F71B0D" w:rsidP="004551E9">
      <w:pPr>
        <w:pStyle w:val="titulo3"/>
      </w:pPr>
    </w:p>
    <w:p w:rsidR="00F71B0D" w:rsidRDefault="00F71B0D" w:rsidP="004551E9">
      <w:pPr>
        <w:pStyle w:val="titulo3"/>
      </w:pPr>
    </w:p>
    <w:p w:rsidR="00F71B0D" w:rsidRDefault="00F71B0D" w:rsidP="004551E9">
      <w:pPr>
        <w:pStyle w:val="titulo3"/>
      </w:pPr>
    </w:p>
    <w:p w:rsidR="00F71B0D" w:rsidRDefault="00F71B0D" w:rsidP="004551E9">
      <w:pPr>
        <w:pStyle w:val="titulo3"/>
      </w:pPr>
    </w:p>
    <w:p w:rsidR="008D46DF" w:rsidRPr="004551E9" w:rsidRDefault="00F71B0D" w:rsidP="004551E9">
      <w:pPr>
        <w:pStyle w:val="titulo3"/>
      </w:pPr>
      <w:r>
        <w:lastRenderedPageBreak/>
        <w:t>P</w:t>
      </w:r>
      <w:r w:rsidR="008D46DF" w:rsidRPr="004551E9">
        <w:t>RESENTACIÓN</w:t>
      </w:r>
    </w:p>
    <w:p w:rsidR="008D46DF" w:rsidRPr="008D46DF" w:rsidRDefault="008D46DF" w:rsidP="004551E9">
      <w:r w:rsidRPr="008D46DF">
        <w:t xml:space="preserve">Constituye una gran satisfacción personal escribir estas palabras para prologar este magnífica monografía del Profesor Francisco Bariffi, que es el fruto granado de su excelente Tesis doctoral. El Derecho Internacional de los Derechos Humanos ha adquirido desde el establecimiento sistemático de sus principios básicos por </w:t>
      </w:r>
      <w:smartTag w:uri="urn:schemas-microsoft-com:office:smarttags" w:element="PersonName">
        <w:smartTagPr>
          <w:attr w:name="ProductID" w:val="la Comunidad Internacional"/>
        </w:smartTagPr>
        <w:smartTag w:uri="urn:schemas-microsoft-com:office:smarttags" w:element="PersonName">
          <w:smartTagPr>
            <w:attr w:name="ProductID" w:val="la Comunidad"/>
          </w:smartTagPr>
          <w:r w:rsidRPr="008D46DF">
            <w:t>la Comunidad</w:t>
          </w:r>
        </w:smartTag>
        <w:r w:rsidRPr="008D46DF">
          <w:t xml:space="preserve"> Internacional</w:t>
        </w:r>
      </w:smartTag>
      <w:r w:rsidRPr="008D46DF">
        <w:t xml:space="preserve">, hace ya casi 70 años (sin olvidar, claro ésta, antecedentes históricamente muy relevantes), un desarrollo y complejidad excepcionales. </w:t>
      </w:r>
    </w:p>
    <w:p w:rsidR="008D46DF" w:rsidRPr="008D46DF" w:rsidRDefault="008D46DF" w:rsidP="004551E9">
      <w:r w:rsidRPr="008D46DF">
        <w:t>Y ello tanto más cuanto que se ha convertido en un campo normativo transversal a todo el ordenamiento internacional y expresivo y manifestador de la búsqueda de  un fundamento efectivo de  inspiración humanizadora  universal para el conjunto de las normas e instituciones internacionales.</w:t>
      </w:r>
    </w:p>
    <w:p w:rsidR="008D46DF" w:rsidRPr="008D46DF" w:rsidRDefault="008D46DF" w:rsidP="004551E9">
      <w:r w:rsidRPr="008D46DF">
        <w:t xml:space="preserve">El fenómeno de la mundialización o globalización de </w:t>
      </w:r>
      <w:smartTag w:uri="urn:schemas-microsoft-com:office:smarttags" w:element="PersonName">
        <w:smartTagPr>
          <w:attr w:name="ProductID" w:val="la Sociedad Internacional"/>
        </w:smartTagPr>
        <w:smartTag w:uri="urn:schemas-microsoft-com:office:smarttags" w:element="PersonName">
          <w:smartTagPr>
            <w:attr w:name="ProductID" w:val="la Sociedad"/>
          </w:smartTagPr>
          <w:r w:rsidRPr="008D46DF">
            <w:t>la Sociedad</w:t>
          </w:r>
        </w:smartTag>
        <w:r w:rsidRPr="008D46DF">
          <w:t xml:space="preserve"> Internacional</w:t>
        </w:r>
      </w:smartTag>
      <w:r w:rsidRPr="008D46DF">
        <w:t xml:space="preserve">, ha penetrado todos los procesos y estructuras económicas, por medio de la cuasi unificación planetaria de los mercados y de los procesos de información y adquisición y transmisión de datos así como (más especulativamente) por la aceptación generalizada del predominio en las políticas y formas de vida de la mensurabilidad y de la dimensión calculable de los fenómenos sociales y psico - sociales propiamente dichos. </w:t>
      </w:r>
      <w:r w:rsidRPr="008D46DF">
        <w:tab/>
        <w:t xml:space="preserve">Todo es calculable y </w:t>
      </w:r>
      <w:r w:rsidRPr="008D46DF">
        <w:rPr>
          <w:i/>
        </w:rPr>
        <w:t>caro</w:t>
      </w:r>
      <w:r w:rsidRPr="008D46DF">
        <w:t xml:space="preserve"> y en particular lo es la adopción y aplicación de cualquier sistema estatal o internacionalmente compartido que obligue a las autoridades públicas a proteger a quienes se hallan en situaciones de mayor desvalimiento. </w:t>
      </w:r>
    </w:p>
    <w:p w:rsidR="008D46DF" w:rsidRPr="008D46DF" w:rsidRDefault="008D46DF" w:rsidP="004551E9">
      <w:r w:rsidRPr="008D46DF">
        <w:t xml:space="preserve">La protección de tales sistemas se manifiesta o debería manifestarse en primer lugar por la adopción de las medidas necesarias para el acceso a los medios de satisfacción de  las generalmente denominadas necesidades básicas (alimentación y agua potable, atención sanitaria, educación, vivienda adecuada). Y en segundo lugar de medidas que permitan su acceso a servicios de atención social  suficientes en casos de vulnerabilidad por razones de género, orientación sexual, enfermedad, edad, pertenencia a </w:t>
      </w:r>
      <w:r w:rsidRPr="008D46DF">
        <w:lastRenderedPageBreak/>
        <w:t>grupos sociales minoritarios o marginales (minorías determinadas, personas en situación de pobreza extrema, parados de larga duración, migrantes sin trabajo)  y personas con discapacidad.</w:t>
      </w:r>
    </w:p>
    <w:p w:rsidR="008D46DF" w:rsidRPr="008D46DF" w:rsidRDefault="008D46DF" w:rsidP="004551E9">
      <w:r w:rsidRPr="008D46DF">
        <w:t>La dimensión universal y, como he señalado, de humanización que inspira en toda su amplitud el campo de la protección de los derechos humanos es propia de un trabajo global de construcción de una civilización  atenta a la realización de los valores que se resumen  en el valor último de la defensa de la dignidad de toda persona.</w:t>
      </w:r>
    </w:p>
    <w:p w:rsidR="008D46DF" w:rsidRPr="008D46DF" w:rsidRDefault="008D46DF" w:rsidP="004551E9">
      <w:r w:rsidRPr="008D46DF">
        <w:t xml:space="preserve">En particular, es especialmente exigente y dignificador el objetivo de proteger a todas las personas con cualquier tipo de discapacidad para que gocen efectivamente de todos los derechos humanos y de las libertades fundamentales, sin discriminación y en situación de igualdad con las demás personas. Ese es cabalmente  el objetivo del principal y universal instrumento jurídico internacional en la materia constituido por </w:t>
      </w:r>
      <w:smartTag w:uri="urn:schemas-microsoft-com:office:smarttags" w:element="PersonName">
        <w:smartTagPr>
          <w:attr w:name="ProductID" w:val="la Convención"/>
        </w:smartTagPr>
        <w:r w:rsidRPr="008D46DF">
          <w:t>la Convención</w:t>
        </w:r>
      </w:smartTag>
      <w:r w:rsidRPr="008D46DF">
        <w:t xml:space="preserve"> de 2006 sobre los derechos de las personas con discapacidad y su Protocolo facultativo (147 y 82 Estados partes, respectivamente, en la actualidad).</w:t>
      </w:r>
    </w:p>
    <w:p w:rsidR="008D46DF" w:rsidRPr="008D46DF" w:rsidRDefault="008D46DF" w:rsidP="004551E9">
      <w:r w:rsidRPr="008D46DF">
        <w:t xml:space="preserve">Pero el trabajo de Francisco José Bariffi no solamente presenta de modo bien ajustado </w:t>
      </w:r>
      <w:smartTag w:uri="urn:schemas-microsoft-com:office:smarttags" w:element="PersonName">
        <w:smartTagPr>
          <w:attr w:name="ProductID" w:val="la Convención"/>
        </w:smartTagPr>
        <w:r w:rsidRPr="008D46DF">
          <w:t>la Convención</w:t>
        </w:r>
      </w:smartTag>
      <w:r w:rsidRPr="008D46DF">
        <w:t xml:space="preserve"> misma en su complejidad normativa sino que, colocándose </w:t>
      </w:r>
      <w:r w:rsidRPr="008D46DF">
        <w:rPr>
          <w:i/>
        </w:rPr>
        <w:t>in medias res</w:t>
      </w:r>
      <w:r w:rsidRPr="008D46DF">
        <w:t xml:space="preserve">, aborda con genio una de las claves centrales de la regulación convencional: el régimen de protección de la capacidad jurídica de las personas con discapacidad, en especial tal como viene regulado por el artículo 12 (3) del instrumento convencional. La capacidad jurídica de una persona es el núcleo vivo de su personalidad jurídica, de su existencia como sujeto de Derecho y define por ello el ámbito del reconocimiento jurídico de su voluntad libre como decidora y conductora de su propia vida. “La regulación de la capacidad jurídica de una persona con discapacidad”: núcleo duro del régimen internacionalmente nuevo que en su paradoja reguladora ha dado lugar ciertamente a debates enconados y a </w:t>
      </w:r>
      <w:r w:rsidRPr="008D46DF">
        <w:lastRenderedPageBreak/>
        <w:t>tomas de posición no coincidentes de diferentes Estados, por medio incluso de reservas al texto convencional.</w:t>
      </w:r>
    </w:p>
    <w:p w:rsidR="008D46DF" w:rsidRPr="008D46DF" w:rsidRDefault="008D46DF" w:rsidP="004551E9">
      <w:r w:rsidRPr="008D46DF">
        <w:t xml:space="preserve">No la menor de las virtudes de este libro es el de abordar la interdisciplinariedad del tema. Así que, inevitablemente para un jurista lúcido como es su autor, consciente del cambio de paradigma que supone </w:t>
      </w:r>
      <w:smartTag w:uri="urn:schemas-microsoft-com:office:smarttags" w:element="PersonName">
        <w:smartTagPr>
          <w:attr w:name="ProductID" w:val="la Convención"/>
        </w:smartTagPr>
        <w:r w:rsidRPr="008D46DF">
          <w:t>la Convención</w:t>
        </w:r>
      </w:smartTag>
      <w:r w:rsidRPr="008D46DF">
        <w:t xml:space="preserve"> en la regulación general y específicamente en materia de capacidad jurídica, cambio que busca impulsar las potencialidades personales y sociales de la persona con discapacidad, realiza aquí un ejercicio bienvenido de propuesta de un modelo de reforma de los códigos civiles de los sistemas jurídicos iberoamericanos.</w:t>
      </w:r>
    </w:p>
    <w:p w:rsidR="008D46DF" w:rsidRPr="008D46DF" w:rsidRDefault="008D46DF" w:rsidP="004551E9">
      <w:r w:rsidRPr="008D46DF">
        <w:t>En síntesis y en sus conclusiones he aquí un libro que no es sino una manifestación importante del trabajo creador de un jurista llamado sin duda a importantes empresas.</w:t>
      </w:r>
    </w:p>
    <w:p w:rsidR="008D46DF" w:rsidRPr="008D46DF" w:rsidRDefault="008D46DF" w:rsidP="004551E9">
      <w:r w:rsidRPr="008D46DF">
        <w:tab/>
      </w:r>
      <w:r w:rsidRPr="008D46DF">
        <w:tab/>
      </w:r>
      <w:r w:rsidRPr="008D46DF">
        <w:tab/>
      </w:r>
      <w:r w:rsidRPr="008D46DF">
        <w:tab/>
      </w:r>
      <w:r w:rsidRPr="008D46DF">
        <w:tab/>
      </w:r>
      <w:r w:rsidRPr="008D46DF">
        <w:tab/>
        <w:t>Madrid, octubre de 2014.</w:t>
      </w:r>
    </w:p>
    <w:p w:rsidR="008D46DF" w:rsidRDefault="008D46DF" w:rsidP="004551E9"/>
    <w:p w:rsidR="008D46DF" w:rsidRDefault="005D1227" w:rsidP="0002033E">
      <w:pPr>
        <w:jc w:val="right"/>
      </w:pPr>
      <w:r w:rsidRPr="008D46DF">
        <w:t>FERNANDO MARIÑO</w:t>
      </w:r>
    </w:p>
    <w:p w:rsidR="008D46DF" w:rsidRPr="008D46DF" w:rsidRDefault="005D1227" w:rsidP="0002033E">
      <w:pPr>
        <w:jc w:val="right"/>
      </w:pPr>
      <w:r w:rsidRPr="008D46DF">
        <w:t>CATEDRÁTICO DE DERECHO INTERNACIONAL</w:t>
      </w:r>
    </w:p>
    <w:p w:rsidR="008D46DF" w:rsidRPr="005D1227" w:rsidRDefault="005D1227" w:rsidP="0002033E">
      <w:pPr>
        <w:jc w:val="right"/>
      </w:pPr>
      <w:r w:rsidRPr="005D1227">
        <w:t>UNIVERSIDAD CARLOS III DE MADRID</w:t>
      </w:r>
    </w:p>
    <w:p w:rsidR="008D46DF" w:rsidRPr="008D46DF" w:rsidRDefault="008D46DF" w:rsidP="0002033E">
      <w:pPr>
        <w:jc w:val="right"/>
      </w:pPr>
      <w:r w:rsidRPr="008D46DF">
        <w:br w:type="page"/>
      </w:r>
    </w:p>
    <w:p w:rsidR="008D46DF" w:rsidRPr="004551E9" w:rsidRDefault="008D46DF" w:rsidP="004551E9">
      <w:pPr>
        <w:pStyle w:val="Ttulo4"/>
      </w:pPr>
      <w:r w:rsidRPr="004551E9">
        <w:lastRenderedPageBreak/>
        <w:t>PRÓLOGO</w:t>
      </w:r>
    </w:p>
    <w:p w:rsidR="008D46DF" w:rsidRPr="008D46DF" w:rsidRDefault="008D46DF" w:rsidP="004551E9"/>
    <w:p w:rsidR="008D46DF" w:rsidRPr="004551E9" w:rsidRDefault="008D46DF" w:rsidP="004551E9">
      <w:r w:rsidRPr="004551E9">
        <w:t xml:space="preserve">La publicación de la tesis que tengo el honor de prologar viene a demostrar la  trascendencia de la discapacidad como expresión de derechos humanos y que es fruto de un profundo estudio y meticulosa investigación  realizados por su autor, Francisco José Bariffi, desde una perspectiva internacional. </w:t>
      </w:r>
    </w:p>
    <w:p w:rsidR="008D46DF" w:rsidRPr="004551E9" w:rsidRDefault="008D46DF" w:rsidP="004551E9">
      <w:r w:rsidRPr="004551E9">
        <w:t xml:space="preserve">La tesis, que consta de tres partes relativas a la discapacidad y derechos humanos, la capacidad jurídica y los derechos humanos, y las conclusiones que se extraen, viene,  fundamentalmente, a exponer y analizar de manera pormenorizada y minuciosa, el artículo 12 de la Convención Internacional de Derechos de las Personas con Discapacidad, -que ha sido ratificada por España mediante instrumento de fecha 27 de noviembre de 2007 que se publicó en el Boletín Oficial del Estado el  21 de abril de 2008-  y cómo los derechos de las personas con discapacidad han ido evolucionando en el campo internacional, pasándose de unas primeras declaraciones que ofrecían una visión de la discapacidad basada en un modelo médico asistencialista, hacia una concepción más moderna e igualitaria, desde una perspectiva social, no individualista, de plena integración, de pleno reconocimiento de derechos y protección de la capacidad jurídica como garantía de respeto y realización de los derechos humanos de las personas con discapacidad. </w:t>
      </w:r>
    </w:p>
    <w:p w:rsidR="008D46DF" w:rsidRPr="004551E9" w:rsidRDefault="008D46DF" w:rsidP="004551E9">
      <w:pPr>
        <w:rPr>
          <w:shd w:val="clear" w:color="auto" w:fill="FFFFFF"/>
        </w:rPr>
      </w:pPr>
      <w:r w:rsidRPr="004551E9">
        <w:rPr>
          <w:shd w:val="clear" w:color="auto" w:fill="FFFFFF"/>
        </w:rPr>
        <w:t>Algunos países han promulgado sus legislaciones internas de manera más o menos detallada pero otros muchos aún no han abordado esta cuestión, perdurando legislaciones muy discriminatorias para las personas con discapacidad; a éstas no se las visibiliza en su diversidad, dificultándose su participación en la vida pública, participación que, a fortiori, está ligada al reconocimiento de los derechos humanos y libertades fundamentales. Por ello surgió la necesidad de promulgar una norma universal jurídicamente vinculante para garantizar tanto el reconocimiento como la aplicación de los derechos de las personas con discapacidad a nivel universal.</w:t>
      </w:r>
      <w:r w:rsidRPr="004551E9">
        <w:rPr>
          <w:shd w:val="clear" w:color="auto" w:fill="FFFFFF"/>
        </w:rPr>
        <w:tab/>
      </w:r>
    </w:p>
    <w:p w:rsidR="008D46DF" w:rsidRPr="004551E9" w:rsidRDefault="008D46DF" w:rsidP="004551E9">
      <w:pPr>
        <w:rPr>
          <w:shd w:val="clear" w:color="auto" w:fill="FFFFFF"/>
        </w:rPr>
      </w:pPr>
    </w:p>
    <w:p w:rsidR="008D46DF" w:rsidRPr="004551E9" w:rsidRDefault="008D46DF" w:rsidP="004551E9">
      <w:r w:rsidRPr="004551E9">
        <w:rPr>
          <w:shd w:val="clear" w:color="auto" w:fill="FFFFFF"/>
        </w:rPr>
        <w:lastRenderedPageBreak/>
        <w:t xml:space="preserve">La Convención y su Protocolo facultativo se aprobaron el 13 de diciembre de 2006 en la Sede de las Naciones Unidas en Nueva York. El principal valor de la Convención es que ha supuesto un  “cambio paradigmático” en el enfoque del tratamiento a la discapacidad, que desde su aprobación será transversal, con la idea central de </w:t>
      </w:r>
      <w:r w:rsidRPr="004551E9">
        <w:t xml:space="preserve">promover, proteger y asegurar el pleno disfrute en condiciones de igualdad de todos los derechos humanos y libertades fundamentales de las personas con discapacidad, el respeto a su dignidad,  autonomía individual y su independencia, la no discriminación, garantizar la accesibilidad universal, la igualdad de oportunidades y el derecho a la intimidad. </w:t>
      </w:r>
      <w:r w:rsidRPr="004551E9">
        <w:tab/>
      </w:r>
    </w:p>
    <w:p w:rsidR="008D46DF" w:rsidRPr="004551E9" w:rsidRDefault="008D46DF" w:rsidP="004551E9">
      <w:pPr>
        <w:rPr>
          <w:shd w:val="clear" w:color="auto" w:fill="FFFFFF"/>
        </w:rPr>
      </w:pPr>
      <w:r w:rsidRPr="004551E9">
        <w:t xml:space="preserve">España, desde la ratificación de la Convención, ha dado un importante impulso a los derechos de las personas con discapacidad y se ha convertido en un referente por el modo en que acoge temáticas vanguardistas en la materia. En un sistema jurídico que lleva siglos de implementación resulta costoso infiltrar los cambios sociales, sobre todo cuando afectan a temáticas complejas como es la discapacidad que exige una especial sensibilización y en consecuencia, requiere una revisión transversal de todo el ordenamiento jurídico, para lo que la sociedad civil ha jugado un papel crucial. Estos cambios sociales y jurídicos, acompañados del impulso de la Convención, han permitido la modernización de nuestra óptica sobre estos derechos humanos; no en vano recientemente se ha promulgado en España la </w:t>
      </w:r>
      <w:r w:rsidRPr="004551E9">
        <w:rPr>
          <w:shd w:val="clear" w:color="auto" w:fill="FFFFFF"/>
        </w:rPr>
        <w:t xml:space="preserve">Ley General de Derechos de las Personas con Discapacidad y de su inclusión social, de 3 de diciembre de 2013, que viene a crear un marco normativo, que compila y actualiza la legislación preexistente, para impulsar políticas y actuaciones de los poderes públicos con el objetivo último de que estas personas sean partícipes, como sujetos activos titulares de derechos, de una vida en iguales condiciones que el resto de la ciudadanía garantizando el ejercicio real y efectivo de derechos, a través de la promoción de la autonomía personal, de la accesibilidad universal, del acceso al empleo, de la inclusión en la comunidad, la vida independiente y de la erradicación de toda forma de discriminación, conforme a los artículos 9.2, 10, 14 y 49 de la </w:t>
      </w:r>
      <w:r w:rsidRPr="004551E9">
        <w:rPr>
          <w:shd w:val="clear" w:color="auto" w:fill="FFFFFF"/>
        </w:rPr>
        <w:lastRenderedPageBreak/>
        <w:t>Constitución Española y  a la Convención Internacional sobre los Derechos de las Personas con Discapacidad y los tratados y acuerdos internacionales ratificados por España.</w:t>
      </w:r>
    </w:p>
    <w:p w:rsidR="008D46DF" w:rsidRPr="004551E9" w:rsidRDefault="008D46DF" w:rsidP="004551E9">
      <w:pPr>
        <w:rPr>
          <w:shd w:val="clear" w:color="auto" w:fill="FFFFFF"/>
        </w:rPr>
      </w:pPr>
      <w:r w:rsidRPr="004551E9">
        <w:t xml:space="preserve">No obstante los esfuerzos y avances que se han venido realizando y la existencia de una normativa nacional e internacional consolidada, no son por sí mismos suficientes para hacer realidad los objetivos de la </w:t>
      </w:r>
      <w:r w:rsidRPr="004551E9">
        <w:rPr>
          <w:shd w:val="clear" w:color="auto" w:fill="FFFFFF"/>
        </w:rPr>
        <w:t>Ley General de Derechos de las Personas con Discapacidad y de su inclusión social</w:t>
      </w:r>
      <w:r w:rsidRPr="004551E9">
        <w:t xml:space="preserve">, pues se requiere implementar eficazmente todas esas medidas. </w:t>
      </w:r>
      <w:r w:rsidRPr="004551E9">
        <w:rPr>
          <w:shd w:val="clear" w:color="auto" w:fill="FFFFFF"/>
        </w:rPr>
        <w:t>Es por esto que la Tesis de Francisco José Bariffi, puede ser considerada una herramienta de análisis y reflexión que nos permita identificar, desde nuestro sistema interno, las obligaciones universales que se han asumido a través de  la ratificación de la Convención, trasladando esa perspectiva de transversalidad de la discapacidad, a la práctica diaria en cada uno de nuestros ámbitos de actuación, para continuar en la línea del pleno reconocimiento y salvaguarda de los derechos, pero también para que desde todas las esferas políticas, sociales, económicas, educacionales, culturales, jurídicas, públicas y privadas, seamos capaces de detectar cualquier práctica que quebrante o viole las normas de la convención y proceder a activar los mecanismos que sean necesarios para su restauración.</w:t>
      </w:r>
    </w:p>
    <w:p w:rsidR="008D46DF" w:rsidRPr="004551E9" w:rsidRDefault="008D46DF" w:rsidP="004551E9">
      <w:r w:rsidRPr="004551E9">
        <w:t>Por último me gustaría hacer una mención especial a las organizaciones de personas con discapacidad que con su lucha incansable renuevan nuestro compromiso diario en la realización de estos derechos humanos y que permiten, a través de sus informes, visibilizar esta realidad, concienciar a la sociedad y provocar cambios en mejora de los derechos y la calidad de vida de las personas con discapacidad. Mi agradecimiento a todas ellas, y mi enhorabuena al autor de este magnífico trabajo.</w:t>
      </w:r>
      <w:bookmarkStart w:id="0" w:name="_GoBack"/>
      <w:bookmarkEnd w:id="0"/>
      <w:r w:rsidRPr="004551E9">
        <w:t xml:space="preserve"> </w:t>
      </w:r>
    </w:p>
    <w:p w:rsidR="008D46DF" w:rsidRPr="008D46DF" w:rsidRDefault="008D46DF" w:rsidP="0002033E">
      <w:pPr>
        <w:jc w:val="right"/>
      </w:pPr>
      <w:r w:rsidRPr="008D46DF">
        <w:t>JUAN MANUEL FERNÁNDEZ MARTÍNEZ</w:t>
      </w:r>
    </w:p>
    <w:p w:rsidR="008D46DF" w:rsidRPr="008D46DF" w:rsidRDefault="008D46DF" w:rsidP="0002033E">
      <w:pPr>
        <w:jc w:val="right"/>
      </w:pPr>
      <w:r w:rsidRPr="008D46DF">
        <w:t>VOCAL DEL CONSEJO GENERAL DEL PODER JUDICIAL</w:t>
      </w:r>
    </w:p>
    <w:p w:rsidR="008D46DF" w:rsidRPr="008D46DF" w:rsidRDefault="008D46DF" w:rsidP="0002033E">
      <w:pPr>
        <w:jc w:val="right"/>
      </w:pPr>
      <w:r w:rsidRPr="008D46DF">
        <w:t>PRESIDENTE DEL FORO JUSTICIA Y DISCAPACIDAD</w:t>
      </w:r>
    </w:p>
    <w:p w:rsidR="008D46DF" w:rsidRPr="008D46DF" w:rsidRDefault="008D46DF" w:rsidP="004551E9">
      <w:pPr>
        <w:pStyle w:val="TITULO5"/>
      </w:pPr>
      <w:r w:rsidRPr="008D46DF">
        <w:lastRenderedPageBreak/>
        <w:t>NOTA PRELIMINAR</w:t>
      </w:r>
    </w:p>
    <w:p w:rsidR="008D46DF" w:rsidRPr="004551E9" w:rsidRDefault="008D46DF" w:rsidP="004551E9">
      <w:r w:rsidRPr="004551E9">
        <w:t>La aprobación de la Convención de las Naciones Unidas sobre los Derechos de las Personas con Discapacidad trajo consigo un cambio de paradigma en el enfoque de las políticas sobre discapacidad, superando definitivamente la perspectiva asistencial de la discapacidad para abordar una basada en los derechos humanos. El texto fue resultado de un largo proceso en el que tuvieron un papel trascendental las organizaciones de personas con discapacidad y sus familias.</w:t>
      </w:r>
    </w:p>
    <w:p w:rsidR="008D46DF" w:rsidRPr="004551E9" w:rsidRDefault="008D46DF" w:rsidP="004551E9">
      <w:r w:rsidRPr="004551E9">
        <w:t xml:space="preserve">La Convención, el primer Tratado de Derechos Humanos del siglo XXI, si bien no vino a reconocer nuevos derechos, sí ha supuesto que los Estados Parte asuman el compromiso y la obligación de adoptar las medidas necesarias para garantizar el goce efectivo de derechos por parte de las personas con discapacidad, en igualdad de condiciones que los demás. </w:t>
      </w:r>
    </w:p>
    <w:p w:rsidR="008D46DF" w:rsidRPr="004551E9" w:rsidRDefault="008D46DF" w:rsidP="004551E9">
      <w:r w:rsidRPr="004551E9">
        <w:t xml:space="preserve">Dentro de estos derechos, merece mención especial el consagrado en su artículo 12: el derecho al igual reconocimiento como persona ante la ley y de la capacidad jurídica en todos los aspectos de la vida. Sencillo en su enunciado pero complejo en su esencia y articulación, el artículo 12 se revela además clave para el ejercicio de otros derechos recogidos en la Convención. Siendo como es una de una de las disposiciones más vanguardistas y polémicas -ya desde su negociación- este precepto, “el corazón de la Convención” (como se ha aludido a él en muchas ocasiones), merecía sin duda un trabajo riguroso, exhaustivo e innovador como éste. </w:t>
      </w:r>
    </w:p>
    <w:p w:rsidR="008D46DF" w:rsidRPr="004551E9" w:rsidRDefault="008D46DF" w:rsidP="004551E9">
      <w:r w:rsidRPr="004551E9">
        <w:t xml:space="preserve">Frente al sistema tradicional de sustitución en la toma de decisiones contemplado en la mayoría de las legislaciones nacionales -que innegablemente conlleva una disminución, cuando no una negación, de la capacidad jurídica de las personas con discapacidad- el modelo social que inspira la Convención apuesta por un sistema de apoyos como medio para complementar la capacidad natural. </w:t>
      </w:r>
    </w:p>
    <w:p w:rsidR="008D46DF" w:rsidRPr="004551E9" w:rsidRDefault="008D46DF" w:rsidP="004551E9">
      <w:r w:rsidRPr="004551E9">
        <w:lastRenderedPageBreak/>
        <w:t>Cada persona encierra un mundo y, por tanto, los apoyos que se puedan necesitar variarán de una persona con discapacidad a otra; el sistema de medidas de apoyos que establece la Convención debe tener en cuenta las circunstancias y el momento vital de la persona, apostando por medidas de apoyo individualizadas, graduables y revisables.</w:t>
      </w:r>
    </w:p>
    <w:p w:rsidR="008D46DF" w:rsidRPr="004551E9" w:rsidRDefault="008D46DF" w:rsidP="004551E9">
      <w:r w:rsidRPr="004551E9">
        <w:t>Como se analiza detalladamente en el este trabajo, este precepto constituye todo un desafío en cuanto a su implementación. Queda aún por delante la tarea más dificultosa: les toca a los Estados,  a los que esta obra podrá orientar, actuar y mover ficha para diseñar los mecanismos nacionales que permitan incorporar el modelo consagrado por este artículo y crear, así, el puente que permita salvar la distancia entre mundo jurídico y realidad que hoy existe.</w:t>
      </w:r>
    </w:p>
    <w:p w:rsidR="008D46DF" w:rsidRPr="004551E9" w:rsidRDefault="008D46DF" w:rsidP="004551E9">
      <w:r w:rsidRPr="004551E9">
        <w:t>Desde estas líneas quiero agradecer a Francisco, con quien he tenido la oportunidad de trabajar y colaborar juntos en numerosas ocasiones, su dedicación y compromiso con el mundo de la discapacidad porque con su trabajo, experiencia y conocimiento, nos ayuda a marcar los pasos futuros de las personas con discapacidad y sus familias.</w:t>
      </w:r>
    </w:p>
    <w:p w:rsidR="005D1227" w:rsidRDefault="005D1227" w:rsidP="004551E9"/>
    <w:p w:rsidR="008D46DF" w:rsidRPr="008D46DF" w:rsidRDefault="008D46DF" w:rsidP="00CB4C21">
      <w:pPr>
        <w:jc w:val="right"/>
      </w:pPr>
      <w:r w:rsidRPr="008D46DF">
        <w:t xml:space="preserve">DR. MIGUEL ÁNGEL CABRA DE LUNA </w:t>
      </w:r>
    </w:p>
    <w:p w:rsidR="008D46DF" w:rsidRPr="008D46DF" w:rsidRDefault="008D46DF" w:rsidP="00CB4C21">
      <w:pPr>
        <w:jc w:val="right"/>
      </w:pPr>
      <w:r w:rsidRPr="008D46DF">
        <w:t>DIRECTOR DE RELACIONES SOCIALES E INTERNACIONALES Y PLANES ESTRATÉGICOS DE LA FUNDACIÓN ONCE Y DIRECTOR DE LOS SERVICIOS JURÍDICOS DEL CERMI</w:t>
      </w:r>
    </w:p>
    <w:p w:rsidR="008D46DF" w:rsidRPr="00B02F7D" w:rsidRDefault="008D46DF" w:rsidP="004551E9"/>
    <w:p w:rsidR="00DB0172" w:rsidRPr="00DB0172" w:rsidRDefault="008D46DF" w:rsidP="004551E9">
      <w:r>
        <w:rPr>
          <w:b/>
        </w:rPr>
        <w:br w:type="page"/>
      </w:r>
      <w:r>
        <w:lastRenderedPageBreak/>
        <w:t>Ab</w:t>
      </w:r>
      <w:r w:rsidR="00DB0172" w:rsidRPr="00DB0172">
        <w:t>reviaturas</w:t>
      </w:r>
    </w:p>
    <w:p w:rsidR="00DB0172" w:rsidRPr="0093037F" w:rsidRDefault="00DB0172" w:rsidP="004551E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14"/>
        <w:gridCol w:w="5972"/>
      </w:tblGrid>
      <w:tr w:rsidR="00DB0172" w:rsidRPr="004551E9" w:rsidTr="00727959">
        <w:tc>
          <w:tcPr>
            <w:tcW w:w="1668" w:type="dxa"/>
          </w:tcPr>
          <w:p w:rsidR="00DB0172" w:rsidRPr="0093037F" w:rsidRDefault="00DB0172" w:rsidP="004551E9">
            <w:r w:rsidRPr="0093037F">
              <w:t>ACNUDH</w:t>
            </w:r>
          </w:p>
        </w:tc>
        <w:tc>
          <w:tcPr>
            <w:tcW w:w="6976" w:type="dxa"/>
          </w:tcPr>
          <w:p w:rsidR="00DB0172" w:rsidRPr="0093037F" w:rsidRDefault="00DB0172" w:rsidP="004551E9">
            <w:r w:rsidRPr="00DB0172">
              <w:t>Alto Comisionado de las Naciones Unidas para los Derechos Humanos</w:t>
            </w:r>
          </w:p>
        </w:tc>
      </w:tr>
      <w:tr w:rsidR="00DB0172" w:rsidRPr="004551E9" w:rsidTr="00727959">
        <w:tc>
          <w:tcPr>
            <w:tcW w:w="1668" w:type="dxa"/>
          </w:tcPr>
          <w:p w:rsidR="00DB0172" w:rsidRPr="0093037F" w:rsidRDefault="00DB0172" w:rsidP="004551E9">
            <w:r w:rsidRPr="0093037F">
              <w:t>AG</w:t>
            </w:r>
          </w:p>
        </w:tc>
        <w:tc>
          <w:tcPr>
            <w:tcW w:w="6976" w:type="dxa"/>
          </w:tcPr>
          <w:p w:rsidR="00DB0172" w:rsidRPr="0093037F" w:rsidRDefault="00DB0172" w:rsidP="004551E9">
            <w:r w:rsidRPr="0093037F">
              <w:t>Asamblea General de las Naciones Unidas</w:t>
            </w:r>
          </w:p>
        </w:tc>
      </w:tr>
      <w:tr w:rsidR="00DB0172" w:rsidRPr="004551E9" w:rsidTr="00727959">
        <w:tc>
          <w:tcPr>
            <w:tcW w:w="1668" w:type="dxa"/>
          </w:tcPr>
          <w:p w:rsidR="00DB0172" w:rsidRPr="0093037F" w:rsidRDefault="00DB0172" w:rsidP="004551E9">
            <w:r w:rsidRPr="0093037F">
              <w:t>CADH</w:t>
            </w:r>
          </w:p>
        </w:tc>
        <w:tc>
          <w:tcPr>
            <w:tcW w:w="6976" w:type="dxa"/>
          </w:tcPr>
          <w:p w:rsidR="00DB0172" w:rsidRPr="00DB0172" w:rsidRDefault="00DB0172" w:rsidP="004551E9">
            <w:r w:rsidRPr="00DB0172">
              <w:t>Convención Americana sobre Derechos Humanos</w:t>
            </w:r>
          </w:p>
        </w:tc>
      </w:tr>
      <w:tr w:rsidR="00DB0172" w:rsidRPr="004551E9" w:rsidTr="00727959">
        <w:tc>
          <w:tcPr>
            <w:tcW w:w="1668" w:type="dxa"/>
          </w:tcPr>
          <w:p w:rsidR="00DB0172" w:rsidRPr="0093037F" w:rsidRDefault="00DB0172" w:rsidP="004551E9">
            <w:r w:rsidRPr="0093037F">
              <w:t>CADHP</w:t>
            </w:r>
          </w:p>
        </w:tc>
        <w:tc>
          <w:tcPr>
            <w:tcW w:w="6976" w:type="dxa"/>
          </w:tcPr>
          <w:p w:rsidR="00DB0172" w:rsidRPr="00DB0172" w:rsidRDefault="00DB0172" w:rsidP="004551E9">
            <w:r w:rsidRPr="00DB0172">
              <w:t>Carta Africana para los Derechos Humanos y de los Pueblos</w:t>
            </w:r>
          </w:p>
        </w:tc>
      </w:tr>
      <w:tr w:rsidR="00DB0172" w:rsidRPr="004551E9" w:rsidTr="00727959">
        <w:tc>
          <w:tcPr>
            <w:tcW w:w="1668" w:type="dxa"/>
          </w:tcPr>
          <w:p w:rsidR="00DB0172" w:rsidRPr="0093037F" w:rsidRDefault="00DB0172" w:rsidP="004551E9">
            <w:r w:rsidRPr="0093037F">
              <w:t>CCT</w:t>
            </w:r>
          </w:p>
        </w:tc>
        <w:tc>
          <w:tcPr>
            <w:tcW w:w="6976" w:type="dxa"/>
          </w:tcPr>
          <w:p w:rsidR="00DB0172" w:rsidRPr="00DB0172" w:rsidRDefault="00DB0172" w:rsidP="004551E9">
            <w:pPr>
              <w:rPr>
                <w:rStyle w:val="apple-style-span"/>
                <w:color w:val="000000"/>
                <w:sz w:val="20"/>
                <w:szCs w:val="20"/>
                <w:lang w:val="es-ES"/>
              </w:rPr>
            </w:pPr>
            <w:r w:rsidRPr="00DB0172">
              <w:t>Convención contra la tortura y otros tratos crueles, inhumanos y degradantes</w:t>
            </w:r>
          </w:p>
        </w:tc>
      </w:tr>
      <w:tr w:rsidR="00DB0172" w:rsidRPr="004551E9" w:rsidTr="00727959">
        <w:tc>
          <w:tcPr>
            <w:tcW w:w="1668" w:type="dxa"/>
          </w:tcPr>
          <w:p w:rsidR="00DB0172" w:rsidRPr="0093037F" w:rsidRDefault="00DB0172" w:rsidP="004551E9">
            <w:r w:rsidRPr="0093037F">
              <w:t>CDI</w:t>
            </w:r>
          </w:p>
        </w:tc>
        <w:tc>
          <w:tcPr>
            <w:tcW w:w="6976" w:type="dxa"/>
          </w:tcPr>
          <w:p w:rsidR="00DB0172" w:rsidRPr="00DB0172" w:rsidRDefault="00DB0172" w:rsidP="004551E9">
            <w:r w:rsidRPr="00DB0172">
              <w:t>Comisión de Derecho Internacional de las Naciones Unidas</w:t>
            </w:r>
          </w:p>
        </w:tc>
      </w:tr>
      <w:tr w:rsidR="00DB0172" w:rsidRPr="004551E9" w:rsidTr="00727959">
        <w:tc>
          <w:tcPr>
            <w:tcW w:w="1668" w:type="dxa"/>
          </w:tcPr>
          <w:p w:rsidR="00DB0172" w:rsidRPr="0093037F" w:rsidRDefault="00DB0172" w:rsidP="004551E9">
            <w:r w:rsidRPr="0093037F">
              <w:t>CDN</w:t>
            </w:r>
          </w:p>
        </w:tc>
        <w:tc>
          <w:tcPr>
            <w:tcW w:w="6976" w:type="dxa"/>
          </w:tcPr>
          <w:p w:rsidR="00DB0172" w:rsidRPr="00DB0172" w:rsidRDefault="00DB0172" w:rsidP="004551E9">
            <w:pPr>
              <w:rPr>
                <w:rStyle w:val="apple-style-span"/>
                <w:color w:val="000000"/>
                <w:sz w:val="20"/>
                <w:szCs w:val="20"/>
                <w:lang w:val="es-ES"/>
              </w:rPr>
            </w:pPr>
            <w:r w:rsidRPr="00DB0172">
              <w:t>Convención sobre los Derechos del Niño</w:t>
            </w:r>
          </w:p>
        </w:tc>
      </w:tr>
      <w:tr w:rsidR="00DB0172" w:rsidRPr="004551E9" w:rsidTr="00727959">
        <w:tc>
          <w:tcPr>
            <w:tcW w:w="1668" w:type="dxa"/>
          </w:tcPr>
          <w:p w:rsidR="00DB0172" w:rsidRPr="0093037F" w:rsidRDefault="00DB0172" w:rsidP="004551E9">
            <w:r w:rsidRPr="0093037F">
              <w:t xml:space="preserve">CDPD </w:t>
            </w:r>
          </w:p>
        </w:tc>
        <w:tc>
          <w:tcPr>
            <w:tcW w:w="6976" w:type="dxa"/>
          </w:tcPr>
          <w:p w:rsidR="00DB0172" w:rsidRPr="0093037F" w:rsidRDefault="00DB0172" w:rsidP="004551E9">
            <w:r w:rsidRPr="0093037F">
              <w:t>Convención Internacional sobre los Derechos de las Personas con Discapacidad</w:t>
            </w:r>
          </w:p>
        </w:tc>
      </w:tr>
      <w:tr w:rsidR="00DB0172" w:rsidRPr="004551E9" w:rsidTr="00727959">
        <w:tc>
          <w:tcPr>
            <w:tcW w:w="1668" w:type="dxa"/>
          </w:tcPr>
          <w:p w:rsidR="00DB0172" w:rsidRPr="0093037F" w:rsidRDefault="00DB0172" w:rsidP="004551E9">
            <w:r w:rsidRPr="0093037F">
              <w:t xml:space="preserve">CDPD </w:t>
            </w:r>
          </w:p>
        </w:tc>
        <w:tc>
          <w:tcPr>
            <w:tcW w:w="6976" w:type="dxa"/>
          </w:tcPr>
          <w:p w:rsidR="00DB0172" w:rsidRPr="00DB0172" w:rsidRDefault="00DB0172" w:rsidP="004551E9">
            <w:pPr>
              <w:rPr>
                <w:rStyle w:val="apple-style-span"/>
                <w:color w:val="000000"/>
                <w:sz w:val="20"/>
                <w:szCs w:val="20"/>
                <w:lang w:val="es-ES"/>
              </w:rPr>
            </w:pPr>
            <w:r w:rsidRPr="00DB0172">
              <w:rPr>
                <w:rStyle w:val="apple-style-span"/>
                <w:color w:val="000000"/>
                <w:sz w:val="20"/>
                <w:szCs w:val="20"/>
                <w:lang w:val="es-ES"/>
              </w:rPr>
              <w:t>Convención Internacional sobre los Derechos de las Personas con Discapacidad</w:t>
            </w:r>
          </w:p>
        </w:tc>
      </w:tr>
      <w:tr w:rsidR="00DB0172" w:rsidRPr="004551E9" w:rsidTr="00727959">
        <w:tc>
          <w:tcPr>
            <w:tcW w:w="1668" w:type="dxa"/>
          </w:tcPr>
          <w:p w:rsidR="00DB0172" w:rsidRPr="0093037F" w:rsidRDefault="00DB0172" w:rsidP="004551E9">
            <w:r w:rsidRPr="0093037F">
              <w:t xml:space="preserve">CDTM </w:t>
            </w:r>
          </w:p>
        </w:tc>
        <w:tc>
          <w:tcPr>
            <w:tcW w:w="6976" w:type="dxa"/>
          </w:tcPr>
          <w:p w:rsidR="00DB0172" w:rsidRPr="00DB0172" w:rsidRDefault="00DB0172" w:rsidP="004551E9">
            <w:pPr>
              <w:rPr>
                <w:rStyle w:val="apple-style-span"/>
                <w:color w:val="000000"/>
                <w:sz w:val="20"/>
                <w:szCs w:val="20"/>
                <w:lang w:val="es-ES"/>
              </w:rPr>
            </w:pPr>
            <w:r w:rsidRPr="00DB0172">
              <w:t>Convención sobre los Derechos de los Trabajadores Migrantes</w:t>
            </w:r>
          </w:p>
        </w:tc>
      </w:tr>
      <w:tr w:rsidR="00DB0172" w:rsidRPr="004551E9" w:rsidTr="00727959">
        <w:tc>
          <w:tcPr>
            <w:tcW w:w="1668" w:type="dxa"/>
          </w:tcPr>
          <w:p w:rsidR="00DB0172" w:rsidRPr="0093037F" w:rsidRDefault="00DB0172" w:rsidP="004551E9">
            <w:r w:rsidRPr="0093037F">
              <w:t>CEDDIS</w:t>
            </w:r>
          </w:p>
        </w:tc>
        <w:tc>
          <w:tcPr>
            <w:tcW w:w="6976" w:type="dxa"/>
          </w:tcPr>
          <w:p w:rsidR="00DB0172" w:rsidRPr="00DB0172" w:rsidRDefault="00DB0172" w:rsidP="004551E9">
            <w:r w:rsidRPr="00DB0172">
              <w:t>Comité para la Eliminación de todas las Formas de Discriminación contra las Personas con Discapacidad</w:t>
            </w:r>
          </w:p>
        </w:tc>
      </w:tr>
      <w:tr w:rsidR="00DB0172" w:rsidRPr="004551E9" w:rsidTr="00727959">
        <w:tc>
          <w:tcPr>
            <w:tcW w:w="1668" w:type="dxa"/>
          </w:tcPr>
          <w:p w:rsidR="00DB0172" w:rsidRPr="0093037F" w:rsidRDefault="00DB0172" w:rsidP="004551E9">
            <w:r w:rsidRPr="0093037F">
              <w:t>CEDH</w:t>
            </w:r>
          </w:p>
        </w:tc>
        <w:tc>
          <w:tcPr>
            <w:tcW w:w="6976" w:type="dxa"/>
          </w:tcPr>
          <w:p w:rsidR="00DB0172" w:rsidRPr="00DB0172" w:rsidRDefault="00DB0172" w:rsidP="004551E9">
            <w:r w:rsidRPr="00DB0172">
              <w:t>Convenio Europeo de Derechos Humanos</w:t>
            </w:r>
          </w:p>
        </w:tc>
      </w:tr>
      <w:tr w:rsidR="00DB0172" w:rsidRPr="004551E9" w:rsidTr="00727959">
        <w:tc>
          <w:tcPr>
            <w:tcW w:w="1668" w:type="dxa"/>
          </w:tcPr>
          <w:p w:rsidR="00DB0172" w:rsidRPr="0093037F" w:rsidRDefault="00DB0172" w:rsidP="004551E9">
            <w:pPr>
              <w:rPr>
                <w:rFonts w:eastAsia="Calibri"/>
              </w:rPr>
            </w:pPr>
            <w:r w:rsidRPr="0093037F">
              <w:t>CEFDM</w:t>
            </w:r>
          </w:p>
        </w:tc>
        <w:tc>
          <w:tcPr>
            <w:tcW w:w="6976" w:type="dxa"/>
          </w:tcPr>
          <w:p w:rsidR="00DB0172" w:rsidRPr="00DB0172" w:rsidRDefault="00DB0172" w:rsidP="004551E9">
            <w:pPr>
              <w:rPr>
                <w:rStyle w:val="apple-style-span"/>
                <w:color w:val="000000"/>
                <w:sz w:val="20"/>
                <w:szCs w:val="20"/>
                <w:lang w:val="es-ES"/>
              </w:rPr>
            </w:pPr>
            <w:r w:rsidRPr="00DB0172">
              <w:t>Convención sobre la eliminación de todas las formas de discriminación contra la mujer</w:t>
            </w:r>
          </w:p>
        </w:tc>
      </w:tr>
      <w:tr w:rsidR="00DB0172" w:rsidRPr="0093037F" w:rsidTr="00727959">
        <w:tc>
          <w:tcPr>
            <w:tcW w:w="1668" w:type="dxa"/>
          </w:tcPr>
          <w:p w:rsidR="00DB0172" w:rsidRPr="0093037F" w:rsidRDefault="00DB0172" w:rsidP="004551E9">
            <w:r w:rsidRPr="0093037F">
              <w:t>CEP</w:t>
            </w:r>
          </w:p>
        </w:tc>
        <w:tc>
          <w:tcPr>
            <w:tcW w:w="6976" w:type="dxa"/>
          </w:tcPr>
          <w:p w:rsidR="00DB0172" w:rsidRPr="0093037F" w:rsidRDefault="00DB0172" w:rsidP="004551E9">
            <w:pPr>
              <w:rPr>
                <w:rStyle w:val="apple-style-span"/>
                <w:color w:val="000000"/>
                <w:sz w:val="20"/>
                <w:szCs w:val="20"/>
              </w:rPr>
            </w:pPr>
            <w:r w:rsidRPr="0093037F">
              <w:t>Conferencia de Estados Partes</w:t>
            </w:r>
          </w:p>
        </w:tc>
      </w:tr>
      <w:tr w:rsidR="00DB0172" w:rsidRPr="004551E9" w:rsidTr="00727959">
        <w:tc>
          <w:tcPr>
            <w:tcW w:w="1668" w:type="dxa"/>
          </w:tcPr>
          <w:p w:rsidR="00DB0172" w:rsidRPr="0093037F" w:rsidRDefault="00DB0172" w:rsidP="004551E9">
            <w:r w:rsidRPr="0093037F">
              <w:t>CIADH</w:t>
            </w:r>
          </w:p>
        </w:tc>
        <w:tc>
          <w:tcPr>
            <w:tcW w:w="6976" w:type="dxa"/>
          </w:tcPr>
          <w:p w:rsidR="00DB0172" w:rsidRPr="00DB0172" w:rsidRDefault="00DB0172" w:rsidP="004551E9">
            <w:pPr>
              <w:rPr>
                <w:rStyle w:val="apple-style-span"/>
                <w:color w:val="000000"/>
                <w:sz w:val="20"/>
                <w:szCs w:val="20"/>
                <w:lang w:val="es-ES"/>
              </w:rPr>
            </w:pPr>
            <w:r w:rsidRPr="00DB0172">
              <w:rPr>
                <w:rStyle w:val="apple-style-span"/>
                <w:color w:val="000000"/>
                <w:sz w:val="20"/>
                <w:szCs w:val="20"/>
                <w:lang w:val="es-ES"/>
              </w:rPr>
              <w:t>Corte Interamericana de Derechos Humanos</w:t>
            </w:r>
          </w:p>
        </w:tc>
      </w:tr>
      <w:tr w:rsidR="00DB0172" w:rsidRPr="004551E9" w:rsidTr="00727959">
        <w:tc>
          <w:tcPr>
            <w:tcW w:w="1668" w:type="dxa"/>
          </w:tcPr>
          <w:p w:rsidR="00DB0172" w:rsidRPr="0093037F" w:rsidRDefault="00DB0172" w:rsidP="004551E9">
            <w:pPr>
              <w:rPr>
                <w:rFonts w:eastAsia="Calibri"/>
              </w:rPr>
            </w:pPr>
            <w:r w:rsidRPr="0093037F">
              <w:lastRenderedPageBreak/>
              <w:t>CIAEFDPD</w:t>
            </w:r>
          </w:p>
        </w:tc>
        <w:tc>
          <w:tcPr>
            <w:tcW w:w="6976" w:type="dxa"/>
          </w:tcPr>
          <w:p w:rsidR="00DB0172" w:rsidRPr="00DB0172" w:rsidRDefault="00DB0172" w:rsidP="004551E9">
            <w:r w:rsidRPr="00DB0172">
              <w:t>Convención Interamericana para la Eliminación de Todas las formas de Discriminación contra las Personas con Discapacidad</w:t>
            </w:r>
          </w:p>
        </w:tc>
      </w:tr>
      <w:tr w:rsidR="00DB0172" w:rsidRPr="004551E9" w:rsidTr="00727959">
        <w:tc>
          <w:tcPr>
            <w:tcW w:w="1668" w:type="dxa"/>
          </w:tcPr>
          <w:p w:rsidR="00DB0172" w:rsidRPr="0093037F" w:rsidRDefault="00DB0172" w:rsidP="004551E9">
            <w:r w:rsidRPr="0093037F">
              <w:t>CICR</w:t>
            </w:r>
          </w:p>
        </w:tc>
        <w:tc>
          <w:tcPr>
            <w:tcW w:w="6976" w:type="dxa"/>
          </w:tcPr>
          <w:p w:rsidR="00DB0172" w:rsidRPr="0093037F" w:rsidRDefault="00DB0172" w:rsidP="004551E9">
            <w:pPr>
              <w:rPr>
                <w:rStyle w:val="apple-style-span"/>
                <w:color w:val="000000"/>
                <w:sz w:val="20"/>
                <w:szCs w:val="20"/>
              </w:rPr>
            </w:pPr>
            <w:r w:rsidRPr="00DB0172">
              <w:t>Comité Internacional de la Cruz Roja</w:t>
            </w:r>
          </w:p>
        </w:tc>
      </w:tr>
      <w:tr w:rsidR="00DB0172" w:rsidRPr="004551E9" w:rsidTr="00727959">
        <w:tc>
          <w:tcPr>
            <w:tcW w:w="1668" w:type="dxa"/>
          </w:tcPr>
          <w:p w:rsidR="00DB0172" w:rsidRPr="0093037F" w:rsidRDefault="00DB0172" w:rsidP="004551E9">
            <w:r w:rsidRPr="0093037F">
              <w:t>CIDDM</w:t>
            </w:r>
          </w:p>
        </w:tc>
        <w:tc>
          <w:tcPr>
            <w:tcW w:w="6976" w:type="dxa"/>
          </w:tcPr>
          <w:p w:rsidR="00DB0172" w:rsidRPr="00DB0172" w:rsidRDefault="00DB0172" w:rsidP="004551E9">
            <w:r w:rsidRPr="00DB0172">
              <w:t xml:space="preserve">Clasificación Internacional de Deficiencias, Discapacidades y Minusvalías </w:t>
            </w:r>
          </w:p>
        </w:tc>
      </w:tr>
      <w:tr w:rsidR="00DB0172" w:rsidRPr="0093037F" w:rsidTr="00727959">
        <w:tc>
          <w:tcPr>
            <w:tcW w:w="1668" w:type="dxa"/>
          </w:tcPr>
          <w:p w:rsidR="00DB0172" w:rsidRPr="0093037F" w:rsidRDefault="00DB0172" w:rsidP="004551E9">
            <w:r w:rsidRPr="0093037F">
              <w:t>CIE</w:t>
            </w:r>
          </w:p>
        </w:tc>
        <w:tc>
          <w:tcPr>
            <w:tcW w:w="6976" w:type="dxa"/>
          </w:tcPr>
          <w:p w:rsidR="00DB0172" w:rsidRPr="0093037F" w:rsidRDefault="00DB0172" w:rsidP="004551E9">
            <w:r w:rsidRPr="0093037F">
              <w:t>Clasificación Internacional de Enfermedades</w:t>
            </w:r>
          </w:p>
        </w:tc>
      </w:tr>
      <w:tr w:rsidR="00DB0172" w:rsidRPr="0093037F" w:rsidTr="00727959">
        <w:tc>
          <w:tcPr>
            <w:tcW w:w="1668" w:type="dxa"/>
          </w:tcPr>
          <w:p w:rsidR="00DB0172" w:rsidRPr="0093037F" w:rsidRDefault="00DB0172" w:rsidP="004551E9">
            <w:r w:rsidRPr="0093037F">
              <w:t>CIF</w:t>
            </w:r>
          </w:p>
        </w:tc>
        <w:tc>
          <w:tcPr>
            <w:tcW w:w="6976" w:type="dxa"/>
          </w:tcPr>
          <w:p w:rsidR="00DB0172" w:rsidRPr="0093037F" w:rsidRDefault="00DB0172" w:rsidP="004551E9">
            <w:r w:rsidRPr="0093037F">
              <w:t>Clasificación Internacional de Funcionamiento</w:t>
            </w:r>
          </w:p>
        </w:tc>
      </w:tr>
      <w:tr w:rsidR="00DB0172" w:rsidRPr="004551E9" w:rsidTr="00727959">
        <w:tc>
          <w:tcPr>
            <w:tcW w:w="1668" w:type="dxa"/>
          </w:tcPr>
          <w:p w:rsidR="00DB0172" w:rsidRPr="0093037F" w:rsidRDefault="00DB0172" w:rsidP="004551E9">
            <w:r w:rsidRPr="0093037F">
              <w:t>CIFDS</w:t>
            </w:r>
          </w:p>
        </w:tc>
        <w:tc>
          <w:tcPr>
            <w:tcW w:w="6976" w:type="dxa"/>
          </w:tcPr>
          <w:p w:rsidR="00DB0172" w:rsidRPr="00DB0172" w:rsidRDefault="00DB0172" w:rsidP="004551E9">
            <w:r w:rsidRPr="00DB0172">
              <w:t>Clasificación Internacional del Funcionamiento, la Discapacidad y la Salud</w:t>
            </w:r>
          </w:p>
        </w:tc>
      </w:tr>
      <w:tr w:rsidR="00DB0172" w:rsidRPr="004551E9" w:rsidTr="00727959">
        <w:tc>
          <w:tcPr>
            <w:tcW w:w="1668" w:type="dxa"/>
          </w:tcPr>
          <w:p w:rsidR="00DB0172" w:rsidRPr="0093037F" w:rsidRDefault="00DB0172" w:rsidP="004551E9">
            <w:r w:rsidRPr="0093037F">
              <w:t>COBDH</w:t>
            </w:r>
          </w:p>
        </w:tc>
        <w:tc>
          <w:tcPr>
            <w:tcW w:w="6976" w:type="dxa"/>
          </w:tcPr>
          <w:p w:rsidR="00DB0172" w:rsidRPr="00DB0172" w:rsidRDefault="00DB0172" w:rsidP="004551E9">
            <w:r w:rsidRPr="00DB0172">
              <w:t>Convenio de Oviedo sobre Bioética y Derechos Humanos</w:t>
            </w:r>
          </w:p>
        </w:tc>
      </w:tr>
      <w:tr w:rsidR="00DB0172" w:rsidRPr="0093037F" w:rsidTr="00727959">
        <w:tc>
          <w:tcPr>
            <w:tcW w:w="1668" w:type="dxa"/>
          </w:tcPr>
          <w:p w:rsidR="00DB0172" w:rsidRPr="0093037F" w:rsidRDefault="00DB0172" w:rsidP="004551E9">
            <w:pPr>
              <w:rPr>
                <w:rFonts w:eastAsia="Calibri"/>
              </w:rPr>
            </w:pPr>
            <w:r>
              <w:t>Cte</w:t>
            </w:r>
            <w:r w:rsidRPr="0093037F">
              <w:t>DH</w:t>
            </w:r>
          </w:p>
        </w:tc>
        <w:tc>
          <w:tcPr>
            <w:tcW w:w="6976" w:type="dxa"/>
          </w:tcPr>
          <w:p w:rsidR="00DB0172" w:rsidRPr="0093037F" w:rsidRDefault="00DB0172" w:rsidP="004551E9">
            <w:pPr>
              <w:rPr>
                <w:rStyle w:val="apple-style-span"/>
                <w:color w:val="000000"/>
                <w:sz w:val="20"/>
                <w:szCs w:val="20"/>
              </w:rPr>
            </w:pPr>
            <w:r w:rsidRPr="0093037F">
              <w:t>Comisión de Derechos Humanos</w:t>
            </w:r>
          </w:p>
        </w:tc>
      </w:tr>
      <w:tr w:rsidR="00DB0172" w:rsidRPr="004551E9" w:rsidTr="00727959">
        <w:tc>
          <w:tcPr>
            <w:tcW w:w="1668" w:type="dxa"/>
          </w:tcPr>
          <w:p w:rsidR="00DB0172" w:rsidRPr="0093037F" w:rsidRDefault="00DB0172" w:rsidP="004551E9">
            <w:r w:rsidRPr="0093037F">
              <w:t>CteCDPD</w:t>
            </w:r>
          </w:p>
        </w:tc>
        <w:tc>
          <w:tcPr>
            <w:tcW w:w="6976" w:type="dxa"/>
          </w:tcPr>
          <w:p w:rsidR="00DB0172" w:rsidRPr="00DB0172" w:rsidRDefault="00DB0172" w:rsidP="004551E9">
            <w:r w:rsidRPr="00DB0172">
              <w:t>Comité de las Naciones Unidas sobre los Derechos de las Personas con Discapacidad</w:t>
            </w:r>
          </w:p>
        </w:tc>
      </w:tr>
      <w:tr w:rsidR="00DB0172" w:rsidRPr="0093037F" w:rsidTr="00727959">
        <w:tc>
          <w:tcPr>
            <w:tcW w:w="1668" w:type="dxa"/>
          </w:tcPr>
          <w:p w:rsidR="00DB0172" w:rsidRPr="0093037F" w:rsidRDefault="00DB0172" w:rsidP="004551E9">
            <w:r w:rsidRPr="0093037F">
              <w:t xml:space="preserve">CteCT </w:t>
            </w:r>
          </w:p>
        </w:tc>
        <w:tc>
          <w:tcPr>
            <w:tcW w:w="6976" w:type="dxa"/>
          </w:tcPr>
          <w:p w:rsidR="00DB0172" w:rsidRPr="0093037F" w:rsidRDefault="00DB0172" w:rsidP="004551E9">
            <w:pPr>
              <w:rPr>
                <w:rStyle w:val="apple-style-span"/>
                <w:color w:val="000000"/>
                <w:sz w:val="20"/>
                <w:szCs w:val="20"/>
              </w:rPr>
            </w:pPr>
            <w:r w:rsidRPr="0093037F">
              <w:t xml:space="preserve">Comité Contra la Tortura </w:t>
            </w:r>
          </w:p>
        </w:tc>
      </w:tr>
      <w:tr w:rsidR="00DB0172" w:rsidRPr="004551E9" w:rsidTr="00727959">
        <w:tc>
          <w:tcPr>
            <w:tcW w:w="1668" w:type="dxa"/>
          </w:tcPr>
          <w:p w:rsidR="00DB0172" w:rsidRPr="0093037F" w:rsidRDefault="00DB0172" w:rsidP="004551E9">
            <w:pPr>
              <w:rPr>
                <w:rFonts w:eastAsia="Calibri"/>
              </w:rPr>
            </w:pPr>
            <w:r w:rsidRPr="0093037F">
              <w:t>CteDESC</w:t>
            </w:r>
          </w:p>
        </w:tc>
        <w:tc>
          <w:tcPr>
            <w:tcW w:w="6976" w:type="dxa"/>
          </w:tcPr>
          <w:p w:rsidR="00DB0172" w:rsidRPr="00DB0172" w:rsidRDefault="00DB0172" w:rsidP="004551E9">
            <w:pPr>
              <w:rPr>
                <w:rStyle w:val="apple-style-span"/>
                <w:color w:val="000000"/>
                <w:sz w:val="20"/>
                <w:szCs w:val="20"/>
                <w:lang w:val="es-ES"/>
              </w:rPr>
            </w:pPr>
            <w:r w:rsidRPr="00DB0172">
              <w:t>Comité de Derechos Económicos, Sociales y Culturales</w:t>
            </w:r>
          </w:p>
        </w:tc>
      </w:tr>
      <w:tr w:rsidR="00DB0172" w:rsidRPr="004551E9" w:rsidTr="00727959">
        <w:tc>
          <w:tcPr>
            <w:tcW w:w="1668" w:type="dxa"/>
          </w:tcPr>
          <w:p w:rsidR="00DB0172" w:rsidRPr="0093037F" w:rsidRDefault="00DB0172" w:rsidP="004551E9">
            <w:r w:rsidRPr="0093037F">
              <w:t>CteDH</w:t>
            </w:r>
          </w:p>
        </w:tc>
        <w:tc>
          <w:tcPr>
            <w:tcW w:w="6976" w:type="dxa"/>
          </w:tcPr>
          <w:p w:rsidR="00DB0172" w:rsidRPr="0093037F" w:rsidRDefault="00DB0172" w:rsidP="004551E9">
            <w:r w:rsidRPr="0093037F">
              <w:t>Comité de Derechos Humanos de la ONU</w:t>
            </w:r>
          </w:p>
        </w:tc>
      </w:tr>
      <w:tr w:rsidR="00DB0172" w:rsidRPr="004551E9" w:rsidTr="00727959">
        <w:tc>
          <w:tcPr>
            <w:tcW w:w="1668" w:type="dxa"/>
          </w:tcPr>
          <w:p w:rsidR="00DB0172" w:rsidRPr="0093037F" w:rsidRDefault="00DB0172" w:rsidP="004551E9">
            <w:r w:rsidRPr="0093037F">
              <w:t>CteDN</w:t>
            </w:r>
          </w:p>
        </w:tc>
        <w:tc>
          <w:tcPr>
            <w:tcW w:w="6976" w:type="dxa"/>
          </w:tcPr>
          <w:p w:rsidR="00DB0172" w:rsidRPr="0093037F" w:rsidRDefault="00DB0172" w:rsidP="004551E9">
            <w:pPr>
              <w:rPr>
                <w:rStyle w:val="apple-style-span"/>
                <w:color w:val="000000"/>
                <w:sz w:val="20"/>
                <w:szCs w:val="20"/>
              </w:rPr>
            </w:pPr>
            <w:r w:rsidRPr="0093037F">
              <w:rPr>
                <w:rStyle w:val="apple-style-span"/>
                <w:color w:val="000000"/>
                <w:sz w:val="20"/>
                <w:szCs w:val="20"/>
              </w:rPr>
              <w:t>Comité sobre los Derechos del Niño</w:t>
            </w:r>
          </w:p>
        </w:tc>
      </w:tr>
      <w:tr w:rsidR="00DB0172" w:rsidRPr="004551E9" w:rsidTr="00727959">
        <w:tc>
          <w:tcPr>
            <w:tcW w:w="1668" w:type="dxa"/>
          </w:tcPr>
          <w:p w:rsidR="00DB0172" w:rsidRPr="0093037F" w:rsidRDefault="00DB0172" w:rsidP="004551E9">
            <w:r w:rsidRPr="0093037F">
              <w:t>CteEDM</w:t>
            </w:r>
          </w:p>
        </w:tc>
        <w:tc>
          <w:tcPr>
            <w:tcW w:w="6976" w:type="dxa"/>
          </w:tcPr>
          <w:p w:rsidR="00DB0172" w:rsidRPr="0093037F" w:rsidRDefault="00DB0172" w:rsidP="004551E9">
            <w:pPr>
              <w:rPr>
                <w:rStyle w:val="apple-style-span"/>
                <w:color w:val="000000"/>
                <w:sz w:val="20"/>
                <w:szCs w:val="20"/>
              </w:rPr>
            </w:pPr>
            <w:r w:rsidRPr="00DB0172">
              <w:t>Comité para la Eliminación de la Discriminación contra la Mujer</w:t>
            </w:r>
          </w:p>
        </w:tc>
      </w:tr>
      <w:tr w:rsidR="00DB0172" w:rsidRPr="004551E9" w:rsidTr="00727959">
        <w:tc>
          <w:tcPr>
            <w:tcW w:w="1668" w:type="dxa"/>
          </w:tcPr>
          <w:p w:rsidR="00DB0172" w:rsidRPr="0093037F" w:rsidRDefault="00DB0172" w:rsidP="004551E9">
            <w:r w:rsidRPr="0093037F">
              <w:t xml:space="preserve">CVDT </w:t>
            </w:r>
          </w:p>
        </w:tc>
        <w:tc>
          <w:tcPr>
            <w:tcW w:w="6976" w:type="dxa"/>
          </w:tcPr>
          <w:p w:rsidR="00DB0172" w:rsidRPr="00DB0172" w:rsidRDefault="00DB0172" w:rsidP="004551E9">
            <w:r w:rsidRPr="00DB0172">
              <w:t>Convención de Viena sobre el Derecho de los Tratados de 1969</w:t>
            </w:r>
          </w:p>
        </w:tc>
      </w:tr>
      <w:tr w:rsidR="00DB0172" w:rsidRPr="0093037F" w:rsidTr="00727959">
        <w:tc>
          <w:tcPr>
            <w:tcW w:w="1668" w:type="dxa"/>
          </w:tcPr>
          <w:p w:rsidR="00DB0172" w:rsidRPr="0093037F" w:rsidRDefault="00DB0172" w:rsidP="004551E9">
            <w:r w:rsidRPr="0093037F">
              <w:t xml:space="preserve">DIH </w:t>
            </w:r>
          </w:p>
        </w:tc>
        <w:tc>
          <w:tcPr>
            <w:tcW w:w="6976" w:type="dxa"/>
          </w:tcPr>
          <w:p w:rsidR="00DB0172" w:rsidRPr="0093037F" w:rsidRDefault="00DB0172" w:rsidP="004551E9">
            <w:pPr>
              <w:rPr>
                <w:rStyle w:val="apple-style-span"/>
                <w:color w:val="000000"/>
                <w:sz w:val="20"/>
                <w:szCs w:val="20"/>
              </w:rPr>
            </w:pPr>
            <w:r w:rsidRPr="0093037F">
              <w:rPr>
                <w:rStyle w:val="apple-style-span"/>
                <w:color w:val="000000"/>
                <w:sz w:val="20"/>
                <w:szCs w:val="20"/>
              </w:rPr>
              <w:t>Derecho Internacional Humanitario</w:t>
            </w:r>
          </w:p>
        </w:tc>
      </w:tr>
      <w:tr w:rsidR="00DB0172" w:rsidRPr="004551E9" w:rsidTr="00727959">
        <w:tc>
          <w:tcPr>
            <w:tcW w:w="1668" w:type="dxa"/>
          </w:tcPr>
          <w:p w:rsidR="00DB0172" w:rsidRPr="0093037F" w:rsidRDefault="00DB0172" w:rsidP="004551E9">
            <w:r w:rsidRPr="0093037F">
              <w:t>DUDH</w:t>
            </w:r>
          </w:p>
        </w:tc>
        <w:tc>
          <w:tcPr>
            <w:tcW w:w="6976" w:type="dxa"/>
          </w:tcPr>
          <w:p w:rsidR="00DB0172" w:rsidRPr="0093037F" w:rsidRDefault="00DB0172" w:rsidP="004551E9">
            <w:r w:rsidRPr="0093037F">
              <w:t>Declaración Universal de los Derechos Humanos</w:t>
            </w:r>
          </w:p>
        </w:tc>
      </w:tr>
      <w:tr w:rsidR="00DB0172" w:rsidRPr="004551E9" w:rsidTr="00727959">
        <w:tc>
          <w:tcPr>
            <w:tcW w:w="1668" w:type="dxa"/>
          </w:tcPr>
          <w:p w:rsidR="00DB0172" w:rsidRPr="0093037F" w:rsidRDefault="00DB0172" w:rsidP="004551E9">
            <w:pPr>
              <w:rPr>
                <w:rFonts w:eastAsia="Calibri"/>
              </w:rPr>
            </w:pPr>
            <w:r w:rsidRPr="0093037F">
              <w:t>INsDH</w:t>
            </w:r>
          </w:p>
        </w:tc>
        <w:tc>
          <w:tcPr>
            <w:tcW w:w="6976" w:type="dxa"/>
          </w:tcPr>
          <w:p w:rsidR="00DB0172" w:rsidRPr="0093037F" w:rsidRDefault="00DB0172" w:rsidP="004551E9">
            <w:pPr>
              <w:rPr>
                <w:rStyle w:val="apple-style-span"/>
                <w:color w:val="000000"/>
                <w:sz w:val="20"/>
                <w:szCs w:val="20"/>
              </w:rPr>
            </w:pPr>
            <w:r w:rsidRPr="00DB0172">
              <w:t xml:space="preserve">Instituciones Nacionales para la Protección y Promoción de </w:t>
            </w:r>
            <w:r w:rsidRPr="00DB0172">
              <w:lastRenderedPageBreak/>
              <w:t>los Derechos Humanos</w:t>
            </w:r>
          </w:p>
        </w:tc>
      </w:tr>
      <w:tr w:rsidR="00DB0172" w:rsidRPr="004551E9" w:rsidTr="00727959">
        <w:tc>
          <w:tcPr>
            <w:tcW w:w="1668" w:type="dxa"/>
          </w:tcPr>
          <w:p w:rsidR="00DB0172" w:rsidRPr="0093037F" w:rsidRDefault="00DB0172" w:rsidP="004551E9">
            <w:r w:rsidRPr="0093037F">
              <w:lastRenderedPageBreak/>
              <w:t>OCOSOC</w:t>
            </w:r>
          </w:p>
        </w:tc>
        <w:tc>
          <w:tcPr>
            <w:tcW w:w="6976" w:type="dxa"/>
          </w:tcPr>
          <w:p w:rsidR="00DB0172" w:rsidRPr="0093037F" w:rsidRDefault="00DB0172" w:rsidP="004551E9">
            <w:r w:rsidRPr="0093037F">
              <w:t>Consejo Económico y Social de las Naciones Unidas</w:t>
            </w:r>
          </w:p>
        </w:tc>
      </w:tr>
      <w:tr w:rsidR="00DB0172" w:rsidRPr="004551E9" w:rsidTr="00727959">
        <w:tc>
          <w:tcPr>
            <w:tcW w:w="1668" w:type="dxa"/>
          </w:tcPr>
          <w:p w:rsidR="00DB0172" w:rsidRPr="0093037F" w:rsidRDefault="00DB0172" w:rsidP="004551E9">
            <w:r w:rsidRPr="0093037F">
              <w:t>OEA</w:t>
            </w:r>
          </w:p>
        </w:tc>
        <w:tc>
          <w:tcPr>
            <w:tcW w:w="6976" w:type="dxa"/>
          </w:tcPr>
          <w:p w:rsidR="00DB0172" w:rsidRPr="00DB0172" w:rsidRDefault="00DB0172" w:rsidP="004551E9">
            <w:r w:rsidRPr="00DB0172">
              <w:t>Organización de los Estados Americanos</w:t>
            </w:r>
          </w:p>
        </w:tc>
      </w:tr>
      <w:tr w:rsidR="00DB0172" w:rsidRPr="0093037F" w:rsidTr="00727959">
        <w:tc>
          <w:tcPr>
            <w:tcW w:w="1668" w:type="dxa"/>
          </w:tcPr>
          <w:p w:rsidR="00DB0172" w:rsidRPr="0093037F" w:rsidRDefault="00DB0172" w:rsidP="004551E9">
            <w:r w:rsidRPr="0093037F">
              <w:t>OIT</w:t>
            </w:r>
          </w:p>
        </w:tc>
        <w:tc>
          <w:tcPr>
            <w:tcW w:w="6976" w:type="dxa"/>
          </w:tcPr>
          <w:p w:rsidR="00DB0172" w:rsidRPr="0093037F" w:rsidRDefault="00DB0172" w:rsidP="004551E9">
            <w:r w:rsidRPr="0093037F">
              <w:t>Organización Internacional del Trabajo</w:t>
            </w:r>
          </w:p>
        </w:tc>
      </w:tr>
      <w:tr w:rsidR="00DB0172" w:rsidRPr="0093037F" w:rsidTr="00727959">
        <w:tc>
          <w:tcPr>
            <w:tcW w:w="1668" w:type="dxa"/>
          </w:tcPr>
          <w:p w:rsidR="00DB0172" w:rsidRPr="0093037F" w:rsidRDefault="00DB0172" w:rsidP="004551E9">
            <w:r w:rsidRPr="0093037F">
              <w:t xml:space="preserve">OMC </w:t>
            </w:r>
          </w:p>
        </w:tc>
        <w:tc>
          <w:tcPr>
            <w:tcW w:w="6976" w:type="dxa"/>
          </w:tcPr>
          <w:p w:rsidR="00DB0172" w:rsidRPr="0093037F" w:rsidRDefault="00DB0172" w:rsidP="004551E9">
            <w:r w:rsidRPr="0093037F">
              <w:t>Organización Mundial del Comercio</w:t>
            </w:r>
          </w:p>
        </w:tc>
      </w:tr>
      <w:tr w:rsidR="00DB0172" w:rsidRPr="004551E9" w:rsidTr="00727959">
        <w:tc>
          <w:tcPr>
            <w:tcW w:w="1668" w:type="dxa"/>
          </w:tcPr>
          <w:p w:rsidR="00DB0172" w:rsidRPr="0093037F" w:rsidRDefault="00DB0172" w:rsidP="004551E9">
            <w:r w:rsidRPr="0093037F">
              <w:t>OMS</w:t>
            </w:r>
          </w:p>
        </w:tc>
        <w:tc>
          <w:tcPr>
            <w:tcW w:w="6976" w:type="dxa"/>
          </w:tcPr>
          <w:p w:rsidR="00DB0172" w:rsidRPr="0093037F" w:rsidRDefault="00DB0172" w:rsidP="004551E9">
            <w:r w:rsidRPr="0093037F">
              <w:t>Organización Mundial de la Salud</w:t>
            </w:r>
          </w:p>
        </w:tc>
      </w:tr>
      <w:tr w:rsidR="00DB0172" w:rsidRPr="004551E9" w:rsidTr="00727959">
        <w:tc>
          <w:tcPr>
            <w:tcW w:w="1668" w:type="dxa"/>
          </w:tcPr>
          <w:p w:rsidR="00DB0172" w:rsidRPr="0093037F" w:rsidRDefault="00DB0172" w:rsidP="004551E9">
            <w:r w:rsidRPr="0093037F">
              <w:t>ONU</w:t>
            </w:r>
          </w:p>
        </w:tc>
        <w:tc>
          <w:tcPr>
            <w:tcW w:w="6976" w:type="dxa"/>
          </w:tcPr>
          <w:p w:rsidR="00DB0172" w:rsidRPr="0093037F" w:rsidRDefault="00DB0172" w:rsidP="004551E9">
            <w:r w:rsidRPr="0093037F">
              <w:t>Organización de las Naciones Unidas</w:t>
            </w:r>
          </w:p>
        </w:tc>
      </w:tr>
      <w:tr w:rsidR="00DB0172" w:rsidRPr="004551E9" w:rsidTr="00727959">
        <w:tc>
          <w:tcPr>
            <w:tcW w:w="1668" w:type="dxa"/>
          </w:tcPr>
          <w:p w:rsidR="00DB0172" w:rsidRPr="0093037F" w:rsidRDefault="00DB0172" w:rsidP="004551E9">
            <w:r w:rsidRPr="0093037F">
              <w:t>OPD</w:t>
            </w:r>
          </w:p>
        </w:tc>
        <w:tc>
          <w:tcPr>
            <w:tcW w:w="6976" w:type="dxa"/>
          </w:tcPr>
          <w:p w:rsidR="00DB0172" w:rsidRPr="00DB0172" w:rsidRDefault="00DB0172" w:rsidP="004551E9">
            <w:pPr>
              <w:rPr>
                <w:rStyle w:val="apple-style-span"/>
                <w:color w:val="000000"/>
                <w:sz w:val="20"/>
                <w:szCs w:val="20"/>
                <w:lang w:val="es-ES"/>
              </w:rPr>
            </w:pPr>
            <w:r w:rsidRPr="00DB0172">
              <w:rPr>
                <w:rStyle w:val="apple-style-span"/>
                <w:color w:val="000000"/>
                <w:sz w:val="20"/>
                <w:szCs w:val="20"/>
                <w:lang w:val="es-ES"/>
              </w:rPr>
              <w:t>Organizaciones de Personas con Discapacidad</w:t>
            </w:r>
          </w:p>
        </w:tc>
      </w:tr>
      <w:tr w:rsidR="00DB0172" w:rsidRPr="004551E9" w:rsidTr="00727959">
        <w:tc>
          <w:tcPr>
            <w:tcW w:w="1668" w:type="dxa"/>
          </w:tcPr>
          <w:p w:rsidR="00DB0172" w:rsidRPr="0093037F" w:rsidRDefault="00DB0172" w:rsidP="004551E9">
            <w:r w:rsidRPr="0093037F">
              <w:t>PIDCP</w:t>
            </w:r>
          </w:p>
        </w:tc>
        <w:tc>
          <w:tcPr>
            <w:tcW w:w="6976" w:type="dxa"/>
          </w:tcPr>
          <w:p w:rsidR="00DB0172" w:rsidRPr="0093037F" w:rsidRDefault="00DB0172" w:rsidP="004551E9">
            <w:r w:rsidRPr="0093037F">
              <w:t>Pacto Internacional de Derechos Civiles y Políticos</w:t>
            </w:r>
          </w:p>
        </w:tc>
      </w:tr>
      <w:tr w:rsidR="00DB0172" w:rsidRPr="004551E9" w:rsidTr="00727959">
        <w:tc>
          <w:tcPr>
            <w:tcW w:w="1668" w:type="dxa"/>
          </w:tcPr>
          <w:p w:rsidR="00DB0172" w:rsidRPr="0093037F" w:rsidRDefault="00DB0172" w:rsidP="004551E9">
            <w:r w:rsidRPr="0093037F">
              <w:t>PIDESC</w:t>
            </w:r>
          </w:p>
        </w:tc>
        <w:tc>
          <w:tcPr>
            <w:tcW w:w="6976" w:type="dxa"/>
          </w:tcPr>
          <w:p w:rsidR="00DB0172" w:rsidRPr="0093037F" w:rsidRDefault="00DB0172" w:rsidP="004551E9">
            <w:r w:rsidRPr="0093037F">
              <w:t>Pacto Internacional de Derechos Económicos, Sociales y Culturales</w:t>
            </w:r>
          </w:p>
        </w:tc>
      </w:tr>
      <w:tr w:rsidR="00DB0172" w:rsidRPr="004551E9" w:rsidTr="00727959">
        <w:tc>
          <w:tcPr>
            <w:tcW w:w="1668" w:type="dxa"/>
          </w:tcPr>
          <w:p w:rsidR="00DB0172" w:rsidRPr="0093037F" w:rsidRDefault="00DB0172" w:rsidP="004551E9">
            <w:r w:rsidRPr="0093037F">
              <w:t>TEDH</w:t>
            </w:r>
          </w:p>
        </w:tc>
        <w:tc>
          <w:tcPr>
            <w:tcW w:w="6976" w:type="dxa"/>
          </w:tcPr>
          <w:p w:rsidR="00DB0172" w:rsidRPr="0093037F" w:rsidRDefault="00DB0172" w:rsidP="004551E9">
            <w:pPr>
              <w:rPr>
                <w:rStyle w:val="apple-style-span"/>
                <w:color w:val="000000"/>
                <w:sz w:val="20"/>
                <w:szCs w:val="20"/>
              </w:rPr>
            </w:pPr>
            <w:r w:rsidRPr="00DB0172">
              <w:t>Tribunal Europeo de Derechos Humanos</w:t>
            </w:r>
          </w:p>
        </w:tc>
      </w:tr>
      <w:tr w:rsidR="00DB0172" w:rsidRPr="0093037F" w:rsidTr="00727959">
        <w:tc>
          <w:tcPr>
            <w:tcW w:w="1668" w:type="dxa"/>
          </w:tcPr>
          <w:p w:rsidR="00DB0172" w:rsidRPr="0093037F" w:rsidRDefault="00DB0172" w:rsidP="004551E9">
            <w:r w:rsidRPr="0093037F">
              <w:t>TIJ</w:t>
            </w:r>
          </w:p>
        </w:tc>
        <w:tc>
          <w:tcPr>
            <w:tcW w:w="6976" w:type="dxa"/>
          </w:tcPr>
          <w:p w:rsidR="00DB0172" w:rsidRPr="0093037F" w:rsidRDefault="00DB0172" w:rsidP="004551E9">
            <w:pPr>
              <w:rPr>
                <w:rStyle w:val="apple-style-span"/>
                <w:color w:val="000000"/>
                <w:sz w:val="20"/>
                <w:szCs w:val="20"/>
              </w:rPr>
            </w:pPr>
            <w:r w:rsidRPr="0093037F">
              <w:t>Tribunal Internacional de Justicia</w:t>
            </w:r>
          </w:p>
        </w:tc>
      </w:tr>
      <w:tr w:rsidR="00DB0172" w:rsidRPr="004551E9" w:rsidTr="00727959">
        <w:tc>
          <w:tcPr>
            <w:tcW w:w="1668" w:type="dxa"/>
          </w:tcPr>
          <w:p w:rsidR="00DB0172" w:rsidRPr="0093037F" w:rsidRDefault="00DB0172" w:rsidP="004551E9">
            <w:r w:rsidRPr="0093037F">
              <w:t>UNESCO</w:t>
            </w:r>
          </w:p>
        </w:tc>
        <w:tc>
          <w:tcPr>
            <w:tcW w:w="6976" w:type="dxa"/>
          </w:tcPr>
          <w:p w:rsidR="00DB0172" w:rsidRPr="00DB0172" w:rsidRDefault="00DB0172" w:rsidP="004551E9">
            <w:r w:rsidRPr="00DB0172">
              <w:rPr>
                <w:rStyle w:val="apple-style-span"/>
                <w:color w:val="000000"/>
                <w:sz w:val="20"/>
                <w:szCs w:val="20"/>
                <w:lang w:val="es-ES"/>
              </w:rPr>
              <w:t>Organización de las Naciones Unidas para la Educación, la Ciencia y la Cultura (Siglas en inglés)</w:t>
            </w:r>
          </w:p>
        </w:tc>
      </w:tr>
      <w:tr w:rsidR="00DB0172" w:rsidRPr="004551E9" w:rsidTr="00727959">
        <w:tc>
          <w:tcPr>
            <w:tcW w:w="1668" w:type="dxa"/>
          </w:tcPr>
          <w:p w:rsidR="00DB0172" w:rsidRPr="0093037F" w:rsidRDefault="00DB0172" w:rsidP="004551E9">
            <w:r w:rsidRPr="0093037F">
              <w:t>UNICEF</w:t>
            </w:r>
          </w:p>
        </w:tc>
        <w:tc>
          <w:tcPr>
            <w:tcW w:w="6976" w:type="dxa"/>
          </w:tcPr>
          <w:p w:rsidR="00DB0172" w:rsidRPr="00DB0172" w:rsidRDefault="00DB0172" w:rsidP="004551E9">
            <w:r w:rsidRPr="00DB0172">
              <w:t>Fondo Internacional de Emergencia de las Naciones Unidas para la Infancia (Siglas en Inglés)</w:t>
            </w:r>
          </w:p>
        </w:tc>
      </w:tr>
    </w:tbl>
    <w:p w:rsidR="00DB0172" w:rsidRPr="0093037F" w:rsidRDefault="00DB0172" w:rsidP="004551E9"/>
    <w:p w:rsidR="00DB0172" w:rsidRPr="00DB0172" w:rsidRDefault="00DB0172" w:rsidP="004551E9"/>
    <w:p w:rsidR="00DB0172" w:rsidRPr="00DB0172" w:rsidRDefault="00DB0172" w:rsidP="004551E9"/>
    <w:p w:rsidR="00DB0172" w:rsidRPr="00DB0172" w:rsidRDefault="00DB0172" w:rsidP="004551E9"/>
    <w:p w:rsidR="00DB0172" w:rsidRPr="00DB0172" w:rsidRDefault="00DB0172" w:rsidP="004551E9"/>
    <w:p w:rsidR="00DB0172" w:rsidRPr="00DB0172" w:rsidRDefault="00DB0172" w:rsidP="004551E9"/>
    <w:p w:rsidR="002B3749" w:rsidRPr="00E72B02" w:rsidRDefault="002B3749" w:rsidP="004551E9">
      <w:pPr>
        <w:rPr>
          <w:kern w:val="32"/>
          <w:sz w:val="28"/>
          <w:szCs w:val="28"/>
        </w:rPr>
      </w:pPr>
      <w:r w:rsidRPr="00E72B02">
        <w:br w:type="page"/>
      </w:r>
    </w:p>
    <w:p w:rsidR="008321E0" w:rsidRPr="00CB4C21" w:rsidRDefault="00DC7CF5" w:rsidP="00D579F5">
      <w:pPr>
        <w:pStyle w:val="TTULO60"/>
        <w:rPr>
          <w:sz w:val="28"/>
          <w:szCs w:val="28"/>
        </w:rPr>
      </w:pPr>
      <w:r w:rsidRPr="00CB4C21">
        <w:rPr>
          <w:sz w:val="28"/>
          <w:szCs w:val="28"/>
        </w:rPr>
        <w:lastRenderedPageBreak/>
        <w:t>INTRODUCCIÓN</w:t>
      </w:r>
    </w:p>
    <w:p w:rsidR="008321E0" w:rsidRPr="00E72B02" w:rsidRDefault="008321E0" w:rsidP="004551E9"/>
    <w:p w:rsidR="008321E0" w:rsidRPr="00E72B02" w:rsidRDefault="008321E0" w:rsidP="004551E9">
      <w:r w:rsidRPr="00E72B02">
        <w:t xml:space="preserve">El presente trabajo se centra en la Convención Internacional sobre los Derechos de las Personas con Discapacidad (CDPD), adoptada por la Asamblea General (AG) de </w:t>
      </w:r>
      <w:r w:rsidR="006224CA" w:rsidRPr="00E72B02">
        <w:t xml:space="preserve">Organización de </w:t>
      </w:r>
      <w:r w:rsidRPr="00E72B02">
        <w:t>las Naciones Unidas (ONU) el 13 de diciembre de 2006</w:t>
      </w:r>
      <w:r w:rsidRPr="00E72B02">
        <w:rPr>
          <w:rStyle w:val="Refdenotaalpie"/>
        </w:rPr>
        <w:footnoteReference w:id="1"/>
      </w:r>
      <w:r w:rsidRPr="00E72B02">
        <w:t xml:space="preserve"> y que entrara en vigor el 3 de mayo de 2008. Pero para hacerlo, es preciso tener presente el largo camino hacia el reconocimiento de la dignidad e igualdad de las personas con discapacidad. </w:t>
      </w:r>
      <w:r w:rsidRPr="00E72B02">
        <w:rPr>
          <w:rFonts w:eastAsia="Calibri"/>
        </w:rPr>
        <w:t>Esta Convención es el resultado de un largo proceso, en el que participaron varios actores: Estados miembros de la ONU, Observadores de la ONU, Cuerpos y organizaciones importantes de la ONU, Relator Especial sobre Discapacidad, Instituciones Nacionales de Derechos Humanos, y organizaciones no gubernamentales, entre las que tuvieron un papel destacado las “</w:t>
      </w:r>
      <w:r w:rsidRPr="00E72B02">
        <w:rPr>
          <w:rFonts w:eastAsia="Calibri"/>
          <w:i/>
        </w:rPr>
        <w:t>organizaciones de personas con discapacidad</w:t>
      </w:r>
      <w:r w:rsidRPr="00E72B02">
        <w:rPr>
          <w:rFonts w:eastAsia="Calibri"/>
        </w:rPr>
        <w:t>” (OPD).</w:t>
      </w:r>
      <w:r w:rsidRPr="00E72B02">
        <w:rPr>
          <w:rStyle w:val="Refdenotaalpie"/>
          <w:rFonts w:eastAsia="Calibri"/>
        </w:rPr>
        <w:footnoteReference w:id="2"/>
      </w:r>
      <w:r w:rsidRPr="00E72B02">
        <w:rPr>
          <w:rFonts w:eastAsia="Calibri"/>
        </w:rPr>
        <w:t xml:space="preserve"> Este nuevo instrumento supone importantes consecuencias para las personas con discapacidad, y entre las principales se destaca la “</w:t>
      </w:r>
      <w:r w:rsidRPr="00E72B02">
        <w:rPr>
          <w:rFonts w:eastAsia="Calibri"/>
          <w:i/>
        </w:rPr>
        <w:t>visibilidad</w:t>
      </w:r>
      <w:r w:rsidRPr="00E72B02">
        <w:rPr>
          <w:rFonts w:eastAsia="Calibri"/>
        </w:rPr>
        <w:t>” de este grupo ciudadano dentro del sistema de protección de derechos humanos de Naciones Unidas, la asunción indubitada del fenómeno de la discapacidad como una cuestión de derechos humanos, y el contar con una herramienta jurídica vinculante a la hora de hacer valer los derechos de las personas con discapacidad.</w:t>
      </w:r>
      <w:r w:rsidRPr="00E72B02">
        <w:rPr>
          <w:rStyle w:val="Refdenotaalpie"/>
          <w:rFonts w:eastAsia="Calibri"/>
        </w:rPr>
        <w:footnoteReference w:id="3"/>
      </w:r>
    </w:p>
    <w:p w:rsidR="008321E0" w:rsidRPr="00E72B02" w:rsidRDefault="008321E0" w:rsidP="004551E9">
      <w:r w:rsidRPr="00E72B02">
        <w:lastRenderedPageBreak/>
        <w:t>El tratamiento de la discapacidad como una cuestión de derechos humanos no es un asunto meramente semántico, sino que tiene importantes consecuencias tanto en el diseño e implementación de políticas públicas, como en la adopción de leyes, o en un sentido más general, en las respuestas sociales hacia el fenómeno de la discapacidad. Este cambio de paradigma en el modo de abordar la discapacidad es fruto de la consolidación del “modelo social de la discapacidad” que se encuentra íntimamente relacionado con la asunción de ciertos valores intrí</w:t>
      </w:r>
      <w:r w:rsidR="00625E85" w:rsidRPr="00E72B02">
        <w:t xml:space="preserve">nsecos a los derechos humanos, </w:t>
      </w:r>
      <w:r w:rsidRPr="00E72B02">
        <w:t>y aspira a potenciar el respeto por la dignidad humana, la igualdad y la libertad personal, propiciando la inclusión social. El nuevo modelo se construye  sobre la base de un concepto de discapacidad determinado y apoyado por una serie de principios generales que han sido recogidos en el preámbulo, y los artículos 2 y 3 de la CDPD.</w:t>
      </w:r>
    </w:p>
    <w:p w:rsidR="008321E0" w:rsidRPr="00E72B02" w:rsidRDefault="008321E0" w:rsidP="004551E9">
      <w:r w:rsidRPr="00E72B02">
        <w:t>La adopción de la CDPD acarrea diversas consecuencias. Sin embargo, como se ha dicho, uno de principales efectos se relaciona con la forma en que se aborda la discapacidad, esto es, la consideración de la discapacidad es una cuestión de derechos humanos. Ello supone que las personas con discapacidad no son “</w:t>
      </w:r>
      <w:r w:rsidRPr="00E72B02">
        <w:rPr>
          <w:i/>
        </w:rPr>
        <w:t>objeto</w:t>
      </w:r>
      <w:r w:rsidRPr="00E72B02">
        <w:t>” de políticas caritativas o asistenciales, sino que son “</w:t>
      </w:r>
      <w:r w:rsidRPr="00E72B02">
        <w:rPr>
          <w:i/>
        </w:rPr>
        <w:t>sujetos</w:t>
      </w:r>
      <w:r w:rsidRPr="00E72B02">
        <w:t xml:space="preserve">” de derechos humanos. Por tanto, las desventajas sociales que sufren no deben eliminarse como consecuencia de la “buena </w:t>
      </w:r>
      <w:r w:rsidRPr="00E72B02">
        <w:rPr>
          <w:i/>
        </w:rPr>
        <w:t>voluntad</w:t>
      </w:r>
      <w:r w:rsidRPr="00E72B02">
        <w:t>” de otras personas o de los gobiernos, sino que deben eliminarse porque dichas desventajas son violatorias del goce y ejercicio de sus derechos humanos.</w:t>
      </w:r>
      <w:r w:rsidRPr="00E72B02">
        <w:rPr>
          <w:rStyle w:val="Refdenotaalpie"/>
          <w:rFonts w:eastAsia="Calibri"/>
        </w:rPr>
        <w:footnoteReference w:id="4"/>
      </w:r>
    </w:p>
    <w:p w:rsidR="008321E0" w:rsidRPr="00E72B02" w:rsidRDefault="008321E0" w:rsidP="004551E9">
      <w:r w:rsidRPr="00E72B02">
        <w:t xml:space="preserve">Por otro lado, la adopción de la CDPD aumenta notablemente la visibilidad de las personas con discapacidad, tanto en el sistema de derechos humanos de </w:t>
      </w:r>
      <w:r w:rsidR="00625E85" w:rsidRPr="00E72B02">
        <w:t>la ONU</w:t>
      </w:r>
      <w:r w:rsidRPr="00E72B02">
        <w:t xml:space="preserve">, como en la sociedad en general. La existencia de una </w:t>
      </w:r>
      <w:r w:rsidRPr="00E72B02">
        <w:lastRenderedPageBreak/>
        <w:t>Convención específica, alentará a que los órganos supervisores de derechos humanos existentes le den importancia a los temas de discapacidad al revisar el cumplimiento de los gobiernos con otras convenciones principales de derechos humanos.  Asimismo, incitará a otros organismos vinculados al sistema de l</w:t>
      </w:r>
      <w:r w:rsidR="00625E85" w:rsidRPr="00E72B02">
        <w:t>a ONU</w:t>
      </w:r>
      <w:r w:rsidRPr="00E72B02">
        <w:t xml:space="preserve"> (tales como UNICEF, OMS, UNESCO, OIT y otros) a prestar atención a los asuntos de discapacidad en su respectiva labor. Asimismo, la CDPD exigirá el establecimiento de sistemas para supervisar exhaustivamente la situación de los derechos humanos de las personas con discapacidad en todo el mundo.</w:t>
      </w:r>
      <w:r w:rsidRPr="00E72B02">
        <w:rPr>
          <w:rStyle w:val="Refdenotaalpie"/>
          <w:rFonts w:eastAsia="Calibri"/>
        </w:rPr>
        <w:footnoteReference w:id="5"/>
      </w:r>
      <w:r w:rsidRPr="00E72B02">
        <w:t xml:space="preserve"> Y también el establecimiento de sistemas de cooperación internacional, mediante los cuales los gobiernos, las organizaciones de discapacidad y otros participantes, compartan conocimiento e ideas y trabajen para mejorar las condiciones de vida de las personas con discapacidad.</w:t>
      </w:r>
      <w:r w:rsidRPr="00E72B02">
        <w:rPr>
          <w:rStyle w:val="Refdenotaalpie"/>
          <w:rFonts w:eastAsia="Calibri"/>
        </w:rPr>
        <w:footnoteReference w:id="6"/>
      </w:r>
    </w:p>
    <w:p w:rsidR="008321E0" w:rsidRPr="00E72B02" w:rsidRDefault="008321E0" w:rsidP="004551E9">
      <w:r w:rsidRPr="00E72B02">
        <w:t xml:space="preserve">La CPDP pretende provocar un cambio social que asegure a todas las personas con discapacidad su plena inclusión en la sociedad, poniendo el acento en la eliminación de las barreras que impiden su participación activa en la misma. Ahora bien, uno de los principales retos que supone la entrada en vigor del texto de la CDPD es la correcta adaptación de las disposiciones que garantizan la igualdad de trato en el ejercicio de la capacidad jurídica de las personas con discapacidad, incluidas las personas con discapacidades intelectuales y mentales, considerando discriminatoria toda distinción que se base en la condición de discapacidad. Estas disposiciones se encuentran recogidas principalmente en el artículo 12, sin perjuicio de que el mismo </w:t>
      </w:r>
      <w:r w:rsidRPr="00E72B02">
        <w:lastRenderedPageBreak/>
        <w:t>deba, a su vez, ser interpretado en todo el contexto de la CDPD, y muy especialmente, en conexión con los artículos: 2 (definición de discriminación por motivo de discapacidad), 5 (no-discriminación), 13 (acceso a la justicia), 14 (libertad y seguridad), 15 (protección contra tortura), 16 (protección contra la explotación y malos tratos), 17 (protección de la integridad personal) y 19 (vida independiente e inclusión social).</w:t>
      </w:r>
    </w:p>
    <w:p w:rsidR="008321E0" w:rsidRPr="00E72B02" w:rsidRDefault="008321E0" w:rsidP="004551E9">
      <w:r w:rsidRPr="00E72B02">
        <w:t>El marco legal establecido por el artículo 12 contempla un cambio en el modelo a adoptar a la hora de regular la capacidad jurídica de las personas con discapacidad, especialmente en aquellas situaciones en las cuales puede resultar necesario algún tipo de intervención de terceros. Mientras que el sistema tradicional tiende hacia un modelo de “</w:t>
      </w:r>
      <w:r w:rsidRPr="00E72B02">
        <w:rPr>
          <w:i/>
        </w:rPr>
        <w:t>sustitución</w:t>
      </w:r>
      <w:r w:rsidRPr="00E72B02">
        <w:t>” en la toma de decisiones, el modelo de derechos humanos basado en la dignidad intrínseca de todas las personas, en el que se basa la CDPD, aboga por un modelo de “</w:t>
      </w:r>
      <w:r w:rsidRPr="00E72B02">
        <w:rPr>
          <w:i/>
        </w:rPr>
        <w:t>apoyo</w:t>
      </w:r>
      <w:r w:rsidRPr="00E72B02">
        <w:t>” en la toma de decisiones.</w:t>
      </w:r>
    </w:p>
    <w:p w:rsidR="008321E0" w:rsidRPr="00E72B02" w:rsidRDefault="008321E0" w:rsidP="004551E9">
      <w:r w:rsidRPr="00E72B02">
        <w:t xml:space="preserve">El artículo 12 constituye muy probablemente el mayor desafío que presenta la CDPD: </w:t>
      </w:r>
      <w:r w:rsidRPr="00E72B02">
        <w:rPr>
          <w:i/>
        </w:rPr>
        <w:t>es decir garantizar la igualdad en el ámbito de la capacidad jurídica</w:t>
      </w:r>
      <w:r w:rsidRPr="00E72B02">
        <w:t xml:space="preserve">. Los trabajos preparatorios y todo el debate previo muestran que si bien el modelo social fue más fácilmente aceptado con respecto a la discapacidad física o sensorial, parece que falta mucho camino por andar y muchas barreras y prejuicios que derribar en lo que a discapacidades mentales o intelectuales se trate. El modelo de apoyo en la toma de decisiones reemplaza en el texto de la CDPD al modelo de sustitución. Como principio parece aceptado, pero aún quedan por desarrollar los fundamentos teóricos del modelo de </w:t>
      </w:r>
      <w:r w:rsidR="00625E85" w:rsidRPr="00E72B02">
        <w:t>apoyos</w:t>
      </w:r>
      <w:r w:rsidRPr="00E72B02">
        <w:t xml:space="preserve">, y mucho más, los métodos instrumentales de implementación en los diferentes sistemas jurídicos internos. Mientras tanto, las personas con discapacidades mentales o intelectuales viven una situación de especial vulnerabilidad en lo que al ejercicio de sus derechos fundamentales atañe. Y estos derechos se relacionan con prácticas como la institucionalización psiquiátrica, la privación de libertad por motivo de discapacidad, las esterilizaciones </w:t>
      </w:r>
      <w:r w:rsidRPr="00E72B02">
        <w:lastRenderedPageBreak/>
        <w:t>forzadas por motivo de discapacidad, los experimentos médicos o científicos, los tratamientos médicos forzosos, torturas y otros tratos crueles, inhumanos o degradantes, entre otras tantas.</w:t>
      </w:r>
    </w:p>
    <w:p w:rsidR="008321E0" w:rsidRPr="00E72B02" w:rsidRDefault="008321E0" w:rsidP="004551E9">
      <w:r w:rsidRPr="00E72B02">
        <w:t xml:space="preserve">La incapacitación o interdicción (registra diferentes nombres en los diferentes derechos nacionales) se trata en esencia de un procedimiento por el cual se procede a anular y/o limitar la capacidad jurídica de una persona, nombrando a un representante que la va a suplir en todas o algunas decisiones de su vida. Tradicionalmente se ha considerado que ciertas discapacidades como la ceguera, la sordera, la </w:t>
      </w:r>
      <w:r w:rsidR="009E7E13" w:rsidRPr="00E72B02">
        <w:t>discapacidad</w:t>
      </w:r>
      <w:r w:rsidRPr="00E72B02">
        <w:t xml:space="preserve"> intelectual, y la discapacidad psicosocial eran (son) causales de incapacitación. Ante esta situación, la respuesta jurídica ha sido la de restringir de un modo absoluto la capacidad jurídica de la persona, lo que se suele denominar como interdicción o incapacitación total, que comprende todos los aspectos significativos de carácter personal (matrimonio, adopción, sufragio, etc.) y de carácter patrimonial (testar, comprar, vender, donar etc.) del individuo.  </w:t>
      </w:r>
    </w:p>
    <w:p w:rsidR="008321E0" w:rsidRPr="00E72B02" w:rsidRDefault="008321E0" w:rsidP="004551E9">
      <w:r w:rsidRPr="00E72B02">
        <w:t xml:space="preserve">Una ligera evolución del sistema clásico de incapacitación (pero que sigue partiendo desde el modelo de sustitución) ha sido la inclusión en muchos ordenamientos domésticos de la figura de la incapacitación parcial, o dicho en otras palabras, la limitación parcial de la capacidad jurídica determinando de un modo específico los aspectos de carácter personal y patrimonial en los cuales a la persona se la sustituye en la toma de decisiones. </w:t>
      </w:r>
    </w:p>
    <w:p w:rsidR="008321E0" w:rsidRPr="00E72B02" w:rsidRDefault="008321E0" w:rsidP="004551E9">
      <w:r w:rsidRPr="00E72B02">
        <w:t xml:space="preserve">Esta herramienta de la incapacitación (ya sea total o parcial) se ha concebido y configurado desde un modelo netamente médico de la discapacidad, y desde </w:t>
      </w:r>
      <w:r w:rsidR="00625E85" w:rsidRPr="00E72B02">
        <w:t>un</w:t>
      </w:r>
      <w:r w:rsidR="009E7E13" w:rsidRPr="00E72B02">
        <w:t>a concepción</w:t>
      </w:r>
      <w:r w:rsidR="00625E85" w:rsidRPr="00E72B02">
        <w:t xml:space="preserve"> </w:t>
      </w:r>
      <w:r w:rsidRPr="00E72B02">
        <w:t>de que</w:t>
      </w:r>
      <w:r w:rsidR="00625E85" w:rsidRPr="00E72B02">
        <w:t>,</w:t>
      </w:r>
      <w:r w:rsidRPr="00E72B02">
        <w:t xml:space="preserve"> determinadas personas con discapacidad</w:t>
      </w:r>
      <w:r w:rsidR="00625E85" w:rsidRPr="00E72B02">
        <w:t>,</w:t>
      </w:r>
      <w:r w:rsidRPr="00E72B02">
        <w:t xml:space="preserve"> carecen de la capacidad para tomar sus propias decisiones. Es una herramienta elemental del modelo de sustitución de la voluntad en la toma de decisiones. </w:t>
      </w:r>
    </w:p>
    <w:p w:rsidR="008321E0" w:rsidRPr="00E72B02" w:rsidRDefault="008321E0" w:rsidP="004551E9">
      <w:r w:rsidRPr="00E72B02">
        <w:t xml:space="preserve">Por tanto, si partimos desde el modelo social que ha inspirado filosóficamente a la CDPD, y volviendo a partir desde el propio propósito del instrumento, y los principios y valores recogidos en el artículo 3 como </w:t>
      </w:r>
      <w:r w:rsidRPr="00E72B02">
        <w:lastRenderedPageBreak/>
        <w:t>también la columna vertebral de la igualdad, parece no quedar lugar para una institución como la incapacitación dentro de la fórmula de "</w:t>
      </w:r>
      <w:r w:rsidRPr="00E72B02">
        <w:rPr>
          <w:i/>
        </w:rPr>
        <w:t>igualdad en la capacidad jurídica</w:t>
      </w:r>
      <w:r w:rsidRPr="00E72B02">
        <w:t>".</w:t>
      </w:r>
    </w:p>
    <w:p w:rsidR="008321E0" w:rsidRDefault="008321E0" w:rsidP="004551E9">
      <w:r w:rsidRPr="00E72B02">
        <w:t>El modelo incluido finalmente en la CDPD refleja la posición de las propias personas con discapacidad en contraposición con el actual sistema imperante en prácticamente todos los sistemas jurídicos nacionales que manifiestamente provoca graves vulneraciones de derechos fundamentales. Así, el modelo y el rumbo parecen bastantes claros, pero el camino se presenta confuso y complicado. La necesidad de acercar posiciones entre los reclamos de las personas con discapacidad y sus organizaciones representativas y los principales operadores jurídicos resulta evidente.</w:t>
      </w:r>
    </w:p>
    <w:p w:rsidR="00A1509C" w:rsidRPr="00A1509C" w:rsidRDefault="00A1509C" w:rsidP="004551E9">
      <w:r w:rsidRPr="00A1509C">
        <w:t xml:space="preserve">Aunque ya es posible contar con excelentes trabajos de investigación sobre la </w:t>
      </w:r>
      <w:r>
        <w:t>CDPD</w:t>
      </w:r>
      <w:r w:rsidRPr="00A1509C">
        <w:t xml:space="preserve">, el presente trabajo ofrece una perspectiva inédita en razón de dos elementos primordiales. </w:t>
      </w:r>
    </w:p>
    <w:p w:rsidR="00A1509C" w:rsidRPr="00A1509C" w:rsidRDefault="00A1509C" w:rsidP="004551E9">
      <w:r w:rsidRPr="00A1509C">
        <w:t xml:space="preserve">En primer lugar, porque se trata de un estudio de la </w:t>
      </w:r>
      <w:r>
        <w:t>CDPD</w:t>
      </w:r>
      <w:r w:rsidRPr="00A1509C">
        <w:t xml:space="preserve"> que se puede enmarcar claramente en el contexto del derecho internacional público, y más específicamente del Derecho Internacional de los Derechos Humanos (DIDH). Probablemente debido al modo en el cual se gesto y adopto la Convención, esto es desde el activismo y la lucha de las propias personas con discapacidad, muchos de los estudios que se han generado con posterioridad a su adopción, no recogen un abordaje riguroso desde las normas y principios del Derecho Internacional Público. </w:t>
      </w:r>
    </w:p>
    <w:p w:rsidR="00A1509C" w:rsidRPr="00A1509C" w:rsidRDefault="00A1509C" w:rsidP="004551E9">
      <w:r w:rsidRPr="00A1509C">
        <w:t xml:space="preserve">En segundo lugar, porque se trata de un trabajo que se centra en un aspecto de suma importancia y complejidad como es el artículo 12 de la </w:t>
      </w:r>
      <w:r>
        <w:t>CDPD</w:t>
      </w:r>
      <w:r w:rsidRPr="00A1509C">
        <w:t xml:space="preserve">. Solo basta mencionar que la adopción de la propia </w:t>
      </w:r>
      <w:r>
        <w:t>CDPD</w:t>
      </w:r>
      <w:r w:rsidRPr="00A1509C">
        <w:t xml:space="preserve"> estuvo seriamente comprometida a raíz de las diferentes posturas, preocupaciones e interpretaciones de los Estados Partes en relación con este preciso artículo. Más aún la labor del Comité de la </w:t>
      </w:r>
      <w:r>
        <w:t>CDPD</w:t>
      </w:r>
      <w:r w:rsidRPr="00A1509C">
        <w:t xml:space="preserve"> tanto en materia de observaciones finales como en observaciones generales, demuestra que el artículo 12 es, </w:t>
      </w:r>
      <w:r w:rsidRPr="00A1509C">
        <w:lastRenderedPageBreak/>
        <w:t>sin duda alguna, uno de los principales aspectos de dedicación y preocupación de dicho órgano, e incluso de los propios Estados Partes.</w:t>
      </w:r>
    </w:p>
    <w:p w:rsidR="00A1509C" w:rsidRPr="00A1509C" w:rsidRDefault="00A1509C" w:rsidP="004551E9">
      <w:r w:rsidRPr="00A1509C">
        <w:t xml:space="preserve">El capitulo 1 recoge una aproximación al modelo social de discapacidad y la consideración de la misma desde una perspectiva de derechos humanos. Se trata de un capitulo breve en cuanto a su extensión puesto que tiene como único propósito contextualizar al lector en la filosofía y los principios que subyacen en la </w:t>
      </w:r>
      <w:r>
        <w:t>CDPD.</w:t>
      </w:r>
    </w:p>
    <w:p w:rsidR="00A1509C" w:rsidRPr="00A1509C" w:rsidRDefault="00A1509C" w:rsidP="004551E9">
      <w:r w:rsidRPr="00A1509C">
        <w:t xml:space="preserve">El capitulo 2 tienen como objetivo contextualizar a la protección de los derechos de las personas con discapacidad en el sistema universal de derechos humanos. Para lo cual se comienza con la identificación de los primeros abordajes de esta temática en las Naciones Unidas, enfatizando en el cambio de paradigma o perspectiva hacia el modelo de derechos humanos, y finalizando con el análisis de los principales tratados de derechos humanos en el contexto de los derechos de las personas con discapacidad. Para ello se exploran los diferentes registros de órganos de control tales como observaciones generales, informes de Estados Parte, Observaciones Finales, Comunicaciones individuales, e informes de relatores espaciales. Frente a todo ello, este capítulo ofrece una lectura integral y actualizada del marco universal de derechos humanos aplicado al contexto de los derechos de las personas con discapacidad. </w:t>
      </w:r>
    </w:p>
    <w:p w:rsidR="00A1509C" w:rsidRPr="00A1509C" w:rsidRDefault="00A1509C" w:rsidP="004551E9">
      <w:r w:rsidRPr="00A1509C">
        <w:t xml:space="preserve">El capítulo 3 se avoca a repasar integralmente la </w:t>
      </w:r>
      <w:r>
        <w:t>CDPD</w:t>
      </w:r>
      <w:r w:rsidRPr="00A1509C">
        <w:t xml:space="preserve"> en todos sus aspectos principales, y su inclusión en el presente trabajo se justifica por la imperiosa necesidad de analizar e interpretar cualquier disposición de este tratado desde una perspectiva sistemática y transversal. No es posible entender cabalmente las conclusiones arribadas en el presente trabajo sin comprender en contexto integral de la </w:t>
      </w:r>
      <w:r>
        <w:t>CDPD</w:t>
      </w:r>
      <w:r w:rsidRPr="00A1509C">
        <w:t xml:space="preserve">. En este sentido, y a pesar de que existen ya excelentes trabajos en este sentido, este capítulo ofrece algunos aspectos de análisis innovadores. En primer lugar porque se trata de un trabajo contextualizado en el marco del derecho internacional público, algo que no es común ver en la mayoría de las publicaciones mas citadas </w:t>
      </w:r>
      <w:r w:rsidRPr="00A1509C">
        <w:lastRenderedPageBreak/>
        <w:t xml:space="preserve">por la doctrina y la jurisprudencia. En segundo lugar, porque aborda en detalle alguno de los aspectos más importantes de la </w:t>
      </w:r>
      <w:r>
        <w:t>CDPD</w:t>
      </w:r>
      <w:r w:rsidRPr="00A1509C">
        <w:t xml:space="preserve"> tales como el concepto de discapacidad y de persona con discapacidad, el concepto de discriminación por motivo de discapacidad, y los principios y obligaciones generales. </w:t>
      </w:r>
    </w:p>
    <w:p w:rsidR="00A1509C" w:rsidRPr="00A1509C" w:rsidRDefault="00A1509C" w:rsidP="004551E9">
      <w:r w:rsidRPr="00A1509C">
        <w:t xml:space="preserve">El capítulo 4 tiene como objetivo contextualizar las nociones de personalidad jurídica y capacidad jurídica en el marco del derecho internacional general, y en el subsistema de DIDH. </w:t>
      </w:r>
      <w:r>
        <w:t>Se</w:t>
      </w:r>
      <w:r w:rsidRPr="00A1509C">
        <w:t xml:space="preserve"> concluye que las nociones de personalidad jurídica y capacidad jurídica del derecho domestico tienen su correlato en las nociones de personalidad y capacidad jurídica internacional, y que en última instancia, la obligaciones impuestas a los Estados por mandato del artículo 12 de la </w:t>
      </w:r>
      <w:r>
        <w:t>CDPD</w:t>
      </w:r>
      <w:r w:rsidRPr="00A1509C">
        <w:t xml:space="preserve"> requieren de una armonización sistemática de estos dos dimensiones, desde una visión clásica de relaciones entre el derecho internacional y derechos internos. Unido a ello, este capítulo pretende evidenciar que en la implementación efectiva del articulo 12 a nivel interno nos enfrenta una vez más, y de forma inevitable a la cuestión de la subjetividad internacional de la persona. Asimismo, este capítulo recoge una revisión exhaustiva de los diferentes pronunciamientos o interpretaciones por parte de Órganos Internacionales respecto de las nociones de personalidad y capacidad jurídica a la luz del DIDH.</w:t>
      </w:r>
    </w:p>
    <w:p w:rsidR="00A1509C" w:rsidRPr="00A1509C" w:rsidRDefault="00A1509C" w:rsidP="004551E9">
      <w:r w:rsidRPr="00A1509C">
        <w:t xml:space="preserve">El capitulo 5 es el más importante del trabajo, y ello no solo en cuanto a su extensión, sino en tanto que se centra de lleno en el objeto de estudio, esto es, el artículo 12 de la </w:t>
      </w:r>
      <w:r>
        <w:t>CDPD</w:t>
      </w:r>
      <w:r w:rsidRPr="00A1509C">
        <w:t xml:space="preserve">. Para ello se ha optado por una metodología en la cual se han desmembrado los diferentes elementos medulares el artículo 12, ello principalmente mediante el análisis individualizado de los diferentes incisos con que componen, y dentro de cada uno de ellos, interpretando su contenido esencial, su impacto o vinculo con otras disposiciones del tratado, y mediante la identificación de las obligaciones jurídicas internacionales impuestas a los Estados Partes.  </w:t>
      </w:r>
    </w:p>
    <w:p w:rsidR="00A1509C" w:rsidRPr="00A1509C" w:rsidRDefault="00A1509C" w:rsidP="004551E9">
      <w:r w:rsidRPr="00A1509C">
        <w:lastRenderedPageBreak/>
        <w:t xml:space="preserve">El capitulo 6 se podría decir que se trata de un abordaje del articulo 12 desde las normas y principios de derecho internacional general. Más allá de tratarse de un instrumento de derechos humanos, y de abordar los derechos de un colectivo especifico como son las personas con discapacidad, la </w:t>
      </w:r>
      <w:r>
        <w:t>CDPD</w:t>
      </w:r>
      <w:r w:rsidRPr="00A1509C">
        <w:t xml:space="preserve"> es, desde un naturaleza jurídica, un tratado internacional multilateral de alcance universal, y como tal sujeto a las normas internacionales sobre el derecho de los tratados y a las normas y principios de derecho internacional general. Consecuentemente en dicho capitulo se abordar tres aspectos críticos que eventualmente podrían incidir en las condiciones jurídicas de su entrada en vigor. En primer lugar, se analizan los posibles conflictos normativos entre el artículo 12 de la </w:t>
      </w:r>
      <w:r>
        <w:t>CDPD</w:t>
      </w:r>
      <w:r w:rsidRPr="00A1509C">
        <w:t xml:space="preserve"> y las normas internacionales (convencionales, consuetudinarias y de derecho blando) cuyo contenido podría resulta contradictorio o de muy dificultosa armonización. Para ello se utilizan los principios generales de derecho internacional y algunos trabajos al respecto elaborados por la Comisión de Derecho Internacional. En segundo lugar, se analizar los aspectos relativos a las reservas y declaraciones interpretativas, y ello justificado no solo de una punto de visto teórico o eventual, sino desde la existencia de sendas reservas por partes de los Estados Partes respecto del artículo 12. Finalmente en tercer lugar, se aborda la cuestión relativa a la interpretación de los tratados, tanto desde una perspectiva de derecho internacional general, de las normas y principios aplicables específicamente al contexto del DIDH, y mediante el análisis de pronunciamientos al respecto por parte de órgano internacionales. </w:t>
      </w:r>
    </w:p>
    <w:p w:rsidR="00A1509C" w:rsidRPr="00E72B02" w:rsidRDefault="00A1509C" w:rsidP="004551E9">
      <w:r w:rsidRPr="00A1509C">
        <w:t xml:space="preserve">Finalmente, la tesis contiene un apéndice el cual recoge que he denominado como una propuesta de modelo de reforma de los códigos civiles a la luz del artículo 12 pensada para las realidades de nuestros sistemas jurídicos iberoamericanos. Es cierto que la perspectiva propia del derecho internacional se suele limitar a identificar las obligaciones jurídicas emergentes de normas internacionales, o incluso a identificar normas del derecho interno que no resultan compatibles con las estándares internacionales, y por lo general, nunca se aboca a pretender reemplazar o </w:t>
      </w:r>
      <w:r w:rsidRPr="00A1509C">
        <w:lastRenderedPageBreak/>
        <w:t>proponer normas de derecho interno. No obstante, y fruto del trabajo de investigación, y el involucramiento del autor en diferentes proyectos de investigación, e iniciativas de reforma legislativa a lo largo de los últimos años, le han permitido tener una idea esencial de cómo una reforma de la no</w:t>
      </w:r>
      <w:r>
        <w:t xml:space="preserve">rmativa vigente podría parecer. </w:t>
      </w:r>
    </w:p>
    <w:p w:rsidR="008321E0" w:rsidRPr="00E72B02" w:rsidRDefault="008321E0" w:rsidP="004551E9">
      <w:r w:rsidRPr="00E72B02">
        <w:br w:type="page"/>
      </w:r>
    </w:p>
    <w:p w:rsidR="008321E0" w:rsidRPr="00E72B02" w:rsidRDefault="008321E0" w:rsidP="004551E9"/>
    <w:p w:rsidR="008321E0" w:rsidRPr="00E72B02" w:rsidRDefault="008321E0" w:rsidP="004551E9"/>
    <w:p w:rsidR="008321E0" w:rsidRPr="00E72B02" w:rsidRDefault="008321E0" w:rsidP="004551E9"/>
    <w:p w:rsidR="008321E0" w:rsidRPr="00E72B02" w:rsidRDefault="008321E0" w:rsidP="00562DB8">
      <w:pPr>
        <w:pStyle w:val="TTULO60"/>
      </w:pPr>
      <w:r w:rsidRPr="00E72B02">
        <w:t>PARTE I</w:t>
      </w:r>
    </w:p>
    <w:p w:rsidR="008321E0" w:rsidRPr="00E72B02" w:rsidRDefault="008321E0" w:rsidP="00562DB8">
      <w:pPr>
        <w:pStyle w:val="TTULO60"/>
        <w:rPr>
          <w:bCs/>
          <w:kern w:val="32"/>
          <w:szCs w:val="28"/>
        </w:rPr>
      </w:pPr>
      <w:r w:rsidRPr="00E72B02">
        <w:t>DISCAPACIDAD Y DERECHOS HUMANOS</w:t>
      </w:r>
    </w:p>
    <w:p w:rsidR="008321E0" w:rsidRPr="00E72B02" w:rsidRDefault="008321E0" w:rsidP="004551E9">
      <w:pPr>
        <w:rPr>
          <w:kern w:val="32"/>
          <w:sz w:val="28"/>
          <w:szCs w:val="28"/>
        </w:rPr>
      </w:pPr>
      <w:r w:rsidRPr="00E72B02">
        <w:br w:type="page"/>
      </w:r>
    </w:p>
    <w:p w:rsidR="008321E0" w:rsidRPr="00E72B02" w:rsidRDefault="008321E0" w:rsidP="004551E9">
      <w:pPr>
        <w:rPr>
          <w:kern w:val="32"/>
          <w:sz w:val="28"/>
          <w:szCs w:val="28"/>
        </w:rPr>
      </w:pPr>
      <w:r w:rsidRPr="00E72B02">
        <w:lastRenderedPageBreak/>
        <w:br w:type="page"/>
      </w:r>
    </w:p>
    <w:p w:rsidR="008321E0" w:rsidRPr="00F21649" w:rsidRDefault="00887731" w:rsidP="004A69C7">
      <w:pPr>
        <w:pStyle w:val="TITULO7"/>
        <w:rPr>
          <w:sz w:val="28"/>
          <w:szCs w:val="28"/>
        </w:rPr>
      </w:pPr>
      <w:r w:rsidRPr="00F21649">
        <w:rPr>
          <w:sz w:val="28"/>
          <w:szCs w:val="28"/>
        </w:rPr>
        <w:lastRenderedPageBreak/>
        <w:t>CAPÍTULO 1</w:t>
      </w:r>
    </w:p>
    <w:p w:rsidR="008321E0" w:rsidRPr="00F21649" w:rsidRDefault="00887731" w:rsidP="004A69C7">
      <w:pPr>
        <w:pStyle w:val="TITULO7"/>
        <w:rPr>
          <w:sz w:val="28"/>
          <w:szCs w:val="28"/>
        </w:rPr>
      </w:pPr>
      <w:r w:rsidRPr="00F21649">
        <w:rPr>
          <w:sz w:val="28"/>
          <w:szCs w:val="28"/>
        </w:rPr>
        <w:t>LA DISCAPACIDAD COMO UNA CUESTIÓN DE DERECHOS HUMANOS</w:t>
      </w:r>
    </w:p>
    <w:p w:rsidR="008321E0" w:rsidRPr="00E72B02" w:rsidRDefault="008321E0" w:rsidP="004A69C7">
      <w:pPr>
        <w:pStyle w:val="TTULO70"/>
      </w:pPr>
    </w:p>
    <w:p w:rsidR="008321E0" w:rsidRPr="00E72B02" w:rsidRDefault="008321E0" w:rsidP="004551E9">
      <w:r w:rsidRPr="00E72B02">
        <w:br w:type="page"/>
      </w:r>
    </w:p>
    <w:p w:rsidR="00F2036A" w:rsidRPr="00887731" w:rsidRDefault="00F2036A" w:rsidP="004A69C7">
      <w:pPr>
        <w:pStyle w:val="TITULO7"/>
        <w:rPr>
          <w:sz w:val="28"/>
        </w:rPr>
      </w:pPr>
      <w:r w:rsidRPr="00E72B02">
        <w:lastRenderedPageBreak/>
        <w:br w:type="page"/>
      </w:r>
    </w:p>
    <w:p w:rsidR="008321E0" w:rsidRPr="00A50407" w:rsidRDefault="00887731" w:rsidP="00326783">
      <w:pPr>
        <w:pStyle w:val="TTULO70"/>
        <w:jc w:val="both"/>
        <w:rPr>
          <w:sz w:val="24"/>
          <w:szCs w:val="24"/>
        </w:rPr>
      </w:pPr>
      <w:r w:rsidRPr="00A50407">
        <w:rPr>
          <w:sz w:val="24"/>
          <w:szCs w:val="24"/>
        </w:rPr>
        <w:lastRenderedPageBreak/>
        <w:t>1.1- INTRODUCCIÓN</w:t>
      </w:r>
    </w:p>
    <w:p w:rsidR="008321E0" w:rsidRPr="00E72B02" w:rsidRDefault="008321E0" w:rsidP="004551E9"/>
    <w:p w:rsidR="008321E0" w:rsidRPr="00E72B02" w:rsidRDefault="008321E0" w:rsidP="004551E9">
      <w:r w:rsidRPr="00E72B02">
        <w:t>“</w:t>
      </w:r>
      <w:r w:rsidRPr="00DB0172">
        <w:rPr>
          <w:i/>
        </w:rPr>
        <w:t>La discapacidad es una cuestión de derechos humanos</w:t>
      </w:r>
      <w:r w:rsidRPr="00E72B02">
        <w:t>”. Esta afirmación viene siendo sostenida en las últimas décadas desde diversos ámbitos. Las propias personas con discapacidad, en primer lugar, pero también los representantes políticos, los medios de comunicación, los juristas, y la sociedad en general. Ahora bien, aceptar, y sobre todo entender, que la discapacidad es una cuestión de derechos humanos supone –ha supuesto- un cambio de paradigma, que se resume en el hecho de considerar los problemas que enfrentan las personas con discapacidad como problemas de derechos humanos, y, derivado de lo anterior, que las respuestas ofrecidas a dichos problemas deben asimismo ser pensadas y elaboradas -</w:t>
      </w:r>
      <w:r w:rsidRPr="00E72B02">
        <w:rPr>
          <w:i/>
        </w:rPr>
        <w:t>desde</w:t>
      </w:r>
      <w:r w:rsidRPr="00E72B02">
        <w:t xml:space="preserve"> y </w:t>
      </w:r>
      <w:r w:rsidRPr="00E72B02">
        <w:rPr>
          <w:i/>
        </w:rPr>
        <w:t>hacia</w:t>
      </w:r>
      <w:r w:rsidRPr="00E72B02">
        <w:t>- el respeto de dichos derechos.</w:t>
      </w:r>
      <w:r w:rsidR="00625E85" w:rsidRPr="00E72B02">
        <w:rPr>
          <w:rStyle w:val="Refdenotaalpie"/>
        </w:rPr>
        <w:footnoteReference w:id="7"/>
      </w:r>
      <w:r w:rsidRPr="00E72B02">
        <w:t xml:space="preserve"> Ello es en gran medida la consecuencia de una lucha que vienen llevando a cabo las propias personas con discapacidad, desde la década de los años setenta del siglo pasado, quienes reclamaban que se las dejasen de considerar como objeto de políticas asistenciales y/o paternalistas, para pasar a ser sujetos de derecho.</w:t>
      </w:r>
      <w:r w:rsidRPr="00E72B02">
        <w:rPr>
          <w:rStyle w:val="Refdenotaalpie"/>
        </w:rPr>
        <w:footnoteReference w:id="8"/>
      </w:r>
    </w:p>
    <w:p w:rsidR="008321E0" w:rsidRPr="00E72B02" w:rsidRDefault="008321E0" w:rsidP="004551E9">
      <w:r w:rsidRPr="00E72B02">
        <w:t>Pero para comprender el contenido de los reclamos esbozados por las personas con discapacidad, es preciso entender la evolución histórica respecto del modo en que las sociedades occidentales han tratado a las personas con discapacidad, y cómo ello ha influido en el espíritu de lo que hoy se conoce como “modelo social”.</w:t>
      </w:r>
    </w:p>
    <w:p w:rsidR="008321E0" w:rsidRPr="00E72B02" w:rsidRDefault="008321E0" w:rsidP="004551E9">
      <w:r w:rsidRPr="00E72B02">
        <w:t xml:space="preserve">Para ello se propone a continuación una breve aproximación a los modelos de tratamiento de la discapacidad, así como un breve análisis de los valores y principios que sustentan al discurso de los derechos humanos. </w:t>
      </w:r>
    </w:p>
    <w:p w:rsidR="008321E0" w:rsidRPr="00A50407" w:rsidRDefault="00887731" w:rsidP="00326783">
      <w:pPr>
        <w:pStyle w:val="TTULO70"/>
        <w:jc w:val="both"/>
        <w:rPr>
          <w:bCs/>
          <w:sz w:val="24"/>
          <w:szCs w:val="24"/>
        </w:rPr>
      </w:pPr>
      <w:r w:rsidRPr="00A50407">
        <w:rPr>
          <w:bCs/>
          <w:sz w:val="24"/>
          <w:szCs w:val="24"/>
        </w:rPr>
        <w:lastRenderedPageBreak/>
        <w:t>1.2 – LA IDEOLOGÍA SUBYACENTE: LOS MODELOS DE TRATAMIENTO DE LA DISCAPACIDAD</w:t>
      </w:r>
    </w:p>
    <w:p w:rsidR="008321E0" w:rsidRPr="00E72B02" w:rsidRDefault="008321E0" w:rsidP="004551E9"/>
    <w:p w:rsidR="008321E0" w:rsidRPr="00E72B02" w:rsidRDefault="008321E0" w:rsidP="004551E9">
      <w:r w:rsidRPr="00E72B02">
        <w:t xml:space="preserve">Siguiendo a los estudios de </w:t>
      </w:r>
      <w:r w:rsidRPr="00E72B02">
        <w:rPr>
          <w:caps/>
        </w:rPr>
        <w:t>Palacios</w:t>
      </w:r>
      <w:r w:rsidRPr="00E72B02">
        <w:t xml:space="preserve"> del análisis en perspectiva histórica del tratamiento de la discapacidad desde la antigüedad clásica hasta la actualidad, pueden identificarse al menos tres modelos.</w:t>
      </w:r>
      <w:r w:rsidRPr="00E72B02">
        <w:rPr>
          <w:rStyle w:val="Refdenotaalpie"/>
          <w:lang w:val="es-ES"/>
        </w:rPr>
        <w:footnoteReference w:id="9"/>
      </w:r>
      <w:r w:rsidRPr="00E72B02">
        <w:t xml:space="preserve"> Un modelo denominado de prescindencia donde la discapacidad es vista en sentido netamente negativo por considerarla un castigo o maldición divina, lo que supone centrar las respuestas sociales y jurídicas en su eliminación o, en el mejor de los casos, en su ocultamiento o asilamiento de la sociedad. Un segundo modelo denominado rehabilitador o médico donde la discapacidad no es vista intrínsecamente como negativa pero, en cambio, es considerada como una situación de anormalidad médica, lo que supone centrar las respuestas sociales y legales en la rehabilitación o normalización de la persona para lograr su integración en la sociedad. Y un tercer modelo denominado modelo social donde la discapacidad es percibida como una característica de la diversidad humana con el mismo valor y dignidad que las demás, lo que supone centrar las respuestas sociales y jurídicas en la no-discriminación e igualdad de oportunidades incluyendo la diferencia en la construcción y diseño de la sociedad. </w:t>
      </w:r>
    </w:p>
    <w:p w:rsidR="008321E0" w:rsidRPr="00E72B02" w:rsidRDefault="008321E0" w:rsidP="004551E9">
      <w:r w:rsidRPr="00E72B02">
        <w:t xml:space="preserve">Para la construcción de dichos modelos es necesario poner en contexto al menos tres dimensiones que se encuentran directamente relacionadas y que interactúan constantemente. Por un lado la construcción conceptual o dialéctica que identifica un hecho empírico real con un concepto del </w:t>
      </w:r>
      <w:r w:rsidRPr="00E72B02">
        <w:lastRenderedPageBreak/>
        <w:t>lenguaje que lo individualiza (ej. lisiados, inválidos, minusválidos, discapacitados etc.)</w:t>
      </w:r>
      <w:r w:rsidR="0082791C" w:rsidRPr="00E72B02">
        <w:t>.</w:t>
      </w:r>
      <w:r w:rsidRPr="00E72B02">
        <w:t xml:space="preserve"> Por otro lado la construcción teórica o ideológica que lo explica, lo describe y lo caracteriza (ej. castigo divino, anormalidad médica, diversidad humana etc.)</w:t>
      </w:r>
      <w:r w:rsidR="0082791C" w:rsidRPr="00E72B02">
        <w:t>.</w:t>
      </w:r>
      <w:r w:rsidRPr="00E72B02">
        <w:t xml:space="preserve"> Y finalmente las respuestas sociales y legales que se le atribuyen a dicho fenómeno, que naturalmente estará directamente influenciada por las dos dimensiones anteriormente descritas (ej. eliminación, exclusión, integración o inclusión social). Si no se parte desde esta visión en perspectiva hacia la discapacidad se corre el riesgo de abordar su tratamiento de un modo descriptivo y carente impacto real sobre la vida de las personas con discapacidad. Por ello, se considera apropiado realizar un breve recorrido histórico que refleja esta relación constante entre derecho y sociedad, esto es, de qué modo es percibida socialmente la discapacidad y, como consecuencia de ello, o motivo de ello, cuales son las respuestas del derecho. Aquí es donde resulta sumamente complejo establecer si la respuesta social es producto del derecho, o si el derecho es producto de la respuesta social. </w:t>
      </w:r>
    </w:p>
    <w:p w:rsidR="008321E0" w:rsidRPr="00E72B02" w:rsidRDefault="008321E0" w:rsidP="004551E9"/>
    <w:p w:rsidR="008321E0" w:rsidRPr="00A50407" w:rsidRDefault="008321E0" w:rsidP="00A50407">
      <w:pPr>
        <w:pStyle w:val="TTULO70"/>
        <w:jc w:val="both"/>
        <w:rPr>
          <w:b w:val="0"/>
          <w:bCs/>
          <w:sz w:val="24"/>
        </w:rPr>
      </w:pPr>
      <w:r w:rsidRPr="00A50407">
        <w:rPr>
          <w:b w:val="0"/>
          <w:bCs/>
          <w:sz w:val="24"/>
        </w:rPr>
        <w:t>1.2.1 – LA DISCAPACIDAD COMO CONSECUENCIA DEL CASTIGO DE LOS DIOSES: EL MODELO DE PRESCINDENCIA.</w:t>
      </w:r>
    </w:p>
    <w:p w:rsidR="008321E0" w:rsidRPr="00E72B02" w:rsidRDefault="008321E0" w:rsidP="004551E9"/>
    <w:p w:rsidR="008321E0" w:rsidRPr="00E72B02" w:rsidRDefault="008321E0" w:rsidP="004551E9">
      <w:r w:rsidRPr="00E72B02">
        <w:t>Este modelo que PALACIOS denomina como “</w:t>
      </w:r>
      <w:r w:rsidRPr="00E72B02">
        <w:rPr>
          <w:i/>
        </w:rPr>
        <w:t>modelo de  prescindencia</w:t>
      </w:r>
      <w:r w:rsidRPr="00E72B02">
        <w:t xml:space="preserve">”, se basa principalmente en que las causas que dan origen a la discapacidad tienen un motivo religioso, y en el que las personas con discapacidad son asumidas como innecesarias por diferentes razones: porque se estima que no contribuyen a las necesidades de la comunidad, que albergan mensajes diabólicos, que son la consecuencia del enojo  de los dioses, o que -por lo desgraciadas-, sus vidas no merecen la pena ser vividas. Como consecuencia de dichas premisas, la sociedad decide prescindir de las personas con discapacidad, ya sea a través de la aplicación de políticas eugenésicas, ya sea situándolas en el espacio destinado para los anormales y las clases </w:t>
      </w:r>
      <w:r w:rsidRPr="00E72B02">
        <w:lastRenderedPageBreak/>
        <w:t>pobres. Dentro de este modelo pueden distinguirse a su vez dos especies de paradigmas o submodelos, que –si bien coinciden en los presupuestos respecto del origen de la discapacidad- no se ajustan en cuanto a sus consecuencias o características primordiales. Estos son:</w:t>
      </w:r>
    </w:p>
    <w:p w:rsidR="008321E0" w:rsidRPr="00E72B02" w:rsidRDefault="008321E0" w:rsidP="004551E9">
      <w:r w:rsidRPr="00E72B02">
        <w:t xml:space="preserve">- El </w:t>
      </w:r>
      <w:r w:rsidRPr="00E72B02">
        <w:rPr>
          <w:i/>
        </w:rPr>
        <w:t>submodelo eugenésico,</w:t>
      </w:r>
      <w:r w:rsidRPr="00E72B02">
        <w:t xml:space="preserve"> que podría ser situado a modo ilustrativo en la antigüedad clásica. Tanto la sociedad griega como la romana, basándose en motivos religiosos y políticos, consideraban inconveniente el desarrollo y crecimiento de niños con deficiencias. En primer lugar, la explicación respecto de las causas que daban origen a la discapacidad era religiosa: el nacimiento de un niño con discapacidad era el resultado de un pecado cometido por los padres en el caso de Grecia, o una advertencia de que la alianza con los Dioses se encontraba rota en el caso de Roma. Ello, unido a la idea de que la vida de una persona con discapacidad no merecía la pena ser vivida, sumada a la consideración acerca de su condición de carga –para los padres o para el resto de la comunidad-, originaba que la solución adoptada por el submodelo bajo análisis fuera prescindir de las personas afectadas por una deficiencia, mediante el recurso a prácticas eugenésicas, como el infanticidio en el caso de los niños.  </w:t>
      </w:r>
    </w:p>
    <w:p w:rsidR="008321E0" w:rsidRPr="00E72B02" w:rsidRDefault="008321E0" w:rsidP="004551E9">
      <w:r w:rsidRPr="00E72B02">
        <w:t xml:space="preserve">-  El </w:t>
      </w:r>
      <w:r w:rsidRPr="00E72B02">
        <w:rPr>
          <w:i/>
        </w:rPr>
        <w:t>submodelo de marginación</w:t>
      </w:r>
      <w:r w:rsidRPr="00E72B02">
        <w:t xml:space="preserve">. Aunque muchas de las características definitorias de este submodelo son una constante histórica, un ejemplo que puede resultar ilustrativo puede encontrarse en el tratamiento brindado a las personas con discapacidad durante la Edad Media, en donde se encontraban insertas dentro del grupo de los pobres y los marginados, y signadas por un destino marcado esencialmente por la exclusión. Si bien las explicaciones religiosas medievales fueron diferentes de las alegadas por los antiguos, e incluso dentro del cristianismo se presentaran de manera fluctuante –el poder de Dios o la consecuencia del pecado original- o como obra del diablo desde la creencia supersticiosa; el hecho de considerar a la deficiencia como una situación inmodificable originaba que debiera ser aceptada con resignación. Los encargados de diagnosticar diferencialmente si un </w:t>
      </w:r>
      <w:r w:rsidRPr="00E72B02">
        <w:lastRenderedPageBreak/>
        <w:t>comportamiento extraño era un proceso natural o uno diabólico eran el médico y el sacerdote. El rasgo principal que caracteriza a este submodelo es la exclusión, ya sea como consecuencia de subestimar a las personas con discapacidad y considerarlas objeto de compasión; o como consecuencia del temor o el rechazo por considerarlas objeto de maleficios o como advertencia de un peligro inminente. Es decir, que, -ya sea por menosprecio ya sea por miedo-, la exclusión parece ser la respuesta social que genera mayor tranquilidad. Así, a diferencia del submodelo eugenésico, ya no se comente infanticidio, aunque gran parte de los niños con discapacidad mueren como consecuencia de omisiones –ya sea por falta de interés y recursos, o por invocarse la fe como único medio de salvación-. En cuanto a los que subsisten o a los mayores, la apelación a la caridad, el ejercicio de la mendicidad y ser objeto de diversión, son  los medios de subsistencia obligados.</w:t>
      </w:r>
    </w:p>
    <w:p w:rsidR="008321E0" w:rsidRPr="00A50407" w:rsidRDefault="008321E0" w:rsidP="004551E9"/>
    <w:p w:rsidR="008321E0" w:rsidRPr="00A50407" w:rsidRDefault="008321E0" w:rsidP="00A50407">
      <w:pPr>
        <w:pStyle w:val="TTULO70"/>
        <w:jc w:val="both"/>
        <w:rPr>
          <w:b w:val="0"/>
          <w:bCs/>
          <w:sz w:val="24"/>
        </w:rPr>
      </w:pPr>
      <w:r w:rsidRPr="00A50407">
        <w:rPr>
          <w:b w:val="0"/>
          <w:bCs/>
          <w:sz w:val="24"/>
        </w:rPr>
        <w:t>1.2.2 – LA DISCAPACIDAD COMO CONSECUENCIA DE LAS LIMITACIONES FUNCIONALES DE LAS PERSONAS: EL MODELO MÉDICO O REHABILITADOR.</w:t>
      </w:r>
    </w:p>
    <w:p w:rsidR="008321E0" w:rsidRPr="00E72B02" w:rsidRDefault="008321E0" w:rsidP="004551E9"/>
    <w:p w:rsidR="008321E0" w:rsidRPr="00E72B02" w:rsidRDefault="008321E0" w:rsidP="004551E9">
      <w:r w:rsidRPr="00E72B02">
        <w:t>El segundo modelo, según describe PALACIOS, es el denominado médico o rehabilitador</w:t>
      </w:r>
      <w:r w:rsidR="0082791C" w:rsidRPr="00E72B02">
        <w:t>.</w:t>
      </w:r>
      <w:r w:rsidRPr="00E72B02">
        <w:rPr>
          <w:rStyle w:val="Refdenotaalpie"/>
          <w:lang w:val="es-ES"/>
        </w:rPr>
        <w:footnoteReference w:id="10"/>
      </w:r>
      <w:r w:rsidRPr="00E72B02">
        <w:t xml:space="preserve"> Desde su filosofía se considera que las causas que dan origen a la discapacidad son científicas. Desde este modelo las personas con discapacidad ya no son consideradas inútiles o innecesarias, pero siempre en la medida en que sean rehabilitadas. Es por ello que el fin primordial que se persigue desde este paradigma es normalizar a las personas con </w:t>
      </w:r>
      <w:r w:rsidRPr="00E72B02">
        <w:lastRenderedPageBreak/>
        <w:t>discapacidad, aunque ello implique forjar a la desaparición o el ocultamiento de la diferencia que la misma discapacidad representa.  El principal “problema” pasa a ser, entonces, la persona, -o mejor dicho, sus limitaciones-, a quien es imprescindible rehabilitar psíquica, física o sensorialmente.  Los primeros síntomas del modelo rehabilitador datan de los inicios del Mundo Moderno</w:t>
      </w:r>
      <w:r w:rsidR="0082791C" w:rsidRPr="00E72B02">
        <w:t>.</w:t>
      </w:r>
      <w:r w:rsidRPr="00E72B02">
        <w:rPr>
          <w:rStyle w:val="Refdenotaalpie"/>
          <w:lang w:val="es-ES"/>
        </w:rPr>
        <w:footnoteReference w:id="11"/>
      </w:r>
      <w:r w:rsidRPr="00E72B02">
        <w:t xml:space="preserve"> Sin embargo, la consolidación del modelo mismo -sobre todo en el ámbito legislativo-, puede ser situada en los inicios del Siglo XX, al finalizar la Primera Guerra Mundial. Las causas que dieron origen a su plasmación podrían ser resumidas muy brevemente: la guerra y los accidentes laborales. Señala </w:t>
      </w:r>
      <w:r w:rsidRPr="00E72B02">
        <w:rPr>
          <w:caps/>
        </w:rPr>
        <w:t>Stiker</w:t>
      </w:r>
      <w:r w:rsidRPr="00E72B02">
        <w:t xml:space="preserve"> que, al finalizar la Primera Guerra Mundial, quedaron heridos de por vida un número alarmante de hombres. Estas personas fueron denominadas mutilados de guerra sobre la base –y a fin de distinguirlas- de aquellas discapacitadas por accidentes laborales.  El mutilado era una persona a quien le faltaba algo, ya fuera un órgano, un sentido o una función. De este modo, la primera imagen presentada por este cambio en la terminología fue la de daño, la de perjuicio. La sensación era que la guerra se había llevado algo que se debía reemplazar</w:t>
      </w:r>
      <w:r w:rsidR="0082791C" w:rsidRPr="00E72B02">
        <w:t>.</w:t>
      </w:r>
      <w:r w:rsidRPr="00E72B02">
        <w:rPr>
          <w:rStyle w:val="Refdenotaalpie"/>
          <w:lang w:val="es-ES"/>
        </w:rPr>
        <w:footnoteReference w:id="12"/>
      </w:r>
      <w:r w:rsidRPr="00E72B02">
        <w:t xml:space="preserve"> Fue así como en este momento la discapacidad comenzó a ser relacionada con los heridos de guerra y comenzó a ser vista como una insuficiencia, una deficiencia a ser erradicada</w:t>
      </w:r>
      <w:r w:rsidR="0082791C" w:rsidRPr="00E72B02">
        <w:t>.</w:t>
      </w:r>
      <w:r w:rsidRPr="00E72B02">
        <w:rPr>
          <w:rStyle w:val="Refdenotaalpie"/>
          <w:lang w:val="es-ES"/>
        </w:rPr>
        <w:footnoteReference w:id="13"/>
      </w:r>
      <w:r w:rsidRPr="00E72B02">
        <w:t xml:space="preserve"> </w:t>
      </w:r>
    </w:p>
    <w:p w:rsidR="008321E0" w:rsidRPr="00E72B02" w:rsidRDefault="008321E0" w:rsidP="004551E9">
      <w:r w:rsidRPr="00E72B02">
        <w:t xml:space="preserve">En el plano del Derecho, en un primer momento esto significó la implementación de políticas legislativas destinadas a garantizar servicios sociales para los veteranos de guerra con discapacidad, que reflejaba de </w:t>
      </w:r>
      <w:r w:rsidRPr="00E72B02">
        <w:lastRenderedPageBreak/>
        <w:t>algún modo la creencia acerca de la existencia de una obligación por parte de la sociedad, de compensar a estas personas mediante pensiones de invalidez, beneficios de rehabilitación y cuotas laborales. No obstante, por la década de los años sesenta dichas medidas fueron extendidas a todas las personas con discapacidad, dejándose de lado la causa de las deficiencias. El objetivo pasó a ser, entonces, rehabilitar a las personas con independencia del origen de las deficiencias. En dicho proceso de recuperación o “normalización”, y a dichos fines, los contenidos o herramientas esenciales pasaron a ser la educación especial, los beneficios de rehabilitación médica y vocacional, las cuotas laborales y los servicios de asistencia institucionalizados. De este modo, las personas con discapacidad recibían beneficios de los servicios sociales porque la discapacidad se veía exclusivamente como un problema individual de la persona, quien no era capaz de enfrentarse a la sociedad. Los niños con discapacidad tenían derecho a la educación, pero en escuelas separadas, las personas con discapacidad tenían derecho a la rehabilitación, pero ello incluía el control de muchas áreas de sus vidas por parte de los expertos, las medidas de acción positiva se introdujeron porque –a diferencia de otros grupos protegidos- no se consideraba que las personas con discapacidad fueran capaces de trabajar por sus propios méritos</w:t>
      </w:r>
      <w:r w:rsidR="0082791C" w:rsidRPr="00E72B02">
        <w:t>.</w:t>
      </w:r>
      <w:r w:rsidRPr="00E72B02">
        <w:rPr>
          <w:rStyle w:val="Refdenotaalpie"/>
          <w:lang w:val="es-ES"/>
        </w:rPr>
        <w:footnoteReference w:id="14"/>
      </w:r>
    </w:p>
    <w:p w:rsidR="008321E0" w:rsidRPr="00E72B02" w:rsidRDefault="008321E0" w:rsidP="004551E9">
      <w:r w:rsidRPr="00E72B02">
        <w:t xml:space="preserve">Las medidas descritas pueden ser fácilmente contextualizadas y comprendidas si se tiene presente que desde el modelo rehabilitador se considera a la discapacidad exclusivamente como un problema de la persona, directamente ocasionado por una enfermedad, accidente, o condición de la salud, que requiere de cuidados médicos prestados por profesionales en forma de tratamiento individual. En consecuencia, el </w:t>
      </w:r>
      <w:r w:rsidRPr="00E72B02">
        <w:lastRenderedPageBreak/>
        <w:t>tratamiento de la discapacidad se encuentra encaminado a conseguir la cura, o una mejor adaptación de la persona, o un cambio en su conducta. De este modo, desde el punto de vista jurídico, la discapacidad es abordada exclusivamente dentro de la legislación de la asistencia y seguridad social, o como parte de ciertas cuestiones del derecho civil relacionadas con la incapacitación y la tutela. La atención sanitaria se considera la materia fundamental, y en el ámbito político, la respuesta principal es la modificación y reforma de la política de atención a la salud.</w:t>
      </w:r>
      <w:r w:rsidRPr="00E72B02">
        <w:rPr>
          <w:rStyle w:val="Refdenotaalpie"/>
          <w:noProof/>
          <w:lang w:val="es-ES"/>
        </w:rPr>
        <w:footnoteReference w:id="15"/>
      </w:r>
      <w:r w:rsidRPr="00E72B02">
        <w:t xml:space="preserve"> </w:t>
      </w:r>
    </w:p>
    <w:p w:rsidR="008321E0" w:rsidRPr="00E72B02" w:rsidRDefault="008321E0" w:rsidP="004551E9">
      <w:r w:rsidRPr="00E72B02">
        <w:t>Si bien ha significado en su momento un avance importante en el ámbito del reconocimiento de derechos de las personas con discapacidad, el modelo médico es criticado por diversas razones.</w:t>
      </w:r>
      <w:r w:rsidRPr="00E72B02">
        <w:rPr>
          <w:rStyle w:val="Refdenotaalpie"/>
          <w:noProof/>
          <w:lang w:val="es-ES"/>
        </w:rPr>
        <w:footnoteReference w:id="16"/>
      </w:r>
      <w:r w:rsidRPr="00E72B02">
        <w:t xml:space="preserve"> Fundamentalmente -en cuanto a su justificación teórica- se censura que el éxito de la integración que se persigue -si bien depende de una variedad de estrategias de asimilación-, denota la existencia de una perturbada ideología, a la que </w:t>
      </w:r>
      <w:r w:rsidRPr="00E72B02">
        <w:rPr>
          <w:caps/>
        </w:rPr>
        <w:t>Sticker</w:t>
      </w:r>
      <w:r w:rsidRPr="00E72B02">
        <w:t xml:space="preserve"> denomina: el ideal social de la goma de borrar –</w:t>
      </w:r>
      <w:r w:rsidRPr="00E72B02">
        <w:rPr>
          <w:i/>
        </w:rPr>
        <w:t>the social ideal of erasure</w:t>
      </w:r>
      <w:r w:rsidRPr="00E72B02">
        <w:t>-.</w:t>
      </w:r>
      <w:r w:rsidRPr="00E72B02">
        <w:rPr>
          <w:rStyle w:val="Refdenotaalpie"/>
          <w:noProof/>
          <w:lang w:val="es-ES"/>
        </w:rPr>
        <w:footnoteReference w:id="17"/>
      </w:r>
      <w:r w:rsidRPr="00E72B02">
        <w:t xml:space="preserve"> El pasaporte de la integración, pasa a ser de este modo la desaparición, o mejor dicho el ocultamiento de la diferencia. Ello se debe a que la persona con discapacidad es considera desviada de un supuesto estándar de </w:t>
      </w:r>
      <w:r w:rsidRPr="00E72B02">
        <w:lastRenderedPageBreak/>
        <w:t xml:space="preserve">normalidad. Sin embargo, no debe olvidarse que –como expresa </w:t>
      </w:r>
      <w:r w:rsidRPr="00E72B02">
        <w:rPr>
          <w:caps/>
        </w:rPr>
        <w:t>Courtis</w:t>
      </w:r>
      <w:r w:rsidRPr="00E72B02">
        <w:t>-, la configuración de lo estándar no es neutra, sino que se encuentra sesgada a favor de los parámetros físicos y psíquicos de quienes constituyen el estereotipo culturalmente dominante.</w:t>
      </w:r>
      <w:r w:rsidRPr="00E72B02">
        <w:rPr>
          <w:rStyle w:val="Refdenotaalpie"/>
          <w:lang w:val="es-ES"/>
        </w:rPr>
        <w:footnoteReference w:id="18"/>
      </w:r>
    </w:p>
    <w:p w:rsidR="008321E0" w:rsidRPr="00E72B02" w:rsidRDefault="008321E0" w:rsidP="004551E9"/>
    <w:p w:rsidR="008321E0" w:rsidRPr="00A50407" w:rsidRDefault="008321E0" w:rsidP="00A50407">
      <w:pPr>
        <w:pStyle w:val="TTULO70"/>
        <w:jc w:val="both"/>
        <w:rPr>
          <w:b w:val="0"/>
          <w:bCs/>
          <w:sz w:val="24"/>
        </w:rPr>
      </w:pPr>
      <w:r w:rsidRPr="00A50407">
        <w:rPr>
          <w:b w:val="0"/>
          <w:bCs/>
          <w:sz w:val="24"/>
        </w:rPr>
        <w:t>1.2.3 – LA DISCAPACIDAD COMO CONSECUENCIA DE FACTORES SOCIALES: EL MODELO SOCIAL.</w:t>
      </w:r>
    </w:p>
    <w:p w:rsidR="008321E0" w:rsidRPr="00E72B02" w:rsidRDefault="008321E0" w:rsidP="004551E9"/>
    <w:p w:rsidR="008321E0" w:rsidRPr="00E72B02" w:rsidRDefault="008321E0" w:rsidP="004551E9">
      <w:r w:rsidRPr="00E72B02">
        <w:t xml:space="preserve">Frente a las consecuencias negativas del modelo médico de la discapacidad surge un modelo superador que pretende abordar la discapacidad desde una visión social. Como señala PALACIOS, el denominado “modelo social” es aquel que considera que las causas que dan origen a la discapacidad no son ni religiosas, ni científicas, sino que son preponderantemente sociales; y que las personas con discapacidad pueden aportar a las necesidades de la comunidad en igual medida que el resto de personas –sin discapacidad-, pero siempre desde la valoración y el respeto de su condición de personas, en ciertos aspectos, diferentes. Este modelo se encuentra íntimamente relacionado con la asunción de ciertos valores intrínsecos a los derechos humanos,  y aspira a potenciar el respeto por la dignidad humana, la igualdad y la libertad personal, propiciando la inclusión social. </w:t>
      </w:r>
    </w:p>
    <w:p w:rsidR="008321E0" w:rsidRPr="00E72B02" w:rsidRDefault="008321E0" w:rsidP="004551E9">
      <w:r w:rsidRPr="00E72B02">
        <w:t xml:space="preserve">El modelo parte de la premisa de que la discapacidad es una construcción y un modo de opresión social, y el resultado de una sociedad que no considera ni tiene presente a las personas con discapacidad. Asimismo, apunta a la autonomía de la persona con discapacidad para decidir respecto de su propia </w:t>
      </w:r>
      <w:r w:rsidRPr="00E72B02">
        <w:lastRenderedPageBreak/>
        <w:t xml:space="preserve">vida, y para ello se centra en la eliminación de cualquier tipo de barrera, a los fines de brindar una adecuada equiparación de oportunidades. </w:t>
      </w:r>
    </w:p>
    <w:p w:rsidR="008321E0" w:rsidRPr="00E72B02" w:rsidRDefault="008321E0" w:rsidP="004551E9">
      <w:r w:rsidRPr="00E72B02">
        <w:t xml:space="preserve">Uno de los presupuestos fundamentales del modelo social radica en que las causas que originan la discapacidad no son individuales –como se afirma desde el modelo médico-, sino que son preponderantemente sociales. Según los defensores de este modelo, no son las limitaciones individuales las raíces del fenómeno, sino las limitaciones de la sociedad para prestar servicios apropiados y para asegurar adecuadamente que las necesidades de las personas con discapacidad sean tenidas en cuenta dentro de la organización social. </w:t>
      </w:r>
    </w:p>
    <w:p w:rsidR="008321E0" w:rsidRPr="00E72B02" w:rsidRDefault="008321E0" w:rsidP="004551E9">
      <w:r w:rsidRPr="00E72B02">
        <w:t>Es posible situar el nacimiento del modelo social –o al menos el momento en que emergen sus primeros síntomas- a finales de la década de los años sesenta o principios de la del setenta del siglo XX, en Estados Unidos e Inglaterra.  Hasta dicho momento, en las sociedades occidentales la discapacidad venía siendo considerada como el resultado exclusivo de las limitaciones individuales de una persona, que implicaba una tragedia personal para la persona, y un problema para el resto de la sociedad. No obstante, desde finales de la década de los años sesenta, dicha consideración ortodoxa comenzó a ser el blanco de campañas a través de Europa y Estados Unidos. Las personas con discapacidad -en particular aquellas que vivían en instituciones residenciales- tomaron la iniciativa de buscar sus propios cambios políticos.</w:t>
      </w:r>
      <w:r w:rsidRPr="00E72B02">
        <w:rPr>
          <w:rStyle w:val="Refdenotaalpie"/>
          <w:lang w:val="es-ES"/>
        </w:rPr>
        <w:footnoteReference w:id="19"/>
      </w:r>
      <w:r w:rsidRPr="00E72B02">
        <w:t xml:space="preserve"> De este modo, los activistas con discapacidad y las organizaciones de personas con discapacidad se unieron para condenar su estatus como “ciudadanos de segunda clase”. Reorientaron la atención hacia el impacto de las barreras sociales y ambientales, como el transporte y los edificios inaccesibles, las actitudes discriminatorias y los estereotipos culturales negativos, que –según alegaban- discapacitaban a las personas </w:t>
      </w:r>
      <w:r w:rsidRPr="00E72B02">
        <w:lastRenderedPageBreak/>
        <w:t>con deficiencias.</w:t>
      </w:r>
      <w:r w:rsidRPr="00E72B02">
        <w:rPr>
          <w:rStyle w:val="Refdenotaalpie"/>
          <w:lang w:val="es-ES"/>
        </w:rPr>
        <w:footnoteReference w:id="20"/>
      </w:r>
      <w:r w:rsidRPr="00E72B02">
        <w:t xml:space="preserve"> Así fue como la participación política de las personas con discapacidad y sus organizaciones abrió un nuevo frente en el área de los derechos civiles y la legislación antidiscriminatoria. </w:t>
      </w:r>
    </w:p>
    <w:p w:rsidR="008321E0" w:rsidRPr="00E72B02" w:rsidRDefault="008321E0" w:rsidP="004551E9">
      <w:r w:rsidRPr="00E72B02">
        <w:t>Ello surgió inicialmente en Estados Unidos, donde ha existido una larga tradición en campañas políticas basadas en los derechos civiles. En la materia que nos ocupa, hubo un considerable refuerzo en las luchas por los derechos civiles de los años sesenta, que fueron teniendo influencia en las actividades de las organizaciones de personas con discapacidad. Así, la lucha por los derechos civiles de las personas negras, con su combinación de tácticas de lobby convencional y acciones políticas de masas, proveyó un mayor estímulo a un emergente “movimiento de derechos de las personas con discapacidad”. De este modo, las piedras angulares de la sociedad americana –capitalismo de mercado, independencia, libertad política y económica- fueron reproducidas en el enfoque del denominado movimiento de vida independiente,</w:t>
      </w:r>
      <w:r w:rsidRPr="00E72B02">
        <w:rPr>
          <w:rStyle w:val="Refdenotaalpie"/>
          <w:iCs/>
          <w:lang w:val="es-ES"/>
        </w:rPr>
        <w:footnoteReference w:id="21"/>
      </w:r>
      <w:r w:rsidRPr="00E72B02">
        <w:t xml:space="preserve"> abogando por servicios de rehabilitación sobre la base de sus propios objetivos, métodos de reparto, y dirección propia de programas. La elección y el control del consumidor  fueron acentuadas, fijando la dirección relativa a la orientación y el cuidado personal en las propias personas con discapacidad, en claro contraste con los métodos tradicionales dominantes. Esto acentuó –entre otras cuestiones- los derechos civiles, el apoyo mutuo, la desmedicalización, y la desinstitucionalización.</w:t>
      </w:r>
      <w:r w:rsidRPr="00E72B02">
        <w:rPr>
          <w:rStyle w:val="Refdenotaalpie"/>
          <w:iCs/>
          <w:lang w:val="es-ES"/>
        </w:rPr>
        <w:footnoteReference w:id="22"/>
      </w:r>
      <w:r w:rsidRPr="00E72B02">
        <w:t xml:space="preserve"> Por otro lado, y desde una perspectiva un tanto diferente, el movimiento de </w:t>
      </w:r>
      <w:r w:rsidRPr="00E72B02">
        <w:lastRenderedPageBreak/>
        <w:t>personas con discapacidad en el Reino Unido ha perseguido generar cambios en la política social o en la legislación de derechos humanos. De este modo, la prioridad estratégica ha sido realzar la existencia de los sistemas patrocinados por el Estado de bienestar para cubrir las necesidades de las personas con discapacidad. Así, en el Reino Unido, las organizaciones de personas con discapacidad movilizaron inicialmente la opinión contra su categorización tradicional como un grupo vulnerable necesitado de protección. Sostenían el derecho a definir sus propias necesidades y servicios prioritarios, y se proclamaban contra la dominación tradicional de los proveedores de servicios.</w:t>
      </w:r>
      <w:r w:rsidRPr="00E72B02">
        <w:rPr>
          <w:rStyle w:val="Refdenotaalpie"/>
          <w:lang w:val="es-ES"/>
        </w:rPr>
        <w:footnoteReference w:id="23"/>
      </w:r>
      <w:r w:rsidRPr="00E72B02">
        <w:t xml:space="preserve"> </w:t>
      </w:r>
    </w:p>
    <w:p w:rsidR="008321E0" w:rsidRPr="00E72B02" w:rsidRDefault="008321E0" w:rsidP="004551E9">
      <w:r w:rsidRPr="00E72B02">
        <w:t xml:space="preserve">Más allá de los matices, ambos modelos (tanto el estadounidense como el inglés) han tenido importantes influencias en el ámbito internacional. Entre dichas consecuencias se destacan ciertas exigencias que han tenido importantes repercusiones en las políticas a ser adoptadas sobre las cuestiones que involucren a la discapacidad.  Así, si se considera que las causas que originan la discapacidad son sociales, las soluciones no deben apuntarse individualmente a la persona afectada, sino más bien que deben encontrarse dirigidas hacia la sociedad. De este modo, el modelo anterior se centra en la rehabilitación o normalización de las personas con discapacidad, mientras que el modelo social aboga por la rehabilitación o normalización de una sociedad, pensada y diseñada para hacer frente a las necesidades de todas las personas. En términos generales, el tratamiento social del que son objeto las personas con discapacidad se basa en la búsqueda de la inclusión a través de la igualdad de oportunidades. A dichos fines el modelo social aboga por una serie de medidas, entre las que se destacan la accesibilidad universal, el diseño para todos, y la transversalidad de las políticas en materia de discapacidad.  </w:t>
      </w:r>
    </w:p>
    <w:p w:rsidR="008321E0" w:rsidRPr="00E72B02" w:rsidRDefault="008321E0" w:rsidP="004551E9">
      <w:r w:rsidRPr="00E72B02">
        <w:lastRenderedPageBreak/>
        <w:t xml:space="preserve">Básicamente, el modelo bajo análisis considera a la discapacidad como un fenómeno complejo, que no se limita simplemente a un atributo de la persona, sino que es el resultado de un conjunto de condiciones, muchas de las cuales son creadas por el contexto social. En consecuencia, ello requiere la realización de todas las modificaciones y adaptaciones necesarias, a los fines de alcanzar la participación plena de las personas con discapacidad en la totalidad de las áreas de la vida en comunidad. Dicha situación –que es más una cuestión ideológica que biológica- requiere la introducción de cambios sociales, lo que en el ámbito de la política constituye una cuestión de derechos humanos. El modelo social se encuentra, entonces, muy relacionado con la consideración de la discapacidad como una cuestión de derechos humanos. Se centra en la dignidad intrínseca del ser humano, y de manera accesoria –y sólo en el caso que sea necesario- en las características médicas de la persona. Sitúa al individuo en el centro de todas las decisiones que le afecten, y sitúa el centro del problema fuera de la persona -en la sociedad-. </w:t>
      </w:r>
    </w:p>
    <w:p w:rsidR="008321E0" w:rsidRPr="00E72B02" w:rsidRDefault="008321E0" w:rsidP="004551E9">
      <w:r w:rsidRPr="00E72B02">
        <w:t>De este modo, las soluciones frente a la situación de desventaja de las personas con discapacidad se plantearían a partir del respeto a los valores esenciales que son el fundamento de los derechos humanos; esto es: la dignidad; la libertad entendida como autonomía –en el sentido de desarrollo del sujeto moral- que exige entre otras cosas que la persona sea el centro de las decisiones que le afecten; la igualdad inherente de todo ser humano –inclusiva de la diferencia-, la cual asimismo exige la satisfacción de ciertas necesidades básicas, y la solidaridad.</w:t>
      </w:r>
      <w:r w:rsidRPr="00E72B02">
        <w:rPr>
          <w:rStyle w:val="Refdenotaalpie"/>
          <w:lang w:val="es-ES"/>
        </w:rPr>
        <w:footnoteReference w:id="24"/>
      </w:r>
    </w:p>
    <w:p w:rsidR="008321E0" w:rsidRPr="00E72B02" w:rsidRDefault="008321E0" w:rsidP="004551E9">
      <w:r w:rsidRPr="00E72B02">
        <w:lastRenderedPageBreak/>
        <w:t>Gracias a ello, en las últimas décadas se vienen gestando diferentes modos de ofrecer respuestas a las necesidades de las personas con discapacidad, que se basan en los valores intrínsecos que fundamentan a los derechos humanos. Para ello, desde el Derecho se utilizan una serie de técnicas promocionales –entre las que se destacan medidas de acción positiva, de discriminación inversa, la obligación de realizar ajustes razonables- como así también la plasmación de ciertos principios que tienen una repercusión importante sobre las políticas en la materia –no discriminación, vida independiente, accesibilidad universal, diálogo civil, diseño para todos, transversalidad de políticas en materia de discapacidad, entre otros-. Dichos principios, en realidad, persiguen un mismo objetivo: que las personas con discapacidad puedan tener iguales oportunidades que el resto de personas en el diseño y desarrollo de sus propios planes de vida.</w:t>
      </w:r>
    </w:p>
    <w:p w:rsidR="008321E0" w:rsidRPr="00A50407" w:rsidRDefault="008321E0" w:rsidP="004551E9"/>
    <w:p w:rsidR="008321E0" w:rsidRPr="00A50407" w:rsidRDefault="008321E0" w:rsidP="00A50407">
      <w:pPr>
        <w:pStyle w:val="TTULO70"/>
        <w:jc w:val="both"/>
        <w:rPr>
          <w:b w:val="0"/>
          <w:bCs/>
          <w:sz w:val="24"/>
          <w:szCs w:val="24"/>
        </w:rPr>
      </w:pPr>
      <w:r w:rsidRPr="00A50407">
        <w:rPr>
          <w:b w:val="0"/>
          <w:bCs/>
          <w:sz w:val="24"/>
          <w:szCs w:val="24"/>
        </w:rPr>
        <w:t>1.3. – LOS VALORES QUE SUSTENTAN A LOS DERECHOS HUMANOS EN EL CONTEXTO DE LA DISCAPACIDAD</w:t>
      </w:r>
    </w:p>
    <w:p w:rsidR="008321E0" w:rsidRPr="00E72B02" w:rsidRDefault="008321E0" w:rsidP="004551E9"/>
    <w:p w:rsidR="008321E0" w:rsidRPr="00E72B02" w:rsidRDefault="008321E0" w:rsidP="004551E9">
      <w:r w:rsidRPr="00E72B02">
        <w:t xml:space="preserve">Como se ha comentado, el modelo social nace contrarrestando un contexto en el cual la discapacidad era considerada la consecuencia de la persona, -un problema individual que se resumía en una limitación física, sensorial, mental o intelectual-. De tal modo, las soluciones frente a este supuesto problema eran diseñadas para rehabilitar, normalizar a la persona, y de ese modo, integrarla en la sociedad. </w:t>
      </w:r>
    </w:p>
    <w:p w:rsidR="008321E0" w:rsidRPr="00E72B02" w:rsidRDefault="008321E0" w:rsidP="004551E9">
      <w:r w:rsidRPr="00E72B02">
        <w:t xml:space="preserve">Desde otra perspectiva, el modelo social entiende a la discapacidad –no como un problema individual de la persona- sino como un problema social. Es decir, la discapacidad es, en gran medida, consecuencia de una sociedad que no se encuentra pensada ni diseñada para hacer frente a las necesidades de todas las personas. Por tanto, lo que debería rehabilitarse o normalizarse no son las personas, sino la sociedad. Pues bien, los argumentos esgrimidos </w:t>
      </w:r>
      <w:r w:rsidRPr="00E72B02">
        <w:lastRenderedPageBreak/>
        <w:t>por el modelo social (que desde la teoría se formó en gran parte por sociólogos con discapacidad) tienen mucho en común con los valores que sustentan a los derechos humanos, es decir, dignidad, igualdad y libertad.</w:t>
      </w:r>
    </w:p>
    <w:p w:rsidR="008321E0" w:rsidRPr="00A50407" w:rsidRDefault="008321E0" w:rsidP="00A50407">
      <w:pPr>
        <w:pStyle w:val="TTULO70"/>
        <w:jc w:val="both"/>
        <w:rPr>
          <w:b w:val="0"/>
          <w:sz w:val="24"/>
        </w:rPr>
      </w:pPr>
    </w:p>
    <w:p w:rsidR="008321E0" w:rsidRPr="00A50407" w:rsidRDefault="008321E0" w:rsidP="00A50407">
      <w:pPr>
        <w:pStyle w:val="TTULO70"/>
        <w:jc w:val="both"/>
        <w:rPr>
          <w:b w:val="0"/>
          <w:bCs/>
          <w:sz w:val="24"/>
        </w:rPr>
      </w:pPr>
      <w:r w:rsidRPr="00A50407">
        <w:rPr>
          <w:b w:val="0"/>
          <w:bCs/>
          <w:sz w:val="24"/>
        </w:rPr>
        <w:t>1.3.1. – LA DIGNIDAD</w:t>
      </w:r>
    </w:p>
    <w:p w:rsidR="008321E0" w:rsidRPr="00E72B02" w:rsidRDefault="008321E0" w:rsidP="004551E9"/>
    <w:p w:rsidR="008321E0" w:rsidRPr="00E72B02" w:rsidRDefault="008321E0" w:rsidP="004551E9">
      <w:r w:rsidRPr="00E72B02">
        <w:t>La dignidad entendida desde una perspectiva formal kantiana, establece que la persona es siempre un fin y nunca un medio.</w:t>
      </w:r>
    </w:p>
    <w:p w:rsidR="008321E0" w:rsidRPr="00E72B02" w:rsidRDefault="008321E0" w:rsidP="004551E9">
      <w:r w:rsidRPr="00E72B02">
        <w:t xml:space="preserve"> Este valor -que es la base de justificación de los derechos humanos- es una de las herramientas teóricas del modelo social de discapacidad, al establecer que no debe medirse el valor de las personas por su utilidad, porque sino las estaríamos considerando medios y no fines (y sobre todo cuando esa utilidad se mide en términos de productividad económica).  Ello no significa negar que las personas con discapacidad sean –al igual que el resto de personas- algunas más y otras menos productivas, sino centrarnos en que esa no puede ser la medida, y sobre todo invitarnos a reflexionar sobre el significado, ambiguo y bastante incierto, del término “productivo”, entre otras cuestiones. Por tanto, si queremos respetar el imperativo categórico kantiano, debemos considerar siempre a la persona como un fin en sí misma. Esta afirmación, que aparentemente en la teoría no genera problemas, al analizarse en la práctica nos muestra ciertas contradicciones. </w:t>
      </w:r>
    </w:p>
    <w:p w:rsidR="008321E0" w:rsidRPr="00E72B02" w:rsidRDefault="008321E0" w:rsidP="004551E9">
      <w:r w:rsidRPr="00E72B02">
        <w:t xml:space="preserve">Así, al adentrarnos al mundo de los valores y la situación de las personas con discapacidad, </w:t>
      </w:r>
      <w:r w:rsidRPr="00E72B02">
        <w:rPr>
          <w:caps/>
        </w:rPr>
        <w:t>Quinn</w:t>
      </w:r>
      <w:r w:rsidRPr="00E72B02">
        <w:t xml:space="preserve"> nos propone reflexionar, en primer lugar, respecto del postulado de la dignidad humana, que resume la simple idea de que todas las personas son fines en sí mismas. Sin embargo, en la práctica, la mayor parte de nuestras sociedades, manejadas por el mercado, valoran al ser humano por su valor de uso –utilidad-. Si nuestra utilidad o valor de uso se encuentran disminuidos, limitados (o, mejor dicho, percibidos como disminuidos, limitados) entonces nuestro valor como seres humanos </w:t>
      </w:r>
      <w:r w:rsidRPr="00E72B02">
        <w:lastRenderedPageBreak/>
        <w:t>también tiende a disminuir. La realidad es que en muchos sitios del mundo, muchas personas con discapacidad son tratadas como objeto y no como sujetos.</w:t>
      </w:r>
      <w:r w:rsidRPr="00E72B02">
        <w:rPr>
          <w:rStyle w:val="Refdenotaalpie"/>
          <w:lang w:val="es-ES"/>
        </w:rPr>
        <w:footnoteReference w:id="25"/>
      </w:r>
      <w:r w:rsidRPr="00E72B02">
        <w:t xml:space="preserve"> </w:t>
      </w:r>
    </w:p>
    <w:p w:rsidR="008321E0" w:rsidRPr="00E72B02" w:rsidRDefault="008321E0" w:rsidP="004551E9">
      <w:r w:rsidRPr="00E72B02">
        <w:t>Si partimos  del valor de la autonomía, la simple idea de que cada persona se autogobierna y dirige sus metas, podemos advertir que todavía se niega a las personas con discapacidad el derecho a tomar sus propias decisiones sobre su propio destino. Y, seguramente, la respuesta correcta para aquellos que tienen disminuida su capacidad para la autonomía –o para quienes son percibidos con dicha disminución- sea la asistencia para poder llevar una vida independiente, y no la sustitución de su autonomía.</w:t>
      </w:r>
      <w:r w:rsidRPr="00E72B02">
        <w:rPr>
          <w:rStyle w:val="Refdenotaalpie"/>
          <w:lang w:val="es-ES"/>
        </w:rPr>
        <w:footnoteReference w:id="26"/>
      </w:r>
    </w:p>
    <w:p w:rsidR="008321E0" w:rsidRPr="00E72B02" w:rsidRDefault="008321E0" w:rsidP="004551E9">
      <w:r w:rsidRPr="00E72B02">
        <w:t>La noción de dignidad humana es la piedra fundamental sobre la que se asientan los derechos humanos. Esta idea de dignidad humana debería reforzar la idea de que las personas con discapacidad tienen un papel en la sociedad, que hay que atender con absoluta independencia de cualquier consideración de utilidad social o económica.</w:t>
      </w:r>
      <w:r w:rsidRPr="00E72B02">
        <w:rPr>
          <w:rStyle w:val="Refdenotaalpie"/>
          <w:lang w:val="es-ES"/>
        </w:rPr>
        <w:footnoteReference w:id="27"/>
      </w:r>
      <w:r w:rsidRPr="00E72B02">
        <w:t xml:space="preserve"> Sin embargo, este tema merece al menos dos aclaraciones.</w:t>
      </w:r>
    </w:p>
    <w:p w:rsidR="008321E0" w:rsidRPr="00E72B02" w:rsidRDefault="008321E0" w:rsidP="004551E9">
      <w:r w:rsidRPr="00E72B02">
        <w:t xml:space="preserve">La primera se encuentra dirigida a la misma idea de dignidad humana que –desde el Renacimiento- viene siendo caracterizada a través de una serie de rasgos del ser humano que difícilmente puedan ser aplicados a personas con </w:t>
      </w:r>
      <w:r w:rsidRPr="00E72B02">
        <w:lastRenderedPageBreak/>
        <w:t>cierto tipo de discapacidades.</w:t>
      </w:r>
      <w:r w:rsidRPr="00E72B02">
        <w:rPr>
          <w:rStyle w:val="Refdenotaalpie"/>
          <w:lang w:val="es-ES"/>
        </w:rPr>
        <w:footnoteReference w:id="28"/>
      </w:r>
      <w:r w:rsidRPr="00E72B02">
        <w:t xml:space="preserve"> Quizás porque esta idea de dignidad nunca ha sido caracterizada sin apelar a algunos contenidos que la supeditan a ciertos factores. Así, podría afirmarse que se pasó de justificar la dignidad supeditándola a la inteligencia –Grecia-, a supeditarla a Dios -Edad Media-, o a la nobleza –barroco-, a, finalmente, supeditarla a la razón y la virtud –modernidad-.  Y ello presenta algunos problemas en el ámbito filosófico que nos conducen a preguntarnos sobre el modo de justificación, por ejemplo, de la idea de dignidad de una persona que tiene, aparentemente, limitada su capacidad para razonar.</w:t>
      </w:r>
      <w:r w:rsidRPr="00E72B02">
        <w:rPr>
          <w:rStyle w:val="Refdenotaalpie"/>
          <w:lang w:val="es-ES"/>
        </w:rPr>
        <w:footnoteReference w:id="29"/>
      </w:r>
      <w:r w:rsidRPr="00E72B02">
        <w:t xml:space="preserve"> </w:t>
      </w:r>
    </w:p>
    <w:p w:rsidR="008321E0" w:rsidRPr="00E72B02" w:rsidRDefault="008321E0" w:rsidP="004551E9">
      <w:r w:rsidRPr="00E72B02">
        <w:t xml:space="preserve">Ahora bien, la segunda aclaración que merece ser destacada se refiere a una de las afirmaciones esbozadas desde el modelo social, que podría llegar a considerarse contradictoria. Desde dicho paradigma se insiste en que las personas con discapacidad tienen mucho que aportar a la sociedad. Pareciera que el modelo social cae en la trampa que pretende develar, al seguir valorando a las personas en la medida de su condicional aporte a la sociedad. Ello no implica la negación de dicha premisa, sino simplemente remarcar que el valor del ser humano en sí mismo se encuentra desvinculado y es independiente de cualquier consideración de utilidad social. Es decir, las personas con discapacidad no son igualmente dignas por su capacidad de aporte a la sociedad –medio- sino que son igualmente </w:t>
      </w:r>
      <w:r w:rsidRPr="00E72B02">
        <w:lastRenderedPageBreak/>
        <w:t>dignas por su esencia,  por ser un fin en sí mismas. De otro modo, y como se ha mencionado, el contenido central del imperativo categórico kantiano estaría siendo vulnerado, ya que si valoramos a la persona en la medida de su aporte a la comunidad,  estaremos considerando al ser humano como un medio y no como un fin en sí misma.</w:t>
      </w:r>
    </w:p>
    <w:p w:rsidR="008321E0" w:rsidRPr="00E72B02" w:rsidRDefault="008321E0" w:rsidP="004551E9"/>
    <w:p w:rsidR="008321E0" w:rsidRPr="00A50407" w:rsidRDefault="008321E0" w:rsidP="00A50407">
      <w:pPr>
        <w:pStyle w:val="TTULO70"/>
        <w:jc w:val="both"/>
        <w:rPr>
          <w:b w:val="0"/>
          <w:bCs/>
          <w:sz w:val="24"/>
        </w:rPr>
      </w:pPr>
      <w:r w:rsidRPr="00A50407">
        <w:rPr>
          <w:b w:val="0"/>
          <w:bCs/>
          <w:sz w:val="24"/>
        </w:rPr>
        <w:t>1.3.2 – LA LIBERTAD</w:t>
      </w:r>
    </w:p>
    <w:p w:rsidR="008321E0" w:rsidRPr="00E72B02" w:rsidRDefault="008321E0" w:rsidP="004551E9"/>
    <w:p w:rsidR="008321E0" w:rsidRPr="00E72B02" w:rsidRDefault="008321E0" w:rsidP="004551E9">
      <w:r w:rsidRPr="00E72B02">
        <w:t>Este valor se encuentra íntimamente relacionado con el de la dignidad, e implica autonomía –moral- e independencia. En términos filosóficos, implica considerar a la persona como sujeto moral, es decir con poder de decisión sobre el diseño de su propio plan de vida. Casualmente, este ha sido el lema por lo que han nacido los derechos humanos: para garantizar el desarrollo de las personas como sujetos morales.</w:t>
      </w:r>
      <w:r w:rsidRPr="00E72B02">
        <w:rPr>
          <w:rStyle w:val="Refdenotaalpie"/>
          <w:lang w:val="es-ES"/>
        </w:rPr>
        <w:footnoteReference w:id="30"/>
      </w:r>
      <w:r w:rsidRPr="00E72B02">
        <w:t xml:space="preserve"> Esto es, sujetos moralmente libres. Como explica Rafael de Asís, la libertad moral sería el referente de los derechos. La define este autor como un momento utópico individual de realización de los planes de vida, de los proyectos vitales, de satisfacción de necesidades, condicionado por la dimensión social de la actividad humana. A partir de ello, la misión de la libertad social y de los derechos como instrumentos, es  permitir al sujeto moral  el alcance de esta libertad moral.</w:t>
      </w:r>
      <w:r w:rsidRPr="00E72B02">
        <w:rPr>
          <w:rStyle w:val="Refdenotaalpie"/>
          <w:lang w:val="es-ES"/>
        </w:rPr>
        <w:footnoteReference w:id="31"/>
      </w:r>
    </w:p>
    <w:p w:rsidR="008321E0" w:rsidRPr="00E72B02" w:rsidRDefault="008321E0" w:rsidP="004551E9">
      <w:r w:rsidRPr="00E72B02">
        <w:t xml:space="preserve"> Resulta evidente que uno de los principios claves del modelo social, que se refleja claramente en la filosofía inherente al movimiento de vida </w:t>
      </w:r>
      <w:r w:rsidRPr="00E72B02">
        <w:lastRenderedPageBreak/>
        <w:t>independiente, se basa en este valor, abogando asimismo porque se prevean las condiciones sociales necesarias para que el mismo no se vea vulnerado en su eficacia respecto de las personas con discapacidad. Sin embargo, debe subrayarse que en el contexto de la discapacidad, la imagen de sujeto moral plantea al menos dos grandes problemas.</w:t>
      </w:r>
      <w:r w:rsidRPr="00E72B02">
        <w:rPr>
          <w:rStyle w:val="Refdenotaalpie"/>
          <w:lang w:val="es-ES"/>
        </w:rPr>
        <w:footnoteReference w:id="32"/>
      </w:r>
    </w:p>
    <w:p w:rsidR="008321E0" w:rsidRPr="00E72B02" w:rsidRDefault="008321E0" w:rsidP="004551E9">
      <w:r w:rsidRPr="00E72B02">
        <w:t>Uno de ellos es que generalmente suele asociarse la discapacidad -especialmente la intelectual- con la carencia de capacidad para el ejercicio de la libertad moral. Si bien, ello involucra cuestiones lindantes en ciertas ocasiones, no obstante en muchas otras, esta suposición se basa en un mero prejuicio, -al confundir autonomía funcional con autonomía moral- sumado a una idea de autonomía muy restringida. En este sentido, desde el modelo social se aboga por una concepción más amplia de la idea  de autonomía, un planteamiento que no se incline excesivamente por detectar la incompetencia</w:t>
      </w:r>
      <w:r w:rsidRPr="00E72B02">
        <w:rPr>
          <w:rStyle w:val="Refdenotaalpie"/>
          <w:lang w:val="es-ES"/>
        </w:rPr>
        <w:footnoteReference w:id="33"/>
      </w:r>
      <w:r w:rsidRPr="00E72B02">
        <w:t xml:space="preserve"> y que, por tanto, otorgue la misma importancia a la necesidad de una protección efectiva de los derechos y los intereses de todas las personas.</w:t>
      </w:r>
      <w:r w:rsidRPr="00E72B02">
        <w:rPr>
          <w:rStyle w:val="Refdenotaalpie"/>
          <w:lang w:val="es-ES"/>
        </w:rPr>
        <w:footnoteReference w:id="34"/>
      </w:r>
      <w:r w:rsidRPr="00E72B02">
        <w:t xml:space="preserve"> Que la autonomía en ciertos casos se encuentre más restringida no significa que deba ser anulada o ignorada, sino precisamente lo contrario. Como expresa </w:t>
      </w:r>
      <w:r w:rsidRPr="00E72B02">
        <w:rPr>
          <w:caps/>
        </w:rPr>
        <w:t>Añón</w:t>
      </w:r>
      <w:r w:rsidRPr="00E72B02">
        <w:t xml:space="preserve"> ROIG, la autonomía no es tanto un punto de partida como un punto de llegada, lo que supone reconocer que el </w:t>
      </w:r>
      <w:r w:rsidRPr="00E72B02">
        <w:lastRenderedPageBreak/>
        <w:t>individuo concreto tiene limitaciones en el orden del conocimiento teórico y práctico.</w:t>
      </w:r>
      <w:r w:rsidRPr="00E72B02">
        <w:rPr>
          <w:rStyle w:val="Refdenotaalpie"/>
          <w:lang w:val="es-ES"/>
        </w:rPr>
        <w:footnoteReference w:id="35"/>
      </w:r>
      <w:r w:rsidRPr="00E72B02">
        <w:t xml:space="preserve"> En ese sentido, en lo que concierne a las personas con discapacidades intelectuales, es evidente que en muchos casos el ejercicio de la autonomía puede resultar mucho más complicado, pero es en esos casos precisamente donde debe resaltarse el rol del Derecho en cuanto a la garantía de desarrollo pleno del grado de autonomía existente, por mínima que sea.</w:t>
      </w:r>
    </w:p>
    <w:p w:rsidR="008321E0" w:rsidRPr="00E72B02" w:rsidRDefault="008321E0" w:rsidP="004551E9">
      <w:r w:rsidRPr="00E72B02">
        <w:t xml:space="preserve">Una segunda dificultad a la que se enfrenta este valor en el contexto de la discapacidad, es que muchas veces la sociedad no se toma en serio la autonomía de las personas con discapacidad que tienen esa “capacidad” absoluta para el ejercicio de dicha libertad moral. Este es el típico caso de las personas con limitaciones físicas o sensoriales. En muchas ocasiones, las elecciones de vida de estas personas no son consideradas tan merecedoras de apoyo social como las de las personas sin discapacidad. Ello, que pareciera partir de la consideración de que la vida de estas personas no goza del mismo valor, ha llevado a que las condiciones materiales que las personas con discapacidad necesitan para tener el control sobre sus vidas hayan sido ignoradas; desatendidas. Así, señalan </w:t>
      </w:r>
      <w:r w:rsidRPr="00E72B02">
        <w:rPr>
          <w:caps/>
        </w:rPr>
        <w:t>Quinn &amp; Degener</w:t>
      </w:r>
      <w:r w:rsidRPr="00E72B02">
        <w:t xml:space="preserve"> que la mayor parte de las sociedades no han hecho lo suficiente para habilitar a las personas con discapacidad que tienen una clara capacidad de libertad moral para el pleno desarrollo como sujetos morales.</w:t>
      </w:r>
      <w:r w:rsidRPr="00E72B02">
        <w:rPr>
          <w:rStyle w:val="Refdenotaalpie"/>
          <w:lang w:val="es-ES"/>
        </w:rPr>
        <w:footnoteReference w:id="36"/>
      </w:r>
    </w:p>
    <w:p w:rsidR="008321E0" w:rsidRPr="00E72B02" w:rsidRDefault="008321E0" w:rsidP="004551E9">
      <w:r w:rsidRPr="00E72B02">
        <w:t xml:space="preserve">Un discurso coherente con los derechos humanos requiere que la respuesta correcta para aquellas personas que tienen disminuida su autonomía funcional (que no es su autonomía moral) –o para quienes son percibidas con dicha disminución- sea la asistencia para poder llevar una vida </w:t>
      </w:r>
      <w:r w:rsidRPr="00E72B02">
        <w:lastRenderedPageBreak/>
        <w:t>independiente, y no la sustitución de su autonomía. Esta afirmación no solo genera contradicciones en el ámbito fáctico, sino también en el teórico (sobre todo en relación con determinados tipos de discapacidades, como la intelectual o mental). Con la entrada en vigor de la CDPD se ha asumido un cambio de paradigma en este sentido, que se entiende tendrá consecuencias muy importantes al respecto.</w:t>
      </w:r>
      <w:r w:rsidRPr="00E72B02">
        <w:rPr>
          <w:rStyle w:val="Refdenotaalpie"/>
          <w:lang w:val="es-ES"/>
        </w:rPr>
        <w:footnoteReference w:id="37"/>
      </w:r>
    </w:p>
    <w:p w:rsidR="008321E0" w:rsidRPr="00E72B02" w:rsidRDefault="008321E0" w:rsidP="004551E9">
      <w:r w:rsidRPr="00E72B02">
        <w:t>Entre otras cuestiones, entonces, lo que exige un discurso coherente con los derechos humanos en el ámbito de la discapacidad es que no se siga confundiendo la restricción o diferencia física, sensorial, mental o intelectual con la capacidad moral. Simplemente, de eso se trata la vida independiente, del ejercicio de la libertad, al igual que el resto de personas. A través del establecimiento de este principio, se ha dado respuesta a uno de los principales reclamos de las personas con discapacidad, que consiste en la posibilidad de ser parte de la toma de decisiones relativas a sus propias vidas. De este modo, las personas con discapacidad dejan de ser vistas como meros pacientes, o de estar sometidas políticas paternalistas en las que se las intenta suplir y apartar de la toma de decisiones en aquellas cuestiones que les incumben. El reclamo de las personas con discapacidad –que, como se ha mencionado oportunamente, tuvo asimismo origen en el Movimiento de Vida Independiente- es el de participar y ser artífices en lo que respecta a las decisiones que les atañen. El lema “</w:t>
      </w:r>
      <w:r w:rsidRPr="00E72B02">
        <w:rPr>
          <w:i/>
        </w:rPr>
        <w:t>Nothing about us whithout us</w:t>
      </w:r>
      <w:r w:rsidRPr="00E72B02">
        <w:t>'' –Nada sobre nosotros sin nosotros- que surgió con el modelo de vida independiente resume de manera efectiva esta postura.</w:t>
      </w:r>
    </w:p>
    <w:p w:rsidR="008321E0" w:rsidRPr="00E72B02" w:rsidRDefault="008321E0" w:rsidP="004551E9">
      <w:r w:rsidRPr="00E72B02">
        <w:t>No obstante, que las personas con discapacidad tengan que seguir luchando por el ejercicio de su libertad demuestra que las personas con discapacidad no tienen la misma protección que el resto en el ejercicio de sus derechos humanos. Y esto nos conecta con el otro valor cimiento:</w:t>
      </w:r>
    </w:p>
    <w:p w:rsidR="008321E0" w:rsidRPr="00887731" w:rsidRDefault="008321E0" w:rsidP="004A69C7">
      <w:pPr>
        <w:pStyle w:val="TTULO70"/>
      </w:pPr>
    </w:p>
    <w:p w:rsidR="008321E0" w:rsidRPr="00A50407" w:rsidRDefault="008321E0" w:rsidP="00A50407">
      <w:pPr>
        <w:pStyle w:val="TTULO70"/>
        <w:jc w:val="both"/>
        <w:rPr>
          <w:b w:val="0"/>
          <w:bCs/>
          <w:sz w:val="24"/>
        </w:rPr>
      </w:pPr>
      <w:r w:rsidRPr="00A50407">
        <w:rPr>
          <w:b w:val="0"/>
          <w:bCs/>
          <w:sz w:val="24"/>
        </w:rPr>
        <w:t>1.3.3 – LA IGUALDAD</w:t>
      </w:r>
    </w:p>
    <w:p w:rsidR="008321E0" w:rsidRPr="00E72B02" w:rsidRDefault="008321E0" w:rsidP="004551E9"/>
    <w:p w:rsidR="008321E0" w:rsidRPr="00E72B02" w:rsidRDefault="008321E0" w:rsidP="004551E9">
      <w:r w:rsidRPr="00E72B02">
        <w:t>No resulta suficiente afirmar que las personas con discapacidad son personas con dignidad, sino que hace falta destacar, que las personas con discapacidad son “igualmente” dignas. Poseen el mismo valor como seres humanos que el resto de personas. Esto, que parece una obviedad, no lo es ni en el ámbito social, ni en el imaginario colectivo, ni en el Derecho en algunas ocasiones.</w:t>
      </w:r>
      <w:r w:rsidRPr="00E72B02">
        <w:rPr>
          <w:rStyle w:val="Refdenotaalpie"/>
          <w:lang w:val="es-ES"/>
        </w:rPr>
        <w:footnoteReference w:id="38"/>
      </w:r>
    </w:p>
    <w:p w:rsidR="008321E0" w:rsidRPr="00E72B02" w:rsidRDefault="008321E0" w:rsidP="004551E9">
      <w:r w:rsidRPr="00E72B02">
        <w:t xml:space="preserve"> Una de las premisas fundamentales del modelo social de discapacidad se basa en que todas las personas poseen –no solo un valor intrínseco inestimable-, sino también que son intrínsecamente iguales en lo que se refiere a su valor, más allá de cualquier diferencia social, física, mental, intelectual o sensorial. Ello no equivale a decir que no existan diferencias entre las personas, sino más bien que una sociedad que respeta auténticamente el principio de igualdad es aquella que adopta un criterio inclusivo respecto de las diferencias humanas, y las tiene en cuenta en forma positiva.</w:t>
      </w:r>
    </w:p>
    <w:p w:rsidR="008321E0" w:rsidRPr="00E72B02" w:rsidRDefault="008321E0" w:rsidP="004551E9">
      <w:r w:rsidRPr="00E72B02">
        <w:t xml:space="preserve"> Y, precisamente, uno de los argumentos esenciales esgrimidos por los defensores del modelo social radica en que las personas con discapacidad no son tratadas en respeto a dicho criterio, sino que se encuentran socialmente excluidas. Esto significa -entre otras cuestiones-, verse imposibilitadas de participar en una gran cantidad de actividades que sustentan una vida en sociedad, y que las eliminan de la corriente habitual de la vida cotidiana. Ello se debe a que todos los puntos de acceso a las estructuras de la vida </w:t>
      </w:r>
      <w:r w:rsidRPr="00E72B02">
        <w:lastRenderedPageBreak/>
        <w:t xml:space="preserve">diaria -educación, trabajo, familia, interacción social, etc.- se establecen en gran medida en relación con la norma dominante –en este caso el de las personas sin discapacidad-. De este modo, como normalmente no se prevén adaptaciones para las desviaciones o las diferencias  respecto de la norma elegida, la diferencia sirve como base para una sutil (y a veces no tan sutil) discriminación. </w:t>
      </w:r>
    </w:p>
    <w:p w:rsidR="008321E0" w:rsidRPr="00E72B02" w:rsidRDefault="008321E0" w:rsidP="004551E9">
      <w:r w:rsidRPr="00E72B02">
        <w:t xml:space="preserve">Un principio/derecho muy vinculado con el ejercicio de la igualdad es el de la accesibilidad universal y el diseño para todos y todas, principios que apuntan a garantizar la vida independiente, y que están evolucionando al ser considerados en la teoría filosófico-jurídica como derechos (no de un proceso de especificación, sino de generalización).  </w:t>
      </w:r>
    </w:p>
    <w:p w:rsidR="008321E0" w:rsidRPr="00E72B02" w:rsidRDefault="008321E0" w:rsidP="004551E9">
      <w:r w:rsidRPr="00E72B02">
        <w:t>¿Qué se quiere decir con esto? Como se viene explicando, desde el ámbito del Derecho y conforme las nuevas tendencias en la materia, se viene persiguiendo poder garantizar de manera efectiva la igualdad de oportunidades de las personas con discapacidad. Como asimismo se ha comentado, en dicho camino la accesibilidad universal adquiere un rol protagónico. Ahora bien, dentro de las nuevas tendencias, asimismo, la accesibilidad universal ha ido evolucionando conceptualmente, pudiendo ser considerada en la actualidad, un derecho, no de titulares específicos, sino cuya titularidad la ejercen todas las personas.</w:t>
      </w:r>
      <w:r w:rsidRPr="00E72B02">
        <w:rPr>
          <w:rStyle w:val="Refdenotaalpie"/>
          <w:lang w:val="es-ES"/>
        </w:rPr>
        <w:footnoteReference w:id="39"/>
      </w:r>
      <w:r w:rsidRPr="00E72B02">
        <w:t xml:space="preserve">  El problema que supone, sin embargo para las personas con discapacidad, es que son ellas uno de los colectivos más perjudicados a la hora del ejercicio de este derecho. Pero el hecho de que las personas con discapacidad se encuentren en una situación de mayor vulnerabilidad en ese sentido, no debe conducir a la confusión </w:t>
      </w:r>
      <w:r w:rsidRPr="00E72B02">
        <w:lastRenderedPageBreak/>
        <w:t>conceptual que implica considerar la accesibilidad es un derecho específico de estas personas.</w:t>
      </w:r>
    </w:p>
    <w:p w:rsidR="008321E0" w:rsidRPr="00E72B02" w:rsidRDefault="008321E0" w:rsidP="004551E9">
      <w:r w:rsidRPr="00E72B02">
        <w:t xml:space="preserve">Así, al estudiarse la historia de los derechos humanos, suele distinguirse, siguiendo a </w:t>
      </w:r>
      <w:r w:rsidRPr="00E72B02">
        <w:rPr>
          <w:caps/>
        </w:rPr>
        <w:t>Bobbio</w:t>
      </w:r>
      <w:r w:rsidRPr="00E72B02">
        <w:t>, cuatro procesos históricos en la evolución de dichos derechos:</w:t>
      </w:r>
      <w:r w:rsidRPr="00E72B02">
        <w:rPr>
          <w:rStyle w:val="Refdenotaalpie"/>
          <w:lang w:val="es-ES"/>
        </w:rPr>
        <w:footnoteReference w:id="40"/>
      </w:r>
    </w:p>
    <w:p w:rsidR="008321E0" w:rsidRPr="00E72B02" w:rsidRDefault="008321E0" w:rsidP="004551E9">
      <w:r w:rsidRPr="00E72B02">
        <w:t>El primer proceso se denomina positivación, y se inicia desde la progresiva toma de conciencia de la necesidad de dotar a la idea de los derechos de un estatuto jurídico que permita su aplicación eficaz y la protección real de los titulares de los mismos.  A partir del S. XIX esa positivación se considera una condición esencial para la existencia de los derechos con eficacia social y no se concibe una implantación de ellos al margen de la positivación. Todos los textos constitucionales pasan a recoger como Derecho positivo a los derechos fundamentales.</w:t>
      </w:r>
    </w:p>
    <w:p w:rsidR="008321E0" w:rsidRPr="00E72B02" w:rsidRDefault="008321E0" w:rsidP="004551E9">
      <w:r w:rsidRPr="00E72B02">
        <w:t>El segundo proceso es el de generalización, que consistirá en el progresivo ajuste entre las afirmaciones de que los derechos corresponden a todos los seres humanos, y una práctica restrictiva que circunscribía su disfrute a una clase social: la burguesía. La supuesta generalidad de los destinatarios titulares de los derechos no se correspondía con la realidad.  El derecho al sufragio, es un ejemplo de ello, del cual no todas las personas eran titulares (sufragio censitario: limitado a algunas categorías de ciudadanos por razones económicas –propietarios- o culturales –hombres y no mujeres-). Este desajuste será la base y la razón que explican el proceso de generalización.</w:t>
      </w:r>
    </w:p>
    <w:p w:rsidR="008321E0" w:rsidRPr="00E72B02" w:rsidRDefault="008321E0" w:rsidP="004551E9">
      <w:r w:rsidRPr="00E72B02">
        <w:t xml:space="preserve">El tercero es la internacionalización. En la actualidad, no cabe duda de que los derechos fundamentales tienen una dimensión internacional. Ello ha sido consecuencia de la existencia de un proceso de internacionalización de los </w:t>
      </w:r>
      <w:r w:rsidRPr="00E72B02">
        <w:lastRenderedPageBreak/>
        <w:t>derechos fundamentales, como resultado, entre otras causas, de la influencia de la realidad social, abierta cada vez en mayor medida y superadora de las fronteras nacionales en el ámbito económico, cultural, educativo, de las comunicaciones, etc.</w:t>
      </w:r>
    </w:p>
    <w:p w:rsidR="008321E0" w:rsidRPr="00E72B02" w:rsidRDefault="008321E0" w:rsidP="004551E9">
      <w:r w:rsidRPr="00E72B02">
        <w:t xml:space="preserve">Finalmente, el cuarto proceso se denomina de especificación. La especificación puede darse, tanto en relación con los titulares como en relación con los contenidos de los derechos. En lo que aquí nos interesa, los titulares de los derechos eran los genéricos hombres o ciudadanos, y la especificación es un avance que parte de la idea de considerar a los derechos más vinculados a las personas concretas de sus titulares. Así, se juzgan como relevantes algunas situaciones del genérico hombre o ciudadano, que exigen un tratamiento especial y que no se resuelven desde la norma general. Son circunstancias o situaciones cuya relevancia deriva, entre otras cuestiones, de una condición social o cultural de personas que se encuentran en situación de inferioridad en las relaciones sociales y que necesitan de una protección especial, una garantía o una promoción para superar la discriminación, el desequilibrio o la desigualdad. </w:t>
      </w:r>
    </w:p>
    <w:p w:rsidR="008321E0" w:rsidRPr="00E72B02" w:rsidRDefault="008321E0" w:rsidP="004551E9">
      <w:r w:rsidRPr="00E72B02">
        <w:t>Ahora bien,  la justificación de gran parte  de los derechos de las personas con discapacidad, alude en la mayoría de los casos al proceso de especificación de los derechos. Y este es un enfoque conceptual erróneo en la mayor parte de las circunstancias. El gran problema de las personas con discapacidad es que todavía no se les ha dado lugar en el proceso de generalización de los derechos.</w:t>
      </w:r>
      <w:r w:rsidRPr="00E72B02">
        <w:rPr>
          <w:rStyle w:val="Refdenotaalpie"/>
          <w:lang w:val="es-ES"/>
        </w:rPr>
        <w:footnoteReference w:id="41"/>
      </w:r>
      <w:r w:rsidRPr="00E72B02">
        <w:t xml:space="preserve"> Y la accesibilidad universal es el ejemplo paradigmático en este sentido. Generalmente, se plantea la necesidad de construir entornos accesibles como una necesidad específica de este grupo de personas, y ello es ciertamente equivocado. La accesibilidad universal es </w:t>
      </w:r>
      <w:r w:rsidRPr="00E72B02">
        <w:lastRenderedPageBreak/>
        <w:t xml:space="preserve">un requisito para el ejercicio de derechos de todas las personas, y es un derecho de todas las personas, solo que al construir el entorno, las comunicaciones (la sociedad en general) pensando en un tipo de persona, se deja afuera a otro grupo de otras personas, creando de este modo las necesidades especiales. De este modo, como se ha mencionado, las necesidades especiales en muchos casos son creaciones sociales y no circunstancias específicas de personas. </w:t>
      </w:r>
    </w:p>
    <w:p w:rsidR="008321E0" w:rsidRPr="00E72B02" w:rsidRDefault="008321E0" w:rsidP="004551E9">
      <w:r w:rsidRPr="00E72B02">
        <w:t>Esto último ha quedado claramente reflejado en la CDPD. Como será con mayor detenimiento más adelante, el objeto de la Convención no ha sido crear nuevos derechos, específicos, de las personas con discapacidad, sino “promover, proteger y asegurar el goce pleno y en condiciones de igualdad de todos los derechos humanos y libertades fundamentales por todas las personas con discapacidad, y promover el respeto de su dignidad inherente”.</w:t>
      </w:r>
      <w:r w:rsidRPr="00E72B02">
        <w:rPr>
          <w:rStyle w:val="Refdenotaalpie"/>
          <w:lang w:val="es-ES"/>
        </w:rPr>
        <w:footnoteReference w:id="42"/>
      </w:r>
      <w:r w:rsidRPr="00E72B02">
        <w:t xml:space="preserve"> Por tanto, dicho instrumento ha dejado plasmando que las necesidades de las personas con discapacidad no se satisfacen a partir de la creación de  nuevos derechos, sino asegurándoles la aplicación  del principio de no discriminación en cada uno de los derechos, para que puedan ser ejercidos en igualdad de oportunidades. Evidentemente, a dicho fin se debió identificar, a la hora de regular cada derecho, cuáles eran las necesidades extra que debían garantizarse, para lograr adaptar dichos derechos al contexto específico de la discapacidad, pero siempre desde la conciencia de que no se estaban creando nuevos derechos. De este modo, y en aplicación del principio de no discriminación, el objetivo fundamental de la Convención ha sido adaptar las normas pertinentes de los Tratados de derechos humanos existentes, al contexto específico de la discapacidad. Ello significa el establecimiento de los mecanismos para garantizar el ejercicio de dichos derechos por parte de las personas con discapacidad, pero de </w:t>
      </w:r>
      <w:r w:rsidRPr="00E72B02">
        <w:lastRenderedPageBreak/>
        <w:t>ningún modo implica la consideración de derechos específicos de este grupo de personas.</w:t>
      </w:r>
      <w:r w:rsidRPr="00E72B02">
        <w:rPr>
          <w:rStyle w:val="Refdenotaalpie"/>
          <w:lang w:val="es-ES"/>
        </w:rPr>
        <w:footnoteReference w:id="43"/>
      </w:r>
    </w:p>
    <w:p w:rsidR="00F2036A" w:rsidRPr="00E72B02" w:rsidRDefault="00F2036A" w:rsidP="004551E9">
      <w:r w:rsidRPr="00E72B02">
        <w:br w:type="page"/>
      </w:r>
    </w:p>
    <w:p w:rsidR="00F2036A" w:rsidRPr="00E72B02" w:rsidRDefault="00F2036A" w:rsidP="004551E9">
      <w:pPr>
        <w:rPr>
          <w:kern w:val="32"/>
          <w:sz w:val="28"/>
          <w:szCs w:val="28"/>
        </w:rPr>
      </w:pPr>
      <w:r w:rsidRPr="00E72B02">
        <w:lastRenderedPageBreak/>
        <w:br w:type="page"/>
      </w:r>
    </w:p>
    <w:p w:rsidR="00F2036A" w:rsidRPr="00887731" w:rsidRDefault="00887731" w:rsidP="00745BB8">
      <w:pPr>
        <w:pStyle w:val="TITULO8"/>
        <w:rPr>
          <w:sz w:val="28"/>
          <w:szCs w:val="28"/>
        </w:rPr>
      </w:pPr>
      <w:r w:rsidRPr="00887731">
        <w:rPr>
          <w:sz w:val="28"/>
          <w:szCs w:val="28"/>
        </w:rPr>
        <w:lastRenderedPageBreak/>
        <w:t>CAPÍTULO 2</w:t>
      </w:r>
    </w:p>
    <w:p w:rsidR="00F2036A" w:rsidRPr="00887731" w:rsidRDefault="00887731" w:rsidP="00745BB8">
      <w:pPr>
        <w:pStyle w:val="TITULO8"/>
        <w:rPr>
          <w:sz w:val="28"/>
          <w:szCs w:val="28"/>
        </w:rPr>
      </w:pPr>
      <w:r w:rsidRPr="00887731">
        <w:rPr>
          <w:sz w:val="28"/>
          <w:szCs w:val="28"/>
        </w:rPr>
        <w:t>EVOLUCIÓN DEL TRATAMIENTO DE LA DISCAPACIDAD EN EL DERECHO INTERNACIONAL: DEL MODELO MÉDICO AL MODELO SOCIAL</w:t>
      </w:r>
    </w:p>
    <w:p w:rsidR="00F2036A" w:rsidRPr="00E72B02" w:rsidRDefault="00887731" w:rsidP="00745BB8">
      <w:pPr>
        <w:pStyle w:val="TITULO8"/>
      </w:pPr>
      <w:r w:rsidRPr="00E72B02">
        <w:br w:type="page"/>
      </w:r>
    </w:p>
    <w:p w:rsidR="00F7053B" w:rsidRDefault="00F7053B" w:rsidP="004551E9">
      <w:r>
        <w:lastRenderedPageBreak/>
        <w:br w:type="page"/>
      </w:r>
    </w:p>
    <w:p w:rsidR="00F2036A" w:rsidRPr="00887731" w:rsidRDefault="00887731" w:rsidP="00314105">
      <w:pPr>
        <w:pStyle w:val="TITULO8"/>
        <w:jc w:val="both"/>
        <w:rPr>
          <w:sz w:val="24"/>
        </w:rPr>
      </w:pPr>
      <w:r w:rsidRPr="00887731">
        <w:rPr>
          <w:sz w:val="24"/>
        </w:rPr>
        <w:lastRenderedPageBreak/>
        <w:t>2.1 – LAS PRIMERAS DECLARACIONES: REFLEJO DEL MODELO MÉDICO ASISTENCIALISTA</w:t>
      </w:r>
    </w:p>
    <w:p w:rsidR="00F2036A" w:rsidRPr="00E72B02" w:rsidRDefault="00F2036A" w:rsidP="004551E9"/>
    <w:p w:rsidR="00F2036A" w:rsidRPr="00E72B02" w:rsidRDefault="00F2036A" w:rsidP="004551E9">
      <w:r w:rsidRPr="00E72B02">
        <w:t>Las primeras referencias a la discapacidad en los documentos emanados de los órganos de la ONU se remontan a los años cincuentas donde la AG y el Consejo Económico y Social (CES) aprobaron varias resoluciones relativas a la prevención y la rehabilitación de personas con discapacidad.</w:t>
      </w:r>
      <w:r w:rsidRPr="00E72B02">
        <w:rPr>
          <w:rStyle w:val="Refdenotaalpie"/>
          <w:lang w:val="es-ES"/>
        </w:rPr>
        <w:footnoteReference w:id="44"/>
      </w:r>
      <w:r w:rsidRPr="00E72B02">
        <w:t xml:space="preserve"> Consistente con la perspectiva de prevención y rehabilitación, la acción de la ONU se focalizó principalmente en la discapacidad física a través del apoyo a los gobiernos por medio de misiones de asesoramiento, talleres para la capacitación del personal técnico o el establecimiento de centros de rehabilitación. Estaba claro que la discapacidad debía ser abordada desde una perspectiva asistencialista y en el marco de los servicios sociales, muy alejado de la noción de derechos humanos. Por ello, y como consecuencia de las iniciativas provenientes de las propias comunidades de personas con discapacidad, los años sesentas se caracterizaron por una reevaluación de la política hacia el sector estableciendo las bases para la participación de las personas con discapacidad en la sociedad.</w:t>
      </w:r>
      <w:r w:rsidRPr="00E72B02">
        <w:rPr>
          <w:rStyle w:val="Refdenotaalpie"/>
          <w:lang w:val="es-ES"/>
        </w:rPr>
        <w:footnoteReference w:id="45"/>
      </w:r>
    </w:p>
    <w:p w:rsidR="00F2036A" w:rsidRPr="00E72B02" w:rsidRDefault="00F2036A" w:rsidP="004551E9">
      <w:r w:rsidRPr="00E72B02">
        <w:t xml:space="preserve">Hacia principios de los setentas, se adoptaron las primeras declaraciones y resoluciones temáticas sobre discapacidad, que evidencian “los primeros </w:t>
      </w:r>
      <w:r w:rsidRPr="00E72B02">
        <w:lastRenderedPageBreak/>
        <w:t>síntomas del paso de un criterio de «atención» a uno basado en derechos”.</w:t>
      </w:r>
      <w:r w:rsidRPr="00E72B02">
        <w:rPr>
          <w:rStyle w:val="Refdenotaalpie"/>
          <w:lang w:val="es-ES"/>
        </w:rPr>
        <w:footnoteReference w:id="46"/>
      </w:r>
      <w:r w:rsidRPr="00E72B02">
        <w:t xml:space="preserve"> En primer lugar la Declaración de los Derechos del Retrasado Mental en 1971,</w:t>
      </w:r>
      <w:r w:rsidRPr="00E72B02">
        <w:rPr>
          <w:rStyle w:val="Refdenotaalpie"/>
          <w:lang w:val="es-ES"/>
        </w:rPr>
        <w:footnoteReference w:id="47"/>
      </w:r>
      <w:r w:rsidRPr="00E72B02">
        <w:t xml:space="preserve"> estipula que las personas con retraso mental deben tener los mismos derechos de todos los seres humanos, al igual que deben gozar de derechos específicos a sus necesidades en los ámbitos médico, educativo y social. Asimismo la declaración hace especial énfasis en la necesidad de proteger a las personas con retraso mental de la explotación y el abuso para lo cual requiere de procedimientos jurídicos adecuados. Evidentemente esta declaración supuso, en su momento, un avance importante en el tratamiento jurídico de las personas con discapacidad y basta sólo ver en su título la noción de «derechos» como objetivo principal de la misma. No obstante, tanto en relación con la perspectiva de discapacidad recogida en la CDPD, como incluso en relación con la perspectiva más específica de capacidad jurídica estipulada en el artículo 12 de la CDDP, esta declaración posee varios enunciados problemáticos. En primer lugar el uso del concepto de «retrasado mental» que actualmente resulta simplemente inaceptable. En segundo lugar, a pesar de la perspectiva de derechos, la declaración, en su contenido, se encuentra impregnada de una clara concepción médico rehabilitadora de la discapacidad como puede evidenciarse en el preámbulo cuando establece “</w:t>
      </w:r>
      <w:r w:rsidRPr="00E72B02">
        <w:rPr>
          <w:i/>
        </w:rPr>
        <w:t>la necesidad de proteger los derechos de los física y mentalmente desfavorecidos y de asegurar su bienestar y su rehabilitación</w:t>
      </w:r>
      <w:r w:rsidRPr="00E72B02">
        <w:t>”. Pero en tercer y último lugar, la declaración adopta una perspectiva hacia la protección de las personas con discapacidad mental en el ejercicio de la capacidad jurídica totalmente opuesta a lo establecido en el artículo 12 de la CDPD. En clara</w:t>
      </w:r>
      <w:r w:rsidR="00B608B2" w:rsidRPr="00E72B02">
        <w:t>,</w:t>
      </w:r>
      <w:r w:rsidRPr="00E72B02">
        <w:t xml:space="preserve"> pero entendible consonancia con el modelo de protección </w:t>
      </w:r>
      <w:r w:rsidRPr="00E72B02">
        <w:lastRenderedPageBreak/>
        <w:t>sustitutiva en el ejercicio de la capacidad jurídica imperante el dicho momento histórico, la declaración establece en el punto 5, el derecho de las personas con discapacidad mental de contar con “</w:t>
      </w:r>
      <w:r w:rsidRPr="00E72B02">
        <w:rPr>
          <w:i/>
        </w:rPr>
        <w:t>la atención de un tutor calificado cuanto esto resulte indispensable para la protección de su persona y sus bienes</w:t>
      </w:r>
      <w:r w:rsidRPr="00E72B02">
        <w:t>”. Más aún, el punto 7 dispone que “</w:t>
      </w:r>
      <w:r w:rsidRPr="00E72B02">
        <w:rPr>
          <w:i/>
        </w:rPr>
        <w:t>si algunos retrasados mentales no son capaces, debido a la gravedad de su impedimento, de ejercer efectivamente todos sus derechos, o si se hace necesario limitar o incluso suprimir tales derechos, el procedimiento que se emplee a los fines de esa limitación o supresión deberá entrañar salvaguardas jurídicas que protejan al retrasado mental contra toda forma de abuso</w:t>
      </w:r>
      <w:r w:rsidRPr="00E72B02">
        <w:t>”. A todo ello, hay que sumar la idea subyacente en toda la declaración de que la persona con discapacidad mental debe gozar de sus derechos en igualdad de condiciones, pero sólo en la medida de sus posibilidades y supeditado a la gravedad o no del “retraso mental”. Como elemento destacable se puede mencionar que la declaración establece que el procedimiento de limitación de la capacidad jurídica deberá evaluarse por expertos sobre la base de un criterio de «capacidad social» así como establece la obligación de revisar dicha evaluación de forma periódica y con acceso a apelaciones judiciales. El segundo de los documentos aludidos es la Declaración de los Derechos de los Impedidos de 1975.</w:t>
      </w:r>
      <w:r w:rsidRPr="00E72B02">
        <w:rPr>
          <w:rStyle w:val="Refdenotaalpie"/>
          <w:lang w:val="es-ES"/>
        </w:rPr>
        <w:footnoteReference w:id="48"/>
      </w:r>
      <w:r w:rsidRPr="00E72B02">
        <w:t xml:space="preserve"> La Declaración fomenta la protección de los derechos de las personas con discapacidad tanto a nivel nacional como internacional, al tiempo que reconoce que las personas con discapacidad deben gozar de los mismos derechos políticos y civiles que los demás, incluyendo medidas que les permitan la autonomía personal. Asimismo, la Declaración reafirma los derechos de las personas con discapacidad a la educación, a la atención sanitaria y a servicios de colocación, el derecho a la seguridad económica y social, al empleo, a vivir </w:t>
      </w:r>
      <w:r w:rsidRPr="00E72B02">
        <w:lastRenderedPageBreak/>
        <w:t>con sus familias, a participar en acontecimientos sociales y creativos, a recibir protección frente a cualquier tipo de explotación, abuso o trato degradante y a disponer de ayuda legal.</w:t>
      </w:r>
      <w:r w:rsidRPr="00E72B02">
        <w:rPr>
          <w:rStyle w:val="Refdenotaalpie"/>
          <w:lang w:val="es-ES"/>
        </w:rPr>
        <w:footnoteReference w:id="49"/>
      </w:r>
      <w:r w:rsidRPr="00E72B02">
        <w:t xml:space="preserve"> Más allá de la importancia de este documento en su contexto histórico y social, es posible detectar evidentes resabios del modelo médico-asistencialista. En primer lugar, la propia definición del término «impedido» que, según la Declaración, “</w:t>
      </w:r>
      <w:r w:rsidRPr="00E72B02">
        <w:rPr>
          <w:i/>
        </w:rPr>
        <w:t>designa a toda persona incapacitada de subvenir por sí misma, en su totalidad o en parte, a las necesidades de una vida individual o social normal a consecuencia de una deficiencia, congénita o no, de sus facultades físicas o mentales</w:t>
      </w:r>
      <w:r w:rsidRPr="00E72B02">
        <w:t>”. Esta definición contiene todos los elementos que caracterizan al modelo médico, es decir, el elemento de impedimento o incapacidad personal para realizar actividades individuales y sociales, el elemento de normalidad, y finalmente el elemento que vincula dichas incapacidades a la existencia de una discapacidad. También merece un comentario crítico el punto 9 de la Declaración cuando establece que: “…</w:t>
      </w:r>
      <w:r w:rsidRPr="00E72B02">
        <w:rPr>
          <w:i/>
        </w:rPr>
        <w:t>el impedido tiene derecho a vivir en el seno de su familia o de un hogar que la substituya y a participar en todas las actividades sociales, creadoras o recreativas. Ningún impedido podrá ser obligado, en materia de residencia, a un trato distinto del que exija su estado o la mejoría que se le podría aportar. Si fuese indispensable la permanencia del impedido en un establecimiento especializado, el medio y las condiciones de vida en él deberán asemejarse lo más posible a los de la vida normal de las personas de su edad</w:t>
      </w:r>
      <w:r w:rsidRPr="00E72B02">
        <w:t>”. Aunque no de un modo expreso, la Declaración parece asumir, no sólo como posible</w:t>
      </w:r>
      <w:r w:rsidR="00B608B2" w:rsidRPr="00E72B02">
        <w:t>,</w:t>
      </w:r>
      <w:r w:rsidRPr="00E72B02">
        <w:t xml:space="preserve"> sino inclusive como algo natural, la institucionalización de personas con discapacidad como medio de procurar el acceso a la realización de sus </w:t>
      </w:r>
      <w:r w:rsidRPr="00E72B02">
        <w:lastRenderedPageBreak/>
        <w:t xml:space="preserve">derechos. Esta perspectiva, como se verá más adelante, se encuentra fuertemente cuestionada en la CDPD. </w:t>
      </w:r>
    </w:p>
    <w:p w:rsidR="00F2036A" w:rsidRPr="00E72B02" w:rsidRDefault="00F2036A" w:rsidP="004551E9">
      <w:r w:rsidRPr="00E72B02">
        <w:t>En definitiva, aunque estas declaraciones marcan el cambio hacia la consideración de las personas con discapacidad como «sujetos» de derechos, los cierto es que “</w:t>
      </w:r>
      <w:r w:rsidRPr="00E72B02">
        <w:rPr>
          <w:i/>
        </w:rPr>
        <w:t>estos instrumentos tempranos aún reflejan la noción de discapacidad que se encuadra en el modelo médico, en virtud del cual las personas con discapacidad son vistas principalmente como individuos con problemas médicos, dependientes de la ayuda o los beneficios sociales, y con la necesidad de ser segregados en instituciones y en la provisión de servicios</w:t>
      </w:r>
      <w:r w:rsidRPr="00E72B02">
        <w:t>”.</w:t>
      </w:r>
      <w:r w:rsidRPr="00E72B02">
        <w:rPr>
          <w:rStyle w:val="Refdenotaalpie"/>
          <w:lang w:val="es-ES"/>
        </w:rPr>
        <w:footnoteReference w:id="50"/>
      </w:r>
      <w:r w:rsidRPr="00E72B02">
        <w:t xml:space="preserve"> </w:t>
      </w:r>
    </w:p>
    <w:p w:rsidR="00F2036A" w:rsidRPr="00E72B02" w:rsidRDefault="00F2036A" w:rsidP="004551E9"/>
    <w:p w:rsidR="00F2036A" w:rsidRPr="00887731" w:rsidRDefault="00887731" w:rsidP="004650F8">
      <w:pPr>
        <w:pStyle w:val="TITULO8"/>
        <w:jc w:val="both"/>
        <w:rPr>
          <w:sz w:val="24"/>
        </w:rPr>
      </w:pPr>
      <w:r w:rsidRPr="00887731">
        <w:rPr>
          <w:sz w:val="24"/>
        </w:rPr>
        <w:t>2.2 – LA APARICIÓN DEL MODELO DE DERECHOS EN LOS AÑOS OCHENTA</w:t>
      </w:r>
    </w:p>
    <w:p w:rsidR="00F2036A" w:rsidRPr="00E72B02" w:rsidRDefault="00F2036A" w:rsidP="004551E9"/>
    <w:p w:rsidR="00F2036A" w:rsidRPr="00E72B02" w:rsidRDefault="00F2036A" w:rsidP="004551E9">
      <w:r w:rsidRPr="00E72B02">
        <w:t>Como señalan QUINN &amp; DEGENER “los años ochenta marcaron el paso irreversible del modelo de «atención» al modelo de «derechos»”. Desde una perspectiva normativa dicho cambio se reflejó a través de la designación del año 1981 como el «Año Internacional de los Impedidos»,</w:t>
      </w:r>
      <w:r w:rsidRPr="00E72B02">
        <w:rPr>
          <w:rStyle w:val="Refdenotaalpie"/>
          <w:lang w:val="es-ES"/>
        </w:rPr>
        <w:footnoteReference w:id="51"/>
      </w:r>
      <w:r w:rsidRPr="00E72B02">
        <w:t xml:space="preserve"> y como consecuencia de ello, en el establecimiento del «Decenio de las Naciones Unidas para los Impedidos». </w:t>
      </w:r>
    </w:p>
    <w:p w:rsidR="00F2036A" w:rsidRPr="00E72B02" w:rsidRDefault="00F2036A" w:rsidP="004551E9">
      <w:r w:rsidRPr="00E72B02">
        <w:t>La designación de Año Internacional de los Impedidos lleva como tema «participación plena» y se propone la realización de una serie de objetivos.</w:t>
      </w:r>
      <w:r w:rsidRPr="00E72B02">
        <w:rPr>
          <w:rStyle w:val="Refdenotaalpie"/>
          <w:lang w:val="es-ES"/>
        </w:rPr>
        <w:footnoteReference w:id="52"/>
      </w:r>
      <w:r w:rsidRPr="00E72B02">
        <w:t xml:space="preserve"> </w:t>
      </w:r>
      <w:r w:rsidRPr="00E72B02">
        <w:lastRenderedPageBreak/>
        <w:t>Aún en esta resolución, es posible identificar claramente los resabios del modelo médico, no sólo mediante el uso de concepto de «impedido», sino también mediante la utilización de conceptos tales como «integración» o «rehabilitación». No obstante, y a partir de ello, la ONU inicia una intensa agenda de trabajo reflejada en una serie de resoluciones e informes</w:t>
      </w:r>
      <w:r w:rsidRPr="00E72B02">
        <w:rPr>
          <w:rStyle w:val="Refdenotaalpie"/>
          <w:lang w:val="es-ES"/>
        </w:rPr>
        <w:footnoteReference w:id="53"/>
      </w:r>
      <w:r w:rsidRPr="00E72B02">
        <w:t xml:space="preserve"> que finalizan con la proclama del período 1983-1992 como el «Decenio de las Naciones Unidas sobre los Impedidos» y con la aprobación del «Programa de Acción Mundial para los Impedidos» presentado por el Comité Asesor para el Año International de los Impedidos.</w:t>
      </w:r>
      <w:r w:rsidRPr="00E72B02">
        <w:rPr>
          <w:rStyle w:val="Refdenotaalpie"/>
          <w:lang w:val="es-ES"/>
        </w:rPr>
        <w:footnoteReference w:id="54"/>
      </w:r>
      <w:r w:rsidRPr="00E72B02">
        <w:t xml:space="preserve"> </w:t>
      </w:r>
    </w:p>
    <w:p w:rsidR="00F2036A" w:rsidRPr="00E72B02" w:rsidRDefault="00F2036A" w:rsidP="004551E9">
      <w:r w:rsidRPr="00E72B02">
        <w:t xml:space="preserve">El Programa de Acción Mundial queda configurado como una estrategia global para mejorar la prevención de la discapacidad, la rehabilitación y la igualdad de oportunidades, buscando la plena participación de las personas con discapacidad en la vida social y el desarrollo nacional. En sus tres capítulos se analizan las definiciones, los conceptos y los principios relativos a la discapacidad; se examina la situación mundial de las personas con discapacidad; y se formulan recomendaciones para la adopción de medidas a nivel nacional, regional e internacional. En el Programa también se subraya la necesidad de abordar la discapacidad desde una perspectiva de derechos humanos. La «igualdad de oportunidades» es el tema central del Programa y la filosofía en la que se sustenta para alcanzar la plena participación de las personas con discapacidad en todos los aspectos de la </w:t>
      </w:r>
      <w:r w:rsidRPr="00E72B02">
        <w:lastRenderedPageBreak/>
        <w:t>vida social y económica.</w:t>
      </w:r>
      <w:r w:rsidRPr="00E72B02">
        <w:rPr>
          <w:rStyle w:val="Refdenotaalpie"/>
          <w:lang w:val="es-ES"/>
        </w:rPr>
        <w:footnoteReference w:id="55"/>
      </w:r>
      <w:r w:rsidRPr="00E72B02">
        <w:t xml:space="preserve"> El programa no escapa de dedicar importantes esfuerzos a la «prevención y rehabilitación» de la discapacidad, al mismo tiempo que asimila las definiciones de deficiencia, discapacidad y minusvalía propuestas por la Organización Mundial de la Salud (OMS) en 1980.</w:t>
      </w:r>
      <w:r w:rsidRPr="00E72B02">
        <w:rPr>
          <w:rStyle w:val="Refdenotaalpie"/>
          <w:lang w:val="es-ES"/>
        </w:rPr>
        <w:footnoteReference w:id="56"/>
      </w:r>
      <w:r w:rsidRPr="00E72B02">
        <w:t xml:space="preserve"> No obstante, el Programa claramente centra sus acciones hacia la consecución de la igualdad real de derechos mediante la identificación de medidas específicas que aseguren la igualdad de oportunidades. Ello marca la inauguraron una nueva era —una era en la que se trataría de definir la discapacidad como la relación entre las personas con discapacidad y su entorno, donde se reconocería más claramente el imperativo de eliminar los obstáculos sociales que impiden la plena participación de las personas con discapacidad en igualdad de condiciones.</w:t>
      </w:r>
      <w:r w:rsidRPr="00E72B02">
        <w:rPr>
          <w:rStyle w:val="Refdenotaalpie"/>
          <w:lang w:val="es-ES"/>
        </w:rPr>
        <w:footnoteReference w:id="57"/>
      </w:r>
      <w:r w:rsidRPr="00E72B02">
        <w:t xml:space="preserve"> El Plan asimismo establece un mecanismo de revisión y evaluación que ha supuesto la generación de múltiples resoluciones</w:t>
      </w:r>
      <w:r w:rsidRPr="00E72B02">
        <w:rPr>
          <w:rStyle w:val="Refdenotaalpie"/>
          <w:lang w:val="es-ES"/>
        </w:rPr>
        <w:footnoteReference w:id="58"/>
      </w:r>
      <w:r w:rsidRPr="00E72B02">
        <w:t xml:space="preserve"> e informes.</w:t>
      </w:r>
      <w:r w:rsidRPr="00E72B02">
        <w:rPr>
          <w:rStyle w:val="Refdenotaalpie"/>
          <w:lang w:val="es-ES"/>
        </w:rPr>
        <w:footnoteReference w:id="59"/>
      </w:r>
      <w:r w:rsidRPr="00E72B02">
        <w:t xml:space="preserve"> </w:t>
      </w:r>
    </w:p>
    <w:p w:rsidR="00F2036A" w:rsidRPr="00E72B02" w:rsidRDefault="00F2036A" w:rsidP="004551E9">
      <w:r w:rsidRPr="00E72B02">
        <w:lastRenderedPageBreak/>
        <w:t>Paralelamente el desarrollo normativo que se comienza a percibir claramente en el marco de la AG y del CES, un órgano especializado</w:t>
      </w:r>
      <w:r w:rsidRPr="00E72B02">
        <w:rPr>
          <w:rStyle w:val="Refdenotaalpie"/>
          <w:lang w:val="es-ES"/>
        </w:rPr>
        <w:footnoteReference w:id="60"/>
      </w:r>
      <w:r w:rsidRPr="00E72B02">
        <w:t xml:space="preserve"> de la ONU como lo es la OMS emite en 1980 un documento que, pese a su carácter no vinculante, supone un enorme impacto en las legislaciones </w:t>
      </w:r>
      <w:r w:rsidRPr="00E72B02">
        <w:lastRenderedPageBreak/>
        <w:t>nacionales en materia de derechos de las personas con discapacidad, esto es, la Clasificación Internacional de Deficiencias, Discapacidades y Minusvalías (CIDDM) también conocida como CIF (Clasificación International del Funcionamiento).</w:t>
      </w:r>
      <w:r w:rsidRPr="00E72B02">
        <w:rPr>
          <w:rStyle w:val="Refdenotaalpie"/>
          <w:lang w:val="es-ES"/>
        </w:rPr>
        <w:footnoteReference w:id="61"/>
      </w:r>
      <w:r w:rsidRPr="00E72B02">
        <w:t xml:space="preserve"> La relación entre discapacidad y enfermedad que intenta poner en contexto la OMS a principios de los años 80s no es casual. Por lo contrario</w:t>
      </w:r>
      <w:r w:rsidR="001B5E3E" w:rsidRPr="00E72B02">
        <w:t>,</w:t>
      </w:r>
      <w:r w:rsidRPr="00E72B02">
        <w:t xml:space="preserve"> es el reflejo del modelo médico de discapacidad que aún se encuentra fuertemente enraizado tanto a nivel internacional como en los derechos domésticos. Por ello, lejos de generar una resistencia la CIF-1980 es ampliamente asimilada por los Estados que, principalmente por intermedio de sus ministerios de salud o de acción social, toman la clasificación propuesta por la OMS como criterio universal para la determinación de la existencia de una discapacidad, o dicho en otras palabras, para definir legalmente </w:t>
      </w:r>
      <w:r w:rsidR="001B5E3E" w:rsidRPr="00E72B02">
        <w:t>en</w:t>
      </w:r>
      <w:r w:rsidRPr="00E72B02">
        <w:t xml:space="preserve"> el ordenamiento interno, quién es y quien no es «persona con discapacidad».</w:t>
      </w:r>
    </w:p>
    <w:p w:rsidR="00F2036A" w:rsidRPr="00E72B02" w:rsidRDefault="00F2036A" w:rsidP="004551E9">
      <w:r w:rsidRPr="00E72B02">
        <w:t>En efecto, a través de la CIF-1980, la OMS intenta</w:t>
      </w:r>
      <w:r w:rsidR="001B5E3E" w:rsidRPr="00E72B02">
        <w:t>ba</w:t>
      </w:r>
      <w:r w:rsidRPr="00E72B02">
        <w:t xml:space="preserve"> elaborar una clasificación que sirv</w:t>
      </w:r>
      <w:r w:rsidR="001B5E3E" w:rsidRPr="00E72B02">
        <w:t>iera</w:t>
      </w:r>
      <w:r w:rsidRPr="00E72B02">
        <w:t xml:space="preserve"> como complemento de su Clasificación Internacional de Enfermedades (CIE-10) de cara a poder establecer un catálogo de las consecuencias de la enfermedad, más allá de la mera recopilación de cuáles son las causas de la misma.</w:t>
      </w:r>
      <w:r w:rsidRPr="00E72B02">
        <w:rPr>
          <w:rStyle w:val="Refdenotaalpie"/>
          <w:lang w:val="es-ES"/>
        </w:rPr>
        <w:footnoteReference w:id="62"/>
      </w:r>
      <w:r w:rsidRPr="00E72B02">
        <w:t xml:space="preserve"> Por ello, como se verá a continuación, la CIF-1980 no logra apartar del centro de la cuestión el aspecto médico-individual de la persona. </w:t>
      </w:r>
    </w:p>
    <w:p w:rsidR="00F2036A" w:rsidRPr="00E72B02" w:rsidRDefault="00F2036A" w:rsidP="004551E9">
      <w:r w:rsidRPr="00E72B02">
        <w:rPr>
          <w:noProof/>
        </w:rPr>
        <w:lastRenderedPageBreak/>
        <w:t xml:space="preserve">Según la CIF-1980, por </w:t>
      </w:r>
      <w:r w:rsidRPr="00E72B02">
        <w:rPr>
          <w:i/>
          <w:noProof/>
        </w:rPr>
        <w:t xml:space="preserve">deficiencia </w:t>
      </w:r>
      <w:r w:rsidRPr="00E72B02">
        <w:rPr>
          <w:noProof/>
        </w:rPr>
        <w:t xml:space="preserve">se entiende cualquier pérdida o anormalidad permanente o transitoria –psicológica, fisiológica o anatómica- de estructura o de función, por </w:t>
      </w:r>
      <w:r w:rsidRPr="00E72B02">
        <w:rPr>
          <w:i/>
          <w:noProof/>
        </w:rPr>
        <w:t xml:space="preserve">discapacidad </w:t>
      </w:r>
      <w:r w:rsidRPr="00E72B02">
        <w:rPr>
          <w:noProof/>
        </w:rPr>
        <w:t xml:space="preserve">se entiende una restricción o impedimento del funcionamiento de una actividad, ocasionados por una deficiencia, en la forma o dentro del ámbito considerado normal para un ser humano, y por </w:t>
      </w:r>
      <w:r w:rsidRPr="00E72B02">
        <w:rPr>
          <w:i/>
          <w:noProof/>
        </w:rPr>
        <w:t>minusvalía</w:t>
      </w:r>
      <w:r w:rsidRPr="00E72B02">
        <w:rPr>
          <w:noProof/>
        </w:rPr>
        <w:t xml:space="preserve"> la incapacidad que se traduce en una desventaja para una persona, en cuanto limita o impide el cumplimiento de una función que se es considerada común para</w:t>
      </w:r>
      <w:r w:rsidRPr="00E72B02">
        <w:rPr>
          <w:b/>
          <w:noProof/>
        </w:rPr>
        <w:t xml:space="preserve"> </w:t>
      </w:r>
      <w:r w:rsidRPr="00E72B02">
        <w:rPr>
          <w:noProof/>
        </w:rPr>
        <w:t>esa persona según la edad, el sexo, y los factores sociales y culturales.</w:t>
      </w:r>
    </w:p>
    <w:p w:rsidR="00F2036A" w:rsidRPr="00E72B02" w:rsidRDefault="00F2036A" w:rsidP="004551E9">
      <w:r w:rsidRPr="00E72B02">
        <w:rPr>
          <w:noProof/>
        </w:rPr>
        <w:t>Cabe destacar que esta primera Clasificación Internacional encontró aprobación inmediata entre muchos científicos sociales, pero provocó considerables críticas provenientes de organizaciones de personas con discapacidad, por considerarse que la misma se mantenía cerca de las clasificaciones médicas de la enfermedad-discapacidad-minusvalía.</w:t>
      </w:r>
      <w:r w:rsidRPr="00E72B02">
        <w:t xml:space="preserve"> Ello debido a que se conserva la noción de deficiencia como anormalidad en una función, discapacidad como la incapacidad de realizar una actividad considerada normal para los seres humanos, y minusvalía como la incapacidad para desempeñar un rol social normal. El mayor problema que presenta este primer esquema de la OMS es que, si bien admite que la discapacidad tiene dimensiones sociales, no considera que la misma surja como consecuencia de causas sociales; sino que tanto la discapacidad como la minusvalía serían consecuencia directa de la deficiencia.</w:t>
      </w:r>
      <w:r w:rsidRPr="00E72B02">
        <w:rPr>
          <w:rStyle w:val="Refdenotaalpie"/>
          <w:noProof/>
          <w:lang w:val="es-ES"/>
        </w:rPr>
        <w:footnoteReference w:id="63"/>
      </w:r>
    </w:p>
    <w:p w:rsidR="00F2036A" w:rsidRPr="00E72B02" w:rsidRDefault="00F2036A" w:rsidP="004551E9">
      <w:pPr>
        <w:rPr>
          <w:noProof/>
        </w:rPr>
      </w:pPr>
      <w:r w:rsidRPr="00E72B02">
        <w:rPr>
          <w:noProof/>
        </w:rPr>
        <w:t xml:space="preserve">Hacia la finalización del Decenio de las Naciones Unidas para los Impedidos a fines de los 80s y principios de los 90s, la AG aprobó dos resoluciones específicas que merecen ser brevemente analizadas. La primera </w:t>
      </w:r>
      <w:r w:rsidRPr="00E72B02">
        <w:rPr>
          <w:noProof/>
        </w:rPr>
        <w:lastRenderedPageBreak/>
        <w:t>de ellas es las «Directrices de Tallin para el desarrollo de los recursos humanos en la esfera de los impedidos»</w:t>
      </w:r>
      <w:r w:rsidRPr="00E72B02">
        <w:rPr>
          <w:rStyle w:val="Refdenotaalpie"/>
          <w:noProof/>
          <w:lang w:val="es-ES"/>
        </w:rPr>
        <w:footnoteReference w:id="64"/>
      </w:r>
      <w:r w:rsidRPr="00E72B02">
        <w:rPr>
          <w:noProof/>
        </w:rPr>
        <w:t xml:space="preserve"> que de conformidad de su aparado 8 establece que “…</w:t>
      </w:r>
      <w:r w:rsidRPr="00E72B02">
        <w:rPr>
          <w:i/>
          <w:noProof/>
        </w:rPr>
        <w:t>las personas con impedimentos son agentes de sus propio destino y no seres necesitados de protección, y es preciso que los gobiernos y las organizaciones incorporen dicho enfoque en sus políticas y programas, lo que significa que los impedidos, a título personal o como miembros de organizaciónes, deben participar en condiciones de igualdad en el proceso de adopción de desiciones</w:t>
      </w:r>
      <w:r w:rsidRPr="00E72B02">
        <w:rPr>
          <w:noProof/>
        </w:rPr>
        <w:t>…”.La segunda de las resoluciones aludidas es los «Principios para la protección de los enfermos mentales y para el mejoramiento de la atención de la salud mental»</w:t>
      </w:r>
      <w:r w:rsidRPr="00E72B02">
        <w:rPr>
          <w:rStyle w:val="Refdenotaalpie"/>
          <w:noProof/>
          <w:lang w:val="es-ES"/>
        </w:rPr>
        <w:footnoteReference w:id="65"/>
      </w:r>
      <w:r w:rsidRPr="00E72B02">
        <w:rPr>
          <w:noProof/>
        </w:rPr>
        <w:t xml:space="preserve"> que, hasta la reciente adopción de la CDPD, ha constitutído el principal instrumento internacional de referencia en materia de derechos de las personas con discapacidad mental. Estos 25 principios definen los derechos y las libertades fundamentales. Tratan, entre otros aspectos, el derecho a la vida en la comunidad, la determinación de la enfermedad mental, las provisiones para la admisión en un centro de tratamiento y las condiciones que han de reunir los centros de salud mental. Sirven como guía para los Gobiernos, los organismos especializados y las organizaciones regionales e internacionales, pues les facilitan la investigación de los problemas relacionados con el respeto de los derechos humanos y las libertades fundamentales de los enfermos mentales. Sin perjuicio de su gran valor histórico, los Principios recogen proclamas que, desde la perspectiva del modelo social, y más concretamente desde el contenido normativo de la CDPD, pueden resultar inconsistentes o incluso, frontalmente opuestos. Por ejemplo, el apartado 6 del principio 1 parece avalar el hecho que las personas con enfermedad </w:t>
      </w:r>
      <w:r w:rsidRPr="00E72B02">
        <w:rPr>
          <w:noProof/>
        </w:rPr>
        <w:lastRenderedPageBreak/>
        <w:t>mental carecen de capacidad jurídica, lo que contradice lo estipulado en el artículo 12.2 de la CDPD. No obstante, los aspectos específicos relativos a la capacidad jurídica recogidos en estos Principios, será abordados en detalle en el capítulo</w:t>
      </w:r>
      <w:r w:rsidR="00F717E4" w:rsidRPr="00E72B02">
        <w:rPr>
          <w:noProof/>
        </w:rPr>
        <w:t xml:space="preserve"> sexto</w:t>
      </w:r>
      <w:r w:rsidRPr="00E72B02">
        <w:rPr>
          <w:noProof/>
        </w:rPr>
        <w:t xml:space="preserve">. </w:t>
      </w:r>
    </w:p>
    <w:p w:rsidR="00F2036A" w:rsidRPr="00E72B02" w:rsidRDefault="00933B4B" w:rsidP="004551E9">
      <w:r w:rsidRPr="00E72B02">
        <w:t xml:space="preserve">   </w:t>
      </w:r>
    </w:p>
    <w:p w:rsidR="00F2036A" w:rsidRPr="00887731" w:rsidRDefault="00933B4B" w:rsidP="00CC55D1">
      <w:pPr>
        <w:pStyle w:val="TITULO8"/>
        <w:jc w:val="both"/>
        <w:rPr>
          <w:bCs/>
          <w:sz w:val="24"/>
        </w:rPr>
      </w:pPr>
      <w:r w:rsidRPr="00887731">
        <w:rPr>
          <w:bCs/>
          <w:sz w:val="24"/>
        </w:rPr>
        <w:t>2.3 – EL GRAN PASO HACIA LA PERSPECTIVA DE LOS DERECHOS HUMANOS: LA NORMAS UNIFORMES</w:t>
      </w:r>
    </w:p>
    <w:p w:rsidR="00F2036A" w:rsidRPr="00E72B02" w:rsidRDefault="00F2036A" w:rsidP="004551E9"/>
    <w:p w:rsidR="00F2036A" w:rsidRPr="00E72B02" w:rsidRDefault="00F2036A" w:rsidP="004551E9">
      <w:r w:rsidRPr="00E72B02">
        <w:t>Seguramente uno de los principales logros del Decenio de las Naciones Unidas para los Impedidos fue la aprobación por las Normas Uniformes sobre la igualdad de oportunidades para las personas con discapacidad.</w:t>
      </w:r>
      <w:r w:rsidRPr="00E72B02">
        <w:rPr>
          <w:rStyle w:val="Refdenotaalpie"/>
          <w:lang w:val="es-ES"/>
        </w:rPr>
        <w:footnoteReference w:id="66"/>
      </w:r>
      <w:r w:rsidRPr="00E72B02">
        <w:t xml:space="preserve"> A pesar de tratarse de un instrumento jurídicamente no vinculante, las Normas Uniformes representan el firme compromiso moral y político de los gobiernos respecto de la adopción de medidas encaminadas a lograr la igualdad de oportunidades para las personas con discapacidad. Las Normas Uniformes son 22, y consisten en puntos de vistas concernientes a las responsabilidades de los Estados, directrices sobre políticas en materia de discapacidad, y propuestas de acciones concretas.</w:t>
      </w:r>
      <w:r w:rsidRPr="00E72B02">
        <w:rPr>
          <w:rStyle w:val="Refdenotaalpie"/>
          <w:lang w:val="es-ES"/>
        </w:rPr>
        <w:footnoteReference w:id="67"/>
      </w:r>
    </w:p>
    <w:p w:rsidR="00F2036A" w:rsidRPr="00E72B02" w:rsidRDefault="00F2036A" w:rsidP="004551E9">
      <w:r w:rsidRPr="00E72B02">
        <w:t xml:space="preserve">Las Normas Uniformes se encuentran basadas en el principio de que todos los ciudadanos poseen igual dignidad y, en consecuencia, son titulares de los mismos derechos. Por ello es que recae sobre la sociedad la obligación de garantizar que los recursos sean distribuidos de manera equitativa. Las Normas Uniformes también se basan en lo que se denomina el concepto de discapacidad relacionada con el entorno. Esto implica que una discapacidad </w:t>
      </w:r>
      <w:r w:rsidRPr="00E72B02">
        <w:lastRenderedPageBreak/>
        <w:t>puede ser originada por la interacción de las personas con discapacidad y sus entornos. Las causas pueden ser deficiencias del entorno físico, o la brecha existente entre el servicio que ofrece la sociedad y las necesidades reales de las personas con discapacidad. Por lo tanto, no es el individuo el que debe ser adaptado y remodelado para encajar en la sociedad, sino que es la sociedad la que debe ser diseñada de modo tal que todos los ciudadanos tengan las mismas oportunidades.</w:t>
      </w:r>
      <w:r w:rsidRPr="00E72B02">
        <w:rPr>
          <w:rStyle w:val="Refdenotaalpie"/>
          <w:lang w:val="es-ES"/>
        </w:rPr>
        <w:footnoteReference w:id="68"/>
      </w:r>
    </w:p>
    <w:p w:rsidR="00F2036A" w:rsidRPr="00E72B02" w:rsidRDefault="00F2036A" w:rsidP="004551E9">
      <w:r w:rsidRPr="00E72B02">
        <w:t xml:space="preserve">Las 22 Normas Uniformes se encuentran divididas dentro de tres grupos: </w:t>
      </w:r>
    </w:p>
    <w:p w:rsidR="00F2036A" w:rsidRPr="00E72B02" w:rsidRDefault="00F2036A" w:rsidP="004551E9">
      <w:r w:rsidRPr="00E72B02">
        <w:rPr>
          <w:i/>
        </w:rPr>
        <w:t>Condiciones Previas</w:t>
      </w:r>
      <w:r w:rsidRPr="00E72B02">
        <w:t xml:space="preserve">. El primer grupo de normas, que aborda las condiciones previas para una participación en pie de igualdad, está compuesto por cuatro normas. Comienza resaltando la importancia de una mayor toma de conciencia (Norma 1) en todas las esferas de la sociedad acerca de las necesidades, derechos y posibilidades de las personas con discapacidad. Asimismo, se establece que debe existir una buena atención médica (Norma 2) y buena rehabilitación (Norma 3) suministrada en el momento oportuno. La sociedad ha de poder ofrecer servicios de apoyo (Norma 4) y servicios auxiliares técnicos adecuados para las necesidades de cada individuo. </w:t>
      </w:r>
    </w:p>
    <w:p w:rsidR="00F2036A" w:rsidRPr="00E72B02" w:rsidRDefault="00F2036A" w:rsidP="004551E9">
      <w:r w:rsidRPr="00E72B02">
        <w:rPr>
          <w:i/>
        </w:rPr>
        <w:t>Objetivos por áreas</w:t>
      </w:r>
      <w:r w:rsidRPr="00E72B02">
        <w:t xml:space="preserve">. El segundo grupo de Normas describe las responsabilidades de la sociedad respecto de los objetivos en ocho áreas fundamentales. En primer lugar, se aborda la cuestión de la accesibilidad (Norma 5). Si la sociedad ha de basarse en la igualdad, debe por lo tanto ser accesible para todos. Esto se aplica al entorno físico, como también al acceso a la información y a la comunicación entre las personas. Todos los niños y jóvenes deben, de acuerdo a sus aptitudes, recibir una educación equivalente (Norma 6). Las personas con discapacidad deben, asimismo, </w:t>
      </w:r>
      <w:r w:rsidRPr="00E72B02">
        <w:lastRenderedPageBreak/>
        <w:t>encontrarse en situación de obtener un empleo (Norma 7) en las mismas condiciones que las demás personas. La sociedad debe encargarse de garantizar que las personas con discapacidad tengan un suficiente mantenimiento de los ingresos y seguridad social (Norma 8) aún cuando la naturaleza de su discapacidad limite o excluya las oportunidades de realizar un trabajo remunerado. Todos tienen los mismos derechos a la vida en familia e integridad personal (Norma 9) por lo que las personas con discapacidad no deben ser discriminadas en temas relacionados con las relaciones sexuales, el matrimonio o la procreación. Las personas con discapacidad también han de poder beneficiarse de la cultura (Norma 10) ya sea en calidad de destinatarios, como desde un rol de participación activa. Lo mismo en cuanto a  las actividades recreativas y deportivas (Norma 11) tanto de las realizadas a puertas cerradas como las realizadas al aire libre. Las iglesias y asambleas religiosas deben ser accesibles, a fin de que las personas con discapacidad puedan practicar libremente su religión (Norma 12).</w:t>
      </w:r>
    </w:p>
    <w:p w:rsidR="00F2036A" w:rsidRPr="00E72B02" w:rsidRDefault="00F2036A" w:rsidP="004551E9">
      <w:r w:rsidRPr="00E72B02">
        <w:rPr>
          <w:i/>
        </w:rPr>
        <w:t>Implementación</w:t>
      </w:r>
      <w:r w:rsidRPr="00E72B02">
        <w:t xml:space="preserve">. El último grupo contiene diez normas. A través de la información e investigación (Norma 13) la sociedad ha de ampliar el conocimiento relacionado con las necesidades de las personas con discapacidad, y de este modo desplegar los cimientos de cuestiones normativas y de planificación coherentes (Norma 14) incluyendo aspectos de discapacidad en cada contexto. La Legislación (Norma 15) debe brindar a las personas con discapacidad una base legal de participación e igualdad; y las políticas económicas (Norma 16) deberán ser enmarcadas de modo tal que las cuestiones de discapacidad se encuentren incluidas como parte natural de los presupuestos ordinarios. La coordinación de los trabajos (Norma 17) debe garantizar que los recursos de la sociedad sean utilizados de manera eficiente. La importancia de que la sociedad utilice el conocimiento de las organizaciones de personas con discapacidad (Norma 18) es un tema primordial de las Normas Uniformes. La (Norma 18) define el papel que pueden jugar las organizaciones como consultoras en la </w:t>
      </w:r>
      <w:r w:rsidRPr="00E72B02">
        <w:lastRenderedPageBreak/>
        <w:t>planificación, implementación y evaluación de las medidas concernientes a las vidas de las personas con discapacidad. Además, todas las categorías del personal que se encuentren involucradas deben recibir continuamente capacitación (Norma 19) de modo de brindarles conocimiento acerca de las necesidades, derechos y posibilidades de las personas con discapacidad. Debe ser realizada continuamente una supervisión y evaluación de los programas (Norma 20) a fin de que los propósitos de las Normas Uniformes puedan ser gradualmente  alcanzados. A través de la cooperación técnica y económica (Norma 21) los miembros de las Naciones Unidas pueden ayudar a mejorar las condiciones de vida de las personas con discapacidad en los países en desarrollo, y apoyar la tarea de formar organizaciones de personas con discapacidad. Asimismo, los aspectos de la discapacidad deben ser un componente natural de la cooperación internacional (Norma 22).</w:t>
      </w:r>
    </w:p>
    <w:p w:rsidR="00F2036A" w:rsidRPr="00E72B02" w:rsidRDefault="00F2036A" w:rsidP="004551E9">
      <w:r w:rsidRPr="00E72B02">
        <w:rPr>
          <w:i/>
        </w:rPr>
        <w:t>Aplicación de las Normas Uniformes</w:t>
      </w:r>
      <w:r w:rsidRPr="00E72B02">
        <w:t>. Las Normas Uniformes no son legalmente vinculantes, sino que constituyen un compromiso político y moral acordado por los miembros de la comunidad internacional. El término “Estados” al comienzo de cada Norma Uniforme no debe ser interpretado en el sentido de que las Normas se aplican únicamente a nivel gubernamental y nacional de la sociedad. Las Normas Uniformes pueden ser utilizadas como directrices para la adopción de medidas sobre políticas en materia de discapacidad en todos los niveles de la sociedad, tanto nacional como local, pero también en empresas privadas, organizaciones y entidades similares.</w:t>
      </w:r>
    </w:p>
    <w:p w:rsidR="00F2036A" w:rsidRPr="00E72B02" w:rsidRDefault="00F2036A" w:rsidP="004551E9">
      <w:r w:rsidRPr="00E72B02">
        <w:t xml:space="preserve">No obstante, es preciso mencionar que, al momento de la adopción de las Normas Uniformes, los principales expertos ya reclaman de la comunidad internacional un instrumento vinculante sobre la materia, principalmente sobre la base de los pobres progresos alcanzados en virtud del Programa de </w:t>
      </w:r>
      <w:r w:rsidRPr="00E72B02">
        <w:lastRenderedPageBreak/>
        <w:t>Acción Mundial.</w:t>
      </w:r>
      <w:r w:rsidRPr="00E72B02">
        <w:rPr>
          <w:rStyle w:val="Refdenotaalpie"/>
          <w:lang w:val="es-ES"/>
        </w:rPr>
        <w:footnoteReference w:id="69"/>
      </w:r>
      <w:r w:rsidRPr="00E72B02">
        <w:t xml:space="preserve"> Para intentar contrarrestar su carácter no vinculante, las Normas Uniformes despliegan un mecanismo de supervisión periódica más propio de un tratado internacional de derechos humanos. Así se prevé el nombramiento de un Relator Especial encargado de supervisar la aplicación de las Normas. El Relator Especial presenta informes anuales a la Comisión de Desarrollo Social. En los informes figuran las conclusiones sobre la promoción y la supervisión de la aplicación de las Normas Uniformes y, en respuesta a la solicitud de la Comisión, se formulan recomendaciones acerca de su ulterior desarrollo. En el desempeño de sus funciones, el Relator Especial promueve el diálogo directo con los Estados miembros y con las organizaciones gubernamentales y los expertos locales, y solicita sus opiniones y comentarios sobre cualquier información que se proponga incluir en sus informes.</w:t>
      </w:r>
      <w:r w:rsidRPr="00E72B02">
        <w:rPr>
          <w:rStyle w:val="Refdenotaalpie"/>
          <w:lang w:val="es-ES"/>
        </w:rPr>
        <w:footnoteReference w:id="70"/>
      </w:r>
    </w:p>
    <w:p w:rsidR="00F2036A" w:rsidRPr="00E72B02" w:rsidRDefault="00F2036A" w:rsidP="004551E9">
      <w:r w:rsidRPr="00E72B02">
        <w:lastRenderedPageBreak/>
        <w:t>Con la irrupción del modelo de derechos humanos en el ámbito internacional, se hacía necesaria la revisión algunos instrumentos desfasados y en aparente colisión con la filosofía de los valores que sustentan a los mismos. Así en el año 2001 la OMS aprueba una revisión a la CIF-1980 a través de Clasificación Internacional del Funcionamiento, la Discapacidad y la Salud (CIFDS) –CIF-2001.</w:t>
      </w:r>
      <w:r w:rsidRPr="00E72B02">
        <w:rPr>
          <w:rStyle w:val="Refdenotaalpie"/>
          <w:lang w:val="es-ES"/>
        </w:rPr>
        <w:footnoteReference w:id="71"/>
      </w:r>
      <w:r w:rsidRPr="00E72B02">
        <w:t xml:space="preserve"> El principal objetivo de la CIF-2001 es brindar un lenguaje unificado y estandarizado, y un marco conceptual para la descripción de la salud y los estados “relacionados con la salud”.</w:t>
      </w:r>
      <w:r w:rsidRPr="00E72B02">
        <w:rPr>
          <w:rStyle w:val="Refdenotaalpie"/>
        </w:rPr>
        <w:footnoteReference w:id="72"/>
      </w:r>
      <w:r w:rsidRPr="00E72B02">
        <w:t xml:space="preserve"> En esta nueva Clasificación, el término discapacidad engloba al de “deficiencia”, “limitaciones en la actividad” y “restricciones en la participación”.</w:t>
      </w:r>
      <w:r w:rsidRPr="00E72B02">
        <w:rPr>
          <w:rStyle w:val="Refdenotaalpie"/>
          <w:lang w:val="es-ES"/>
        </w:rPr>
        <w:footnoteReference w:id="73"/>
      </w:r>
    </w:p>
    <w:p w:rsidR="00F2036A" w:rsidRPr="00E72B02" w:rsidRDefault="00F2036A" w:rsidP="004551E9">
      <w:r w:rsidRPr="00E72B02">
        <w:t xml:space="preserve">La clasificación revisada define los componentes de la salud y algunos componentes “relacionados con la salud” del “bienestar” (tales como la educación, el trabajo, etc.). El concepto de </w:t>
      </w:r>
      <w:r w:rsidRPr="00E72B02">
        <w:rPr>
          <w:i/>
          <w:iCs/>
        </w:rPr>
        <w:t>funcionamiento</w:t>
      </w:r>
      <w:r w:rsidRPr="00E72B02">
        <w:t xml:space="preserve"> se puede considerar como un término global que hace referencia a todas las funciones corporales, actividades y participación; de manera similar, la </w:t>
      </w:r>
      <w:r w:rsidRPr="00E72B02">
        <w:rPr>
          <w:i/>
          <w:iCs/>
        </w:rPr>
        <w:t>discapacidad</w:t>
      </w:r>
      <w:r w:rsidRPr="00E72B02">
        <w:t xml:space="preserve"> engloba las deficiencias, las limitaciones en la actividad o restricciones en la participación. Además, la nueva Clasificación también enumera </w:t>
      </w:r>
      <w:r w:rsidRPr="00E72B02">
        <w:rPr>
          <w:i/>
          <w:iCs/>
        </w:rPr>
        <w:t>factores ambientales</w:t>
      </w:r>
      <w:r w:rsidRPr="00E72B02">
        <w:t xml:space="preserve"> que interactúan con todos los demás factores.</w:t>
      </w:r>
    </w:p>
    <w:p w:rsidR="00F2036A" w:rsidRPr="00E72B02" w:rsidRDefault="00F2036A" w:rsidP="004551E9">
      <w:pPr>
        <w:pStyle w:val="Sangra2detindependiente"/>
      </w:pPr>
      <w:r w:rsidRPr="00E72B02">
        <w:lastRenderedPageBreak/>
        <w:t>En términos generales, podría decirse que la estructura de la CIF-2001 es la siguiente:</w:t>
      </w:r>
    </w:p>
    <w:p w:rsidR="00F2036A" w:rsidRPr="00E72B02" w:rsidRDefault="00F2036A" w:rsidP="004551E9">
      <w:r w:rsidRPr="00E72B02">
        <w:rPr>
          <w:i/>
        </w:rPr>
        <w:t xml:space="preserve"> Parte 1</w:t>
      </w:r>
      <w:r w:rsidRPr="00E72B02">
        <w:t>. Funcionamiento y discapacidad: el funcionamiento y la discapacidad de una persona se conciben como una interacción dinámica entre los estados de salud –enfermedades, trastornos, etc.- y los factores contextuales –que incluyen tanto factores personales como ambientales.</w:t>
      </w:r>
      <w:r w:rsidRPr="00E72B02">
        <w:rPr>
          <w:rStyle w:val="Refdenotaalpie"/>
        </w:rPr>
        <w:footnoteReference w:id="74"/>
      </w:r>
      <w:r w:rsidRPr="00E72B02">
        <w:t xml:space="preserve"> La misma incluye las funciones y estructuras corporales,</w:t>
      </w:r>
      <w:r w:rsidRPr="00E72B02">
        <w:rPr>
          <w:rStyle w:val="Refdenotaalpie"/>
        </w:rPr>
        <w:footnoteReference w:id="75"/>
      </w:r>
      <w:r w:rsidRPr="00E72B02">
        <w:t>actividades y participación.</w:t>
      </w:r>
      <w:r w:rsidRPr="00E72B02">
        <w:rPr>
          <w:rStyle w:val="Refdenotaalpie"/>
        </w:rPr>
        <w:footnoteReference w:id="76"/>
      </w:r>
    </w:p>
    <w:p w:rsidR="00F2036A" w:rsidRPr="00E72B02" w:rsidRDefault="00F2036A" w:rsidP="004551E9">
      <w:r w:rsidRPr="00E72B02">
        <w:rPr>
          <w:i/>
        </w:rPr>
        <w:t>Parte 2</w:t>
      </w:r>
      <w:r w:rsidRPr="00E72B02">
        <w:t>. Factores contextuales: los factores contextuales representan el trasfondo total tanto de la vida de un individuo como de su estilo de vida.</w:t>
      </w:r>
      <w:r w:rsidRPr="00E72B02">
        <w:rPr>
          <w:rStyle w:val="Refdenotaalpie"/>
        </w:rPr>
        <w:footnoteReference w:id="77"/>
      </w:r>
      <w:r w:rsidRPr="00E72B02">
        <w:t xml:space="preserve"> Incluye a los factores ambientales</w:t>
      </w:r>
      <w:r w:rsidRPr="00E72B02">
        <w:rPr>
          <w:rStyle w:val="Refdenotaalpie"/>
        </w:rPr>
        <w:footnoteReference w:id="78"/>
      </w:r>
      <w:r w:rsidRPr="00E72B02">
        <w:t xml:space="preserve"> y los factores personales.</w:t>
      </w:r>
      <w:r w:rsidRPr="00E72B02">
        <w:rPr>
          <w:rStyle w:val="Refdenotaalpie"/>
        </w:rPr>
        <w:footnoteReference w:id="79"/>
      </w:r>
    </w:p>
    <w:p w:rsidR="00F2036A" w:rsidRPr="00E72B02" w:rsidRDefault="00F2036A" w:rsidP="004551E9">
      <w:r w:rsidRPr="00E72B02">
        <w:lastRenderedPageBreak/>
        <w:t>Cabe destacar que desde la CIF-2001 se persigue proporcionar un abordaje, desde una perspectiva múltiple, a la clasificación del funcionamiento y la discapacidad como un proceso interactivo y evolutivo.</w:t>
      </w:r>
      <w:r w:rsidRPr="00E72B02">
        <w:rPr>
          <w:rStyle w:val="Refdenotaalpie"/>
        </w:rPr>
        <w:footnoteReference w:id="80"/>
      </w:r>
      <w:r w:rsidRPr="00E72B02">
        <w:t xml:space="preserve"> Existe una interacción dinámica entre todos los elementos ya que las intervenciones en un elemento tienen el potencial de modificar uno o más de los otros. Así, por ejemplo, según la citada clasificación una persona puede:</w:t>
      </w:r>
    </w:p>
    <w:p w:rsidR="00F2036A" w:rsidRPr="00E72B02" w:rsidRDefault="00F2036A" w:rsidP="004551E9">
      <w:r w:rsidRPr="00E72B02">
        <w:t>-tener deficiencias sin tener limitaciones en la capacidad –sería el caso de una desfiguración como consecuencia de la lepra, que puede no tener efecto en la capacidad de la persona-.</w:t>
      </w:r>
      <w:r w:rsidRPr="00E72B02">
        <w:rPr>
          <w:rStyle w:val="Refdenotaalpie"/>
        </w:rPr>
        <w:footnoteReference w:id="81"/>
      </w:r>
    </w:p>
    <w:p w:rsidR="00F2036A" w:rsidRPr="00E72B02" w:rsidRDefault="00F2036A" w:rsidP="004551E9">
      <w:r w:rsidRPr="00E72B02">
        <w:t xml:space="preserve">-tener problemas de desempeño/realización sin deficiencias o limitaciones en la capacidad –sería el caso de una persona HIV positiva o de una persona que en el pasado hubiera tenido una discapacidad mental, que se enfrentan a </w:t>
      </w:r>
      <w:r w:rsidRPr="00E72B02">
        <w:lastRenderedPageBreak/>
        <w:t>la estigmatización o la discriminación en las relaciones interpersonales o el trabajo-.</w:t>
      </w:r>
      <w:r w:rsidRPr="00E72B02">
        <w:rPr>
          <w:rStyle w:val="Refdenotaalpie"/>
        </w:rPr>
        <w:footnoteReference w:id="82"/>
      </w:r>
    </w:p>
    <w:p w:rsidR="00F2036A" w:rsidRPr="00E72B02" w:rsidRDefault="00F2036A" w:rsidP="004551E9">
      <w:r w:rsidRPr="00E72B02">
        <w:t>-experimentar un grado de influencia en dirección contraria –así, la institucionalización puede provocar una pérdida de las habilidades sociales en muchas ocasiones-.</w:t>
      </w:r>
    </w:p>
    <w:p w:rsidR="00F2036A" w:rsidRPr="00E72B02" w:rsidRDefault="00F2036A" w:rsidP="004551E9">
      <w:r w:rsidRPr="00E72B02">
        <w:t>Como pue</w:t>
      </w:r>
      <w:r w:rsidR="0013509C" w:rsidRPr="00E72B02">
        <w:t xml:space="preserve">de apreciarse, a diferencia de </w:t>
      </w:r>
      <w:r w:rsidRPr="00E72B02">
        <w:t xml:space="preserve">la primera Clasificación, la  CIF-1980 se encuentra basada en la integración de dos perspectivas: la médica o biológica, y la social. Con el fin de conseguir la integración de las diferentes dimensiones del funcionamiento, la clasificación utiliza un enfoque “biopsicosocial” que intenta conseguir una síntesis, y, así, proporcionar una visión coherente de las diferentes dimensiones de la salud desde una perspectiva biológica, individual y social. Ello porque la CIF-2001 parte de la idea de que ninguna de las dos perspectivas –ni la biológica ni la social- resuelve por si sola todas las cuestiones inherentes a esta realidad tan compleja que es la discapacidad. Además, gracias a esta visión integradora- se facilita la diferenciación entre los distintos componentes de la discapacidad, por ejemplo entre las deficiencias, las actividades personales y la participación en la sociedad, lo cual  se considera que puede resultar muy útil a los fines de  clarificar la naturaleza de las actuaciones que son requeridas y los niveles a los que dichas actuaciones deben estar dirigidas. </w:t>
      </w:r>
    </w:p>
    <w:p w:rsidR="00F2036A" w:rsidRPr="00E72B02" w:rsidRDefault="00F2036A" w:rsidP="004551E9">
      <w:r w:rsidRPr="00E72B02">
        <w:t xml:space="preserve">Sin perjuicio de ello, la CIF-2001, no logra separarse completamente del modelo médico, lo que ha generado ciertas dudas sobre su utilidad para definir legalmente a la discapacidad, en especial cuando no encontramos en el ámbito del reconocimiento y goce de derechos humanos de las personas con discapacidad. Con destacan KAYESS &amp; FRENCH, las OPD con el </w:t>
      </w:r>
      <w:r w:rsidRPr="00E72B02">
        <w:rPr>
          <w:i/>
        </w:rPr>
        <w:t>International Disability Caucus</w:t>
      </w:r>
      <w:r w:rsidRPr="00E72B02">
        <w:t xml:space="preserve"> a la cabeza, se opusieron vehementemente a incluir cualquier tipo de referencia a la CIF-2001 en el texto de la CDPD. </w:t>
      </w:r>
      <w:r w:rsidRPr="00E72B02">
        <w:lastRenderedPageBreak/>
        <w:t>Para las OPD, la CIF-2001 constituía parte del problema que las personas con discapacidad enfrentan para en materia de derechos humanos y que la CDPD debía remediar mediante la consolidación del modelo social de discapacidad. Con lo cual, cualquier intento de utilizar la CIF-2001 para interpretar los límites relativos a las clases de personas protegidas por la CDPD, es muy probable que sea extremadamente controvertido. La relación futura entre la CIF-2001 y la CDPD, y quizás incluso, el futuro de la CIF-2001 en sí misma, son en este punto, interrogantes sin resolver.</w:t>
      </w:r>
      <w:r w:rsidRPr="00E72B02">
        <w:rPr>
          <w:rStyle w:val="Refdenotaalpie"/>
          <w:lang w:val="es-ES"/>
        </w:rPr>
        <w:footnoteReference w:id="83"/>
      </w:r>
    </w:p>
    <w:p w:rsidR="00F2036A" w:rsidRPr="00E72B02" w:rsidRDefault="00F2036A" w:rsidP="004551E9"/>
    <w:p w:rsidR="00F2036A" w:rsidRPr="00887731" w:rsidRDefault="00F2036A" w:rsidP="00887731">
      <w:pPr>
        <w:pStyle w:val="TITULO8"/>
        <w:rPr>
          <w:bCs/>
          <w:sz w:val="24"/>
        </w:rPr>
      </w:pPr>
      <w:r w:rsidRPr="00887731">
        <w:rPr>
          <w:bCs/>
          <w:sz w:val="24"/>
        </w:rPr>
        <w:t>2.4 – La protección de los derechos de las personas con discapacidad en los instrumentos internacionales de carácter vinculante</w:t>
      </w:r>
    </w:p>
    <w:p w:rsidR="00F2036A" w:rsidRPr="00887731" w:rsidRDefault="00F2036A" w:rsidP="00887731">
      <w:pPr>
        <w:pStyle w:val="TITULO8"/>
        <w:rPr>
          <w:bCs/>
          <w:sz w:val="24"/>
        </w:rPr>
      </w:pPr>
    </w:p>
    <w:p w:rsidR="00F2036A" w:rsidRPr="00E72B02" w:rsidRDefault="00F2036A" w:rsidP="004551E9">
      <w:r w:rsidRPr="00E72B02">
        <w:t>Como se ha podido apreciar, hacia la entrada del nuevo siglo la comunidad internacional había desarrollado una intensa labor normativa en relación con la protección específica de los derechos de las personas con discapacidad, pasando de una perspectiva médico-asistencialista a una perspectiva social y de derechos humanos. No obstante, todos los esfuerzos no habían logrado establecer ningún instrumento internacional jurídicamente vinculante que resultare de aplicación específica al contexto de la discapacidad.</w:t>
      </w:r>
      <w:r w:rsidR="00682F9B" w:rsidRPr="00E72B02">
        <w:rPr>
          <w:rStyle w:val="Refdenotaalpie"/>
          <w:lang w:val="es-ES"/>
        </w:rPr>
        <w:footnoteReference w:id="84"/>
      </w:r>
      <w:r w:rsidRPr="00E72B02">
        <w:t xml:space="preserve"> Consecuentemente, procede en este punto analizar la aplicación de los tratados internacional de derechos humanos en la esfera de la discapacidad.</w:t>
      </w:r>
      <w:r w:rsidRPr="00E72B02">
        <w:rPr>
          <w:rStyle w:val="Refdenotaalpie"/>
          <w:lang w:val="es-ES"/>
        </w:rPr>
        <w:footnoteReference w:id="85"/>
      </w:r>
      <w:r w:rsidRPr="00E72B02">
        <w:t xml:space="preserve"> </w:t>
      </w:r>
    </w:p>
    <w:p w:rsidR="00F2036A" w:rsidRPr="00E72B02" w:rsidRDefault="00F2036A" w:rsidP="004551E9">
      <w:r w:rsidRPr="00E72B02">
        <w:lastRenderedPageBreak/>
        <w:t>Las personas con discapacidad no sólo constituyen la principal minoría mundial, sino que se trata de una minoría presente en prácticamente todos los grupos especialmente protegidos por el derecho internacional de los derechos humanos, esto es, mujeres, niños, minorías étnicas o raciales, indígenas, apátridas, refugiados, asilados, trabajadores, migrantes, población civil con conflictos armados etc. Por ello, al menos en teoría, tanto la Carta International de derechos humanos, como los tratados específicos resultan aplicables a las personas con discapacidad.</w:t>
      </w:r>
      <w:r w:rsidRPr="00E72B02">
        <w:rPr>
          <w:rStyle w:val="Refdenotaalpie"/>
          <w:lang w:val="es-ES"/>
        </w:rPr>
        <w:footnoteReference w:id="86"/>
      </w:r>
      <w:r w:rsidRPr="00E72B02">
        <w:t xml:space="preserve"> Así lo consideró la Comisión de Derechos Humanos de la ONU (CoDH) al alentar “…</w:t>
      </w:r>
      <w:r w:rsidRPr="00E72B02">
        <w:rPr>
          <w:i/>
        </w:rPr>
        <w:t xml:space="preserve">a todos los órganos de vigilancia de tratados de derechos humanos que respondan afirmativamente a la invitación de vigilar el cumplimiento por los Estados </w:t>
      </w:r>
      <w:r w:rsidRPr="00E72B02">
        <w:rPr>
          <w:i/>
        </w:rPr>
        <w:lastRenderedPageBreak/>
        <w:t>de los compromisos contraídos en virtud de los oportunos instrumentos de derechos humanos a fin de garantizar el pleno disfrute de esos derechos por parte de las personas discapacitadas</w:t>
      </w:r>
      <w:r w:rsidRPr="00E72B02">
        <w:t>…”.</w:t>
      </w:r>
      <w:r w:rsidRPr="00E72B02">
        <w:rPr>
          <w:rStyle w:val="Refdenotaalpie"/>
          <w:lang w:val="es-ES"/>
        </w:rPr>
        <w:footnoteReference w:id="87"/>
      </w:r>
    </w:p>
    <w:p w:rsidR="00F2036A" w:rsidRPr="00E72B02" w:rsidRDefault="00F2036A" w:rsidP="004551E9"/>
    <w:p w:rsidR="00F2036A" w:rsidRPr="008E11E3" w:rsidRDefault="008E11E3" w:rsidP="008E11E3">
      <w:pPr>
        <w:pStyle w:val="TTULO80"/>
      </w:pPr>
      <w:r w:rsidRPr="008E11E3">
        <w:t>2.4.1 – LA CARTA DE LA ONU</w:t>
      </w:r>
    </w:p>
    <w:p w:rsidR="00F2036A" w:rsidRPr="00E72B02" w:rsidRDefault="00F2036A" w:rsidP="004551E9"/>
    <w:p w:rsidR="00F2036A" w:rsidRPr="00E72B02" w:rsidRDefault="00F2036A" w:rsidP="004551E9">
      <w:r w:rsidRPr="00E72B02">
        <w:t>La Carta de la ONU</w:t>
      </w:r>
      <w:r w:rsidRPr="00E72B02">
        <w:rPr>
          <w:rStyle w:val="Refdenotaalpie"/>
          <w:lang w:val="es-ES"/>
        </w:rPr>
        <w:footnoteReference w:id="88"/>
      </w:r>
      <w:r w:rsidRPr="00E72B02">
        <w:t xml:space="preserve"> no recoge  menciones específicas hacia los derechos de las personas con discapacidad aunque sienta dos principios fundamentales en los que basa toda la normativa internacional que de allí en más se viene desarrollando. Por un lado la obligación internacional de todos los Estados Parte de “</w:t>
      </w:r>
      <w:r w:rsidRPr="00E72B02">
        <w:rPr>
          <w:i/>
        </w:rPr>
        <w:t>respetar los derechos humanos</w:t>
      </w:r>
      <w:r w:rsidRPr="00E72B02">
        <w:t>” y, por otro lado, la obligación de “</w:t>
      </w:r>
      <w:r w:rsidRPr="00E72B02">
        <w:rPr>
          <w:i/>
        </w:rPr>
        <w:t>no discriminar</w:t>
      </w:r>
      <w:r w:rsidRPr="00E72B02">
        <w:t>”. Aunque se trata de una sintética referencia en el apartado (3) del artículo 1 (propósitos de la ONU) estas dos obligaciones jurídicas se ha convertido, sin lugar a duda, en parte de los principios generales del derecho internacional y han adquirido el carácter de normas perentorias (</w:t>
      </w:r>
      <w:r w:rsidRPr="00E72B02">
        <w:rPr>
          <w:i/>
        </w:rPr>
        <w:t>jus cogens</w:t>
      </w:r>
      <w:r w:rsidRPr="00E72B02">
        <w:t>).</w:t>
      </w:r>
      <w:r w:rsidRPr="00E72B02">
        <w:rPr>
          <w:rStyle w:val="Refdenotaalpie"/>
          <w:lang w:val="es-ES"/>
        </w:rPr>
        <w:footnoteReference w:id="89"/>
      </w:r>
      <w:r w:rsidRPr="00E72B02">
        <w:t xml:space="preserve"> En menor medida también la Carta recoge disposiciones que encomiendan a la AG a promover estudio y realizar recomendaciones con el fin de “</w:t>
      </w:r>
      <w:r w:rsidRPr="00E72B02">
        <w:rPr>
          <w:i/>
        </w:rPr>
        <w:t xml:space="preserve">fomentar la cooperación internacional en materias de carácter económico, social, cultural, educativo y sanitario y ayudar a hacer efectivos los derechos humanos y las libertades fundamentales de todos, sin hacer distinción por motivos de raza, sexo, </w:t>
      </w:r>
      <w:r w:rsidRPr="00E72B02">
        <w:rPr>
          <w:i/>
        </w:rPr>
        <w:lastRenderedPageBreak/>
        <w:t>idioma o religión</w:t>
      </w:r>
      <w:r w:rsidRPr="00E72B02">
        <w:t>” (cfr. Artículo 13.1.b), y también encomienda a la Organización a promover “</w:t>
      </w:r>
      <w:r w:rsidRPr="00E72B02">
        <w:rPr>
          <w:i/>
        </w:rPr>
        <w:t>niveles de vida más elevados, trabajo permanente para todos, y condiciones de progreso y desarrollo económico y social</w:t>
      </w:r>
      <w:r w:rsidRPr="00E72B02">
        <w:t>” y promover “</w:t>
      </w:r>
      <w:r w:rsidRPr="00E72B02">
        <w:rPr>
          <w:i/>
        </w:rPr>
        <w:t>el respeto universal a los derechos humanos y a las libertades fundamentales de todos, sin hacer distinción por motivos de raza, sexo, idioma o religión, y la efectividad de tales derechos y libertades</w:t>
      </w:r>
      <w:r w:rsidRPr="00E72B02">
        <w:t xml:space="preserve">” (cfr. Artículo 55 a y c respectivamente). </w:t>
      </w:r>
    </w:p>
    <w:p w:rsidR="00F2036A" w:rsidRPr="00E72B02" w:rsidRDefault="00F2036A" w:rsidP="004551E9">
      <w:r w:rsidRPr="00E72B02">
        <w:t>En definitiva, la Carta de la ONU no sólo sienta las bases de marco universal de protección de los derechos humanos, sino también permite, y ha permitido, la labor de control internacional de sus órganos especializados en derechos humanos a través de los denominados “</w:t>
      </w:r>
      <w:r w:rsidRPr="00E72B02">
        <w:rPr>
          <w:i/>
        </w:rPr>
        <w:t>procedimientos especiales</w:t>
      </w:r>
      <w:r w:rsidRPr="00E72B02">
        <w:t>”.</w:t>
      </w:r>
      <w:r w:rsidRPr="00E72B02">
        <w:rPr>
          <w:rStyle w:val="Refdenotaalpie"/>
          <w:lang w:val="es-ES"/>
        </w:rPr>
        <w:footnoteReference w:id="90"/>
      </w:r>
      <w:r w:rsidRPr="00E72B02">
        <w:t xml:space="preserve">  </w:t>
      </w:r>
    </w:p>
    <w:p w:rsidR="00F2036A" w:rsidRPr="00E72B02" w:rsidRDefault="00F2036A" w:rsidP="004551E9"/>
    <w:p w:rsidR="00F2036A" w:rsidRPr="008E11E3" w:rsidRDefault="00F2036A" w:rsidP="008E11E3">
      <w:pPr>
        <w:pStyle w:val="TTULO80"/>
      </w:pPr>
      <w:r w:rsidRPr="008E11E3">
        <w:t>2.4.2 – La Carta Internacional de los Derechos Humanos</w:t>
      </w:r>
    </w:p>
    <w:p w:rsidR="00F2036A" w:rsidRPr="00E72B02" w:rsidRDefault="00F2036A" w:rsidP="004551E9"/>
    <w:p w:rsidR="00F2036A" w:rsidRPr="00E72B02" w:rsidRDefault="00F2036A" w:rsidP="004551E9">
      <w:r w:rsidRPr="00E72B02">
        <w:t>La Declaración Universal de Derechos Humanos (DUDH) concebida como “</w:t>
      </w:r>
      <w:r w:rsidRPr="00E72B02">
        <w:rPr>
          <w:i/>
        </w:rPr>
        <w:t>un ideal común por el que todos los pueblos y naciones deben esforzarse</w:t>
      </w:r>
      <w:r w:rsidRPr="00E72B02">
        <w:t xml:space="preserve">” recoge, por primera vez en la historia de la humanidad, los derechos civiles, políticos, económicos, sociales y culturales básicos de los que todos los seres humanos deben gozar. A lo largo de los años lo establecido en la DUDH ha sido ampliamente aceptado como las normas fundamentales de derechos humanos que todos deben respetar y proteger. La DUDH, junto con el Pacto Internacional de Derechos Civiles y Políticos (PIDCP) y sus dos protocolos facultativos, y el Pacto Internacional de Derechos </w:t>
      </w:r>
      <w:r w:rsidRPr="00E72B02">
        <w:lastRenderedPageBreak/>
        <w:t>Económicos, Sociales y Culturales (PIDESC), forman la llamada “Carta Internacional de Derechos Humanos”.</w:t>
      </w:r>
      <w:r w:rsidRPr="00E72B02">
        <w:rPr>
          <w:rStyle w:val="Refdenotaalpie"/>
          <w:lang w:val="es-ES"/>
        </w:rPr>
        <w:footnoteReference w:id="91"/>
      </w:r>
    </w:p>
    <w:p w:rsidR="00F2036A" w:rsidRPr="00E72B02" w:rsidRDefault="00F2036A" w:rsidP="004551E9">
      <w:pPr>
        <w:pStyle w:val="Ttulo4"/>
      </w:pPr>
    </w:p>
    <w:p w:rsidR="00F2036A" w:rsidRPr="00887731" w:rsidRDefault="00F2036A" w:rsidP="00887731">
      <w:pPr>
        <w:pStyle w:val="TITULO8"/>
        <w:jc w:val="both"/>
        <w:rPr>
          <w:bCs/>
          <w:sz w:val="24"/>
        </w:rPr>
      </w:pPr>
      <w:r w:rsidRPr="00887731">
        <w:rPr>
          <w:bCs/>
          <w:sz w:val="24"/>
        </w:rPr>
        <w:t>2.4.2.1 – La Declaración Universal de Derechos Humanos</w:t>
      </w:r>
    </w:p>
    <w:p w:rsidR="00F2036A" w:rsidRPr="00E72B02" w:rsidRDefault="00F2036A" w:rsidP="004551E9"/>
    <w:p w:rsidR="00F2036A" w:rsidRPr="00E72B02" w:rsidRDefault="00F2036A" w:rsidP="004551E9">
      <w:r w:rsidRPr="00E72B02">
        <w:t>La DUDH,</w:t>
      </w:r>
      <w:r w:rsidRPr="00E72B02">
        <w:rPr>
          <w:rStyle w:val="Refdenotaalpie"/>
          <w:lang w:val="es-ES"/>
        </w:rPr>
        <w:footnoteReference w:id="92"/>
      </w:r>
      <w:r w:rsidRPr="00E72B02">
        <w:t xml:space="preserve"> pese a su carácter no vinculante, es considerada hoy día como uno de los pilares básicos en la codificación de los derechos humanos.</w:t>
      </w:r>
      <w:r w:rsidRPr="00E72B02">
        <w:rPr>
          <w:rStyle w:val="Refdenotaalpie"/>
          <w:lang w:val="es-ES"/>
        </w:rPr>
        <w:footnoteReference w:id="93"/>
      </w:r>
      <w:r w:rsidRPr="00E72B02">
        <w:t xml:space="preserve"> Se podría decir que la DUDH tiene valor de norma internacional vinculante respecto de la cual todos los miembros de la Comunidad Internacional tienen obligación de cumplir.</w:t>
      </w:r>
      <w:r w:rsidRPr="00E72B02">
        <w:rPr>
          <w:rStyle w:val="Refdenotaalpie"/>
          <w:lang w:val="es-ES"/>
        </w:rPr>
        <w:footnoteReference w:id="94"/>
      </w:r>
      <w:r w:rsidRPr="00E72B02">
        <w:t xml:space="preserve"> Esta afirmación encuentra respaldo en dos principales argumentos. En primer lugar, por la posterior adopción de los dos Pactos (PIDCP y PIDESC) en 1966 que no hacen más que codificar en instrumentos jurídicamente vinculantes, las disposiciones contenidas en la </w:t>
      </w:r>
      <w:r w:rsidRPr="00E72B02">
        <w:lastRenderedPageBreak/>
        <w:t>DUDH. En segundo lugar, porque el carácter de derecho consuetudinario que prácticamente todas sus disposiciones han adquirido.</w:t>
      </w:r>
      <w:r w:rsidRPr="00E72B02">
        <w:rPr>
          <w:rStyle w:val="Refdenotaalpie"/>
          <w:lang w:val="es-ES"/>
        </w:rPr>
        <w:footnoteReference w:id="95"/>
      </w:r>
      <w:r w:rsidRPr="00E72B02">
        <w:t xml:space="preserve"> </w:t>
      </w:r>
    </w:p>
    <w:p w:rsidR="00F2036A" w:rsidRPr="00E72B02" w:rsidRDefault="00F2036A" w:rsidP="004551E9">
      <w:r w:rsidRPr="00E72B02">
        <w:t>En relación con la protección de los derechos de las personas con discapacidad, la DUDH recoge una serie de disposiciones de especial relevancia. El artículo 1 establece que “</w:t>
      </w:r>
      <w:r w:rsidRPr="00E72B02">
        <w:rPr>
          <w:i/>
        </w:rPr>
        <w:t>todos los seres humanos nacen libres e iguales en dignidad y derechos</w:t>
      </w:r>
      <w:r w:rsidRPr="00E72B02">
        <w:t>”, mientras que el artículo 2 amplía considerablemente el alcance del principio de no discriminación reconocido en la Carta de la ONU al establecer que “</w:t>
      </w:r>
      <w:r w:rsidRPr="00E72B02">
        <w:rPr>
          <w:i/>
        </w:rPr>
        <w:t>toda persona tiene los derechos y libertades proclamados en esta Declaración, sin distinción alguna de raza, color, sexo, idioma, religión, opinión política o de cualquier otra índole, origen nacional o social, posición económica, nacimiento o cualquier otra condición</w:t>
      </w:r>
      <w:r w:rsidRPr="00E72B02">
        <w:t>” y al reconocer el derecho a tutela del derecho a la no discriminación (Artículo 7). El artículo 6 reconoce el derecho a la personalidad jurídica (se verá más adelante que la noción de personalidad jurídica tiene directa relación con la noción de capacidad jurídica), mientras que el artículo 23 reconoce el derecho a un nivel de vida adecuado y “</w:t>
      </w:r>
      <w:r w:rsidRPr="00E72B02">
        <w:rPr>
          <w:i/>
        </w:rPr>
        <w:t>el derecho a los seguros en caso de desempleo, enfermedad, invalidez, viudez, vejez y otros casos de pérdida de sus medios de subsistencia por circunstancias independientes de su voluntad</w:t>
      </w:r>
      <w:r w:rsidRPr="00E72B02">
        <w:t xml:space="preserve">”. </w:t>
      </w:r>
    </w:p>
    <w:p w:rsidR="00F2036A" w:rsidRPr="00E72B02" w:rsidRDefault="00F2036A" w:rsidP="004551E9"/>
    <w:p w:rsidR="00F2036A" w:rsidRPr="00887731" w:rsidRDefault="00F2036A" w:rsidP="00887731">
      <w:pPr>
        <w:pStyle w:val="TITULO8"/>
        <w:jc w:val="both"/>
        <w:rPr>
          <w:bCs/>
          <w:sz w:val="24"/>
        </w:rPr>
      </w:pPr>
      <w:r w:rsidRPr="00887731">
        <w:rPr>
          <w:bCs/>
          <w:sz w:val="24"/>
        </w:rPr>
        <w:t>2.4.2.2 – El Pacto Internacional de Derechos Civiles y Políticos</w:t>
      </w:r>
    </w:p>
    <w:p w:rsidR="00F2036A" w:rsidRPr="00E72B02" w:rsidRDefault="00F2036A" w:rsidP="004551E9"/>
    <w:p w:rsidR="00F2036A" w:rsidRPr="00E72B02" w:rsidRDefault="00F2036A" w:rsidP="004551E9">
      <w:r w:rsidRPr="00E72B02">
        <w:t>El PIDCP</w:t>
      </w:r>
      <w:r w:rsidRPr="00E72B02">
        <w:rPr>
          <w:rStyle w:val="Refdenotaalpie"/>
          <w:lang w:val="es-ES"/>
        </w:rPr>
        <w:footnoteReference w:id="96"/>
      </w:r>
      <w:r w:rsidRPr="00E72B02">
        <w:t xml:space="preserve"> ampara una serie de derechos civiles y políticos y tiene por objeto defender la libertad de la persona y garantizarle la posibilidad de </w:t>
      </w:r>
      <w:r w:rsidRPr="00E72B02">
        <w:lastRenderedPageBreak/>
        <w:t>influir en la vida política de la comunidad. En este sentido, siempre ha habido una concepción errónea de que los derechos de las personas con discapacidad debían encontrar respuesta exclusivamente en el marco de los llamados «derechos económicos, sociales y culturales». Una vez más, esta concepción seguramente encuentre su razón de ser en el modelo de discapacidad del cual se parte. Mientras el modelo médico-asistencialista claramente se proyecta hacia los derechos sociales, principalmente en clave de derechos a prestaciones sociales de carácter económico y de servicios de salud y rehabilitación, el modelo social se proyecta hacia una concepción necesariamente integradora de los derechos civiles y los derechos sociales.</w:t>
      </w:r>
      <w:r w:rsidRPr="00E72B02">
        <w:rPr>
          <w:rStyle w:val="Refdenotaalpie"/>
          <w:lang w:val="es-ES"/>
        </w:rPr>
        <w:footnoteReference w:id="97"/>
      </w:r>
      <w:r w:rsidRPr="00E72B02">
        <w:t xml:space="preserve"> Como destaca QUINN, “</w:t>
      </w:r>
      <w:r w:rsidRPr="00E72B02">
        <w:rPr>
          <w:i/>
        </w:rPr>
        <w:t>después de todo, la búsqueda por una mayor igualdad e inclusión generalmente se aborda desde el lenguaje de los derechos civiles</w:t>
      </w:r>
      <w:r w:rsidRPr="00E72B02">
        <w:t>”.</w:t>
      </w:r>
      <w:r w:rsidRPr="00E72B02">
        <w:rPr>
          <w:rStyle w:val="Refdenotaalpie"/>
          <w:lang w:val="es-ES"/>
        </w:rPr>
        <w:footnoteReference w:id="98"/>
      </w:r>
    </w:p>
    <w:p w:rsidR="00F2036A" w:rsidRPr="00E72B02" w:rsidRDefault="00F2036A" w:rsidP="004551E9">
      <w:r w:rsidRPr="00E72B02">
        <w:t xml:space="preserve">Más aún el objeto del presente trabajo, esto es, el derecho de las personas con discapacidad al ejercicio de su capacidad jurídica, parte y se sustenta principalmente desde la base de los derechos civiles y políticos. Por ello, corresponde analizar el modo en el cual el marco del PIDCP ha sido aplicado al contexto de la discapacidad. A dichos efectos, en primer lugar, se realizará un análisis teórico de la potencial aplicación de los derechos amparados en el PIDCP al contexto de la discapacidad, y en un segundo lugar, se realizará un análisis de la práctica internacional en la aplicación de </w:t>
      </w:r>
      <w:r w:rsidRPr="00E72B02">
        <w:lastRenderedPageBreak/>
        <w:t xml:space="preserve">dichos derechos al contexto de la discapacidad, para el cual se tomará con referencia la actuación del </w:t>
      </w:r>
      <w:r w:rsidR="00A15D66" w:rsidRPr="00E72B02">
        <w:t>Comité de Derechos Humanos (</w:t>
      </w:r>
      <w:r w:rsidRPr="00E72B02">
        <w:t>CteDH</w:t>
      </w:r>
      <w:r w:rsidR="00A15D66" w:rsidRPr="00E72B02">
        <w:t>)</w:t>
      </w:r>
      <w:r w:rsidRPr="00E72B02">
        <w:t>.</w:t>
      </w:r>
      <w:r w:rsidRPr="00E72B02">
        <w:rPr>
          <w:rStyle w:val="Refdenotaalpie"/>
          <w:lang w:val="es-ES"/>
        </w:rPr>
        <w:footnoteReference w:id="99"/>
      </w:r>
      <w:r w:rsidRPr="00E72B02">
        <w:t xml:space="preserve"> </w:t>
      </w:r>
    </w:p>
    <w:p w:rsidR="00F2036A" w:rsidRPr="00E72B02" w:rsidRDefault="00F2036A" w:rsidP="004551E9">
      <w:r w:rsidRPr="00E72B02">
        <w:t xml:space="preserve">    El PIDCP se estructura en 53 artículos divididos en cinco partes, de las cuales las tres primeras recogen derechos sustantivos, y las dos restantes aspectos de supervisión y entrada en vigor del tratado. Siguiendo el informe de QUINN &amp; DEGENER, “</w:t>
      </w:r>
      <w:r w:rsidRPr="00E72B02">
        <w:rPr>
          <w:i/>
        </w:rPr>
        <w:t>los diversos derechos civiles y políticos contenidos en el Pacto pueden dividirse en cuatro grupos: a) derechos relativos a la existencia humana; b) derechos relacionados con la libertad; c) derechos de asociación; y d) derechos políticos. Todas las categorías tienen pertinencia para las personas con discapacidad</w:t>
      </w:r>
      <w:r w:rsidRPr="00E72B02">
        <w:t>”.</w:t>
      </w:r>
      <w:r w:rsidRPr="00E72B02">
        <w:rPr>
          <w:rStyle w:val="Refdenotaalpie"/>
          <w:lang w:val="es-ES"/>
        </w:rPr>
        <w:footnoteReference w:id="100"/>
      </w:r>
      <w:r w:rsidRPr="00E72B02">
        <w:t xml:space="preserve"> </w:t>
      </w:r>
    </w:p>
    <w:p w:rsidR="00F2036A" w:rsidRPr="00E72B02" w:rsidRDefault="00F2036A" w:rsidP="004551E9">
      <w:r w:rsidRPr="00E72B02">
        <w:t>No obstante, antes de abordar los derechos amparados po</w:t>
      </w:r>
      <w:r w:rsidR="00DF4596" w:rsidRPr="00E72B02">
        <w:t xml:space="preserve">r el PIDCP es preciso recordar </w:t>
      </w:r>
      <w:r w:rsidRPr="00E72B02">
        <w:t>l</w:t>
      </w:r>
      <w:r w:rsidR="00DF4596" w:rsidRPr="00E72B02">
        <w:t>a</w:t>
      </w:r>
      <w:r w:rsidRPr="00E72B02">
        <w:t xml:space="preserve"> clausula general de no discriminación que, como hemos visto, constituye uno de los pilares básicos en los que se sustenta el derecho internacional de los derechos humanos. El PIDCP recoge disposiciones de no discriminación en los artículos 2, 3 y 26. La formulación del PIDCP parece más bien ajustase al modelo clásico de garantía de igualdad formal,</w:t>
      </w:r>
      <w:r w:rsidRPr="00E72B02">
        <w:rPr>
          <w:rStyle w:val="Refdenotaalpie"/>
          <w:lang w:val="es-ES"/>
        </w:rPr>
        <w:footnoteReference w:id="101"/>
      </w:r>
      <w:r w:rsidRPr="00E72B02">
        <w:t xml:space="preserve"> aunque el propio CteDH ha dicho al respecto que: “</w:t>
      </w:r>
      <w:r w:rsidRPr="00E72B02">
        <w:rPr>
          <w:i/>
        </w:rPr>
        <w:t xml:space="preserve">que el término «discriminación», tal como se emplea en el Pacto, debe entenderse referido </w:t>
      </w:r>
      <w:r w:rsidRPr="00E72B02">
        <w:rPr>
          <w:i/>
        </w:rPr>
        <w:lastRenderedPageBreak/>
        <w:t>a toda distinción, exclusión, restricción o preferencia que se basen en determinados motivos, como la raza, el color, el sexo, el idioma, la religión, la opinión política o de otra índole, el origen nacional o social, la posición económica, el nacimiento o cualquier otra condición social, y que tengan por objeto o por resultado anular o menoscabar el reconocimiento, goce o ejercicio, en condiciones de igualdad, de los derechos humanos y libertades fundamentales de todas las personas</w:t>
      </w:r>
      <w:r w:rsidRPr="00E72B02">
        <w:t>”.</w:t>
      </w:r>
      <w:r w:rsidRPr="00E72B02">
        <w:rPr>
          <w:rStyle w:val="Refdenotaalpie"/>
          <w:lang w:val="es-ES"/>
        </w:rPr>
        <w:footnoteReference w:id="102"/>
      </w:r>
      <w:r w:rsidRPr="00E72B02">
        <w:t xml:space="preserve"> Pero también el CteDH ha aclarado una cuestión que resulta de vital importancia para abordar los derechos humanos de carácter civil y político de las personas con discapacidad, esto es; que “</w:t>
      </w:r>
      <w:r w:rsidRPr="00E72B02">
        <w:rPr>
          <w:i/>
        </w:rPr>
        <w:t>el principio de la igualdad exige algunas veces a los Estados Partes adoptar disposiciones positivas para reducir o eliminar las condiciones que originan o facilitan que se perpetúe la discriminación prohibida por el Pacto. Por ejemplo, en un Estado en el que la situación general de un cierto sector de su población impide u obstaculiza el disfrute de los derechos humanos por parte de esa población, el Estado debería adoptar disposiciones especiales para poner remedio a esa situación</w:t>
      </w:r>
      <w:r w:rsidRPr="00E72B02">
        <w:t>”.</w:t>
      </w:r>
      <w:r w:rsidRPr="00E72B02">
        <w:rPr>
          <w:rStyle w:val="Refdenotaalpie"/>
          <w:lang w:val="es-ES"/>
        </w:rPr>
        <w:footnoteReference w:id="103"/>
      </w:r>
    </w:p>
    <w:p w:rsidR="00F2036A" w:rsidRPr="00E72B02" w:rsidRDefault="00F2036A" w:rsidP="004551E9">
      <w:r w:rsidRPr="00E72B02">
        <w:t>Con lo cual la lectura de los derechos reconocidos el PIDCP al momento de aplicarlos al contexto de la discapacidad deberá necesariamente hacerse desde la perspectiva de la no discriminación, o dicho de otra manera, pensando en las medidas que resulten necesarias para que las personas con discapacidad puedan gozar y ejercer los derechos reconocidos en el PIDCP «</w:t>
      </w:r>
      <w:r w:rsidRPr="00E72B02">
        <w:rPr>
          <w:i/>
        </w:rPr>
        <w:t>en igualdad de condiciones</w:t>
      </w:r>
      <w:r w:rsidRPr="00E72B02">
        <w:t xml:space="preserve">» con las demás personas. Un claro ejemplo de ello lo podemos encontrar en lo que se refiere al derecho al voto, respecto del cual los Estados no sólo deben garantizar un acceso </w:t>
      </w:r>
      <w:r w:rsidRPr="00E72B02">
        <w:rPr>
          <w:i/>
        </w:rPr>
        <w:t>de jure</w:t>
      </w:r>
      <w:r w:rsidRPr="00E72B02">
        <w:t xml:space="preserve"> a todos los ciudadanos en condiciones de hacerlo, sino que además deberá garantizar </w:t>
      </w:r>
      <w:r w:rsidRPr="00E72B02">
        <w:rPr>
          <w:i/>
        </w:rPr>
        <w:t xml:space="preserve">de </w:t>
      </w:r>
      <w:r w:rsidRPr="00E72B02">
        <w:rPr>
          <w:i/>
        </w:rPr>
        <w:lastRenderedPageBreak/>
        <w:t>facto</w:t>
      </w:r>
      <w:r w:rsidRPr="00E72B02">
        <w:t xml:space="preserve"> el acceso al voto por parte de personas con discapacidad en igualdad de condiciones, a través de medidas activas y promocionales que aseguren la accesibilidad física, comunicacional, </w:t>
      </w:r>
      <w:r w:rsidR="00DF4596" w:rsidRPr="00E72B02">
        <w:t xml:space="preserve">y </w:t>
      </w:r>
      <w:r w:rsidRPr="00E72B02">
        <w:t xml:space="preserve">en la información de los procedimientos electorales. </w:t>
      </w:r>
    </w:p>
    <w:p w:rsidR="00F2036A" w:rsidRPr="00E72B02" w:rsidRDefault="00F2036A" w:rsidP="004551E9">
      <w:pPr>
        <w:pStyle w:val="EstiloPrrafodelistaCursiva"/>
      </w:pPr>
      <w:r w:rsidRPr="00E72B02">
        <w:t xml:space="preserve">a) Derechos relativos a la existencia humana. </w:t>
      </w:r>
    </w:p>
    <w:p w:rsidR="00F2036A" w:rsidRPr="00E72B02" w:rsidRDefault="00F2036A" w:rsidP="004551E9">
      <w:r w:rsidRPr="00E72B02">
        <w:t>En este grupo de derecho encontramos el derecho a la vida (artículo 6)</w:t>
      </w:r>
      <w:r w:rsidR="00DF4596" w:rsidRPr="00E72B02">
        <w:t>,</w:t>
      </w:r>
      <w:r w:rsidRPr="00E72B02">
        <w:t xml:space="preserve"> la protección de la integridad física y psíquica (artículo 7), la protección contra la esclavitud y los trabajos forzoso (artículo 8), y el derecho a la personalidad jurídica (artículo 16). No cabe duda que nos encontramos a</w:t>
      </w:r>
      <w:r w:rsidR="00DF4596" w:rsidRPr="00E72B02">
        <w:t>nte</w:t>
      </w:r>
      <w:r w:rsidRPr="00E72B02">
        <w:t xml:space="preserve"> un núcleo de derechos de los más elementales para la existencia humana, y sin embargo, su vulneración en relación con personas con discapacidad es de lo más habitual. ¿Serían contrarias al artículo 6 prácticas tales como: la despenalización del aborto únicamente en casos de que el feto pueda tener una discapacidad, </w:t>
      </w:r>
      <w:r w:rsidR="00DF4596" w:rsidRPr="00E72B02">
        <w:t xml:space="preserve">la </w:t>
      </w:r>
      <w:r w:rsidRPr="00E72B02">
        <w:t xml:space="preserve">negación de trasplantes de órganos o de técnicas de reanimación por tratarse de una persona con discapacidad, </w:t>
      </w:r>
      <w:r w:rsidR="00DF4596" w:rsidRPr="00E72B02">
        <w:t xml:space="preserve">o el </w:t>
      </w:r>
      <w:r w:rsidRPr="00E72B02">
        <w:t xml:space="preserve">denegar a un recién nacido una tratamiento que le salve la vida porque tiene una discapacidad?, ¿Serían contrarias al artículo 7 prácticas tales como: el internamiento forzado de personas con discapacidad en instituciones psiquiátricas, la administración de drogas o tratamientos médicos a personas con discapacidad sin consentimiento libre e informado, </w:t>
      </w:r>
      <w:r w:rsidR="00DF4596" w:rsidRPr="00E72B02">
        <w:t xml:space="preserve">o </w:t>
      </w:r>
      <w:r w:rsidRPr="00E72B02">
        <w:t>la realización de pruebas o experimentaciones médicas en personas con discapacidad? ¿Serían contrarias al artículo 8 prácticas tales como la utilización de personas con discapacidad para mendigar, el uso de personas con discapacidad para divertimento o burla popular, el empleo de personas con discapacidad con salarios ridículos? ¿Serían contrarias al artículo 16 prácticas que denieguen a las personas con discapacidad el acceso al nombre, a la nacionalidad, al patrimonio,</w:t>
      </w:r>
      <w:r w:rsidR="00DF4596" w:rsidRPr="00E72B02">
        <w:t xml:space="preserve"> o </w:t>
      </w:r>
      <w:r w:rsidRPr="00E72B02">
        <w:t xml:space="preserve"> a la herencia?</w:t>
      </w:r>
    </w:p>
    <w:p w:rsidR="00F2036A" w:rsidRPr="00E72B02" w:rsidRDefault="00F2036A" w:rsidP="004551E9">
      <w:r w:rsidRPr="00E72B02">
        <w:t xml:space="preserve">Pareciera que los interrogantes planteados se responden claramente en sentido afirmativo con lo cual la pregunta obligada es: ¿por qué el marco del PIDCP ha sido completamente incapaz de generar un cambio en las </w:t>
      </w:r>
      <w:r w:rsidRPr="00E72B02">
        <w:lastRenderedPageBreak/>
        <w:t xml:space="preserve">prácticas mencionadas que suponen un claro menoscabo de los derechos humanos de las personas con discapacidad? Más aún, ni tan sólo el PIDCP ha sido capaz, en la mayoría de los casos, de generar un cambio en la legislación o en los estándares éticos sociales que sustentas las mencionadas prácticas discriminatorios. La posible, o para algunos la evidente, razón de ello radica, en que las personas con discapacidad no han sido percibidas históricamente como verdaderos sujetos de derecho, curiosamente de esos derechos civiles y políticos que en última instancia tiene como objeto resguardar lo más básico y lo más elemental de la humanidad.                    </w:t>
      </w:r>
    </w:p>
    <w:p w:rsidR="00F2036A" w:rsidRPr="00E72B02" w:rsidRDefault="00DF4596" w:rsidP="004551E9">
      <w:r w:rsidRPr="00E72B02">
        <w:t>b) D</w:t>
      </w:r>
      <w:r w:rsidR="00F2036A" w:rsidRPr="00E72B02">
        <w:t>erechos relacionados con la libertad</w:t>
      </w:r>
    </w:p>
    <w:p w:rsidR="00F2036A" w:rsidRPr="00E72B02" w:rsidRDefault="00F2036A" w:rsidP="004551E9">
      <w:r w:rsidRPr="00E72B02">
        <w:t xml:space="preserve">En este grupo de derecho encontramos, entre los más importantes, el (artículo 9) sobre el derecho a la libertad y a la seguridad de la persona, el (artículo 10) establece las garantías mínimas sobre las condiciones de la privación de la libertad, el (artículo 12) recoge del derecho a la libertad de movimiento y de elección de residencia, el (artículo 14) regula los derechos del debido proceso, y el (artículo 17) establece la protección de la intimidad y la vida privada.  </w:t>
      </w:r>
    </w:p>
    <w:p w:rsidR="00F2036A" w:rsidRPr="00E72B02" w:rsidRDefault="00F2036A" w:rsidP="004551E9">
      <w:r w:rsidRPr="00E72B02">
        <w:t xml:space="preserve">La libertad en todas las formas o dimensiones contempladas por los artículos señalados anteriormente constituye uno de los valores más preciados de la humanidad y es lo que permite el desarrollo de la personalidad y del plan de vida de cualquier individuo. Luego de la existencia, seguramente el segundo peldaño de lo más esencial para el desarrollo humano, sea el de la libertad. Sin ella es imposible pensar en derechos humanos. Sin embargo cuando trasladamos la aplicación de los derechos señalados relacionados con la libertad al contexto de la discapacidad, la realidad nos muestra, una vez más, una situación de desprotección o vulneración constante o habitual. </w:t>
      </w:r>
    </w:p>
    <w:p w:rsidR="00F2036A" w:rsidRPr="00E72B02" w:rsidRDefault="00F2036A" w:rsidP="004551E9">
      <w:r w:rsidRPr="00E72B02">
        <w:t xml:space="preserve">¿No sería contrario al artículo 9 el ingreso de personas con discapacidad mental o intelectual en instituciones médicas o psiquiátricas sin su consentimiento? ¿Es compatible con dicha norma que un dictamen médico </w:t>
      </w:r>
      <w:r w:rsidRPr="00E72B02">
        <w:lastRenderedPageBreak/>
        <w:t xml:space="preserve">ordene y autorice una privación de libertad de un enfermo mental? A su vez, el artículo 10 no lleva a reflexionar sobre las condiciones de privación de libertad de las personas con discapacidad ¿Se encuentran las cárceles adaptadas para alojar personas con discapacidad? ¿No constituiría una violación del artículo 10 la falta de ajustes mínimos de las condiciones de privación de liberta hacia una persona con discapacidad? En relación con el artículo 12 ¿no serían contrarios a dicha disposición los centros o instituciones destinados exclusivamente como residencias para personas con discapacidad? ¿Incumpliría el Estado el artículo 12 cuando no garantiza un acceso real y efectivo al trasporte público que permita la libertad de movimiento? ¿No serían incompatibles con el artículo 12 las disposiciones que impiden la entrada o salida de un Estado a personas que tengan ciertos tipos de discapacidades? En relación con el artículo 14 ¿no sería contraria a sus cláusulas la declaración de inimputabilidad de un acusado que tiene una discapacidad mental o intelectual? ¿Garantizan las normas procesales el acceso a la comunicación de personas con discapacidades sensoriales como la lengua de </w:t>
      </w:r>
      <w:r w:rsidR="00C15474" w:rsidRPr="00E72B02">
        <w:t>señas</w:t>
      </w:r>
      <w:r w:rsidRPr="00E72B02">
        <w:t xml:space="preserve"> o la escritura Braille? Por último y en relación con el artículo 17  ¿se garantiza la protección de la vida privada de las personas con discapacidad cuando se encuentran en instituciones médicas, o en residencias colectivas? ¿Es posible garantizar la vida privada y la intimidad en los contextos de institucionalización?</w:t>
      </w:r>
    </w:p>
    <w:p w:rsidR="00F2036A" w:rsidRPr="00E72B02" w:rsidRDefault="00F2036A" w:rsidP="004551E9">
      <w:r w:rsidRPr="00E72B02">
        <w:t xml:space="preserve">Mientras el derecho internacional de los derechos humanos ha puesto mucho énfasis en controlar y velar porque el Estado no restrinja con su accionar la libertad de las personas sin causa justificada, siendo dicha justificación la existencia de un «debido proceso», no parece que dichos estándares se apliquen de igual modo, o con el mismo rigor, cuando nos encontramos frente a personas con discapacidad. Esto tiene una explicación histórica e ideológica que puede resumirse en la asunción del modelo médico de discapacidad. Mientras que para todas las personas el garante de la libertad debe ser siempre el juez y el respeto absoluto a las garantías del debido proceso, para las personas con discapacidad la libertad parece ser un </w:t>
      </w:r>
      <w:r w:rsidRPr="00E72B02">
        <w:lastRenderedPageBreak/>
        <w:t xml:space="preserve">«bien jurídico» accesorio o marginal que se debe supeditar a lo que médicamente resulte más aconsejable para su atención o rehabilitación. Pensemos por un instante en el régimen que impera en un contexto de institucionalización (sea un hospital psiquiátrico, un centro de rehabilitación física, o en una residencia para personas con discapacidad), y luego analicemos dicho régimen desde la perspectiva del derecho a la libertad. No es difícil ver cómo el mismo se ve trastocado hasta el punto de desvanecerse.  </w:t>
      </w:r>
    </w:p>
    <w:p w:rsidR="00F2036A" w:rsidRPr="00E72B02" w:rsidRDefault="00F2036A" w:rsidP="004551E9">
      <w:r w:rsidRPr="00E72B02">
        <w:t xml:space="preserve">c) </w:t>
      </w:r>
      <w:r w:rsidR="00C15474" w:rsidRPr="00E72B02">
        <w:t>D</w:t>
      </w:r>
      <w:r w:rsidRPr="00E72B02">
        <w:t xml:space="preserve">erechos de asociación </w:t>
      </w:r>
    </w:p>
    <w:p w:rsidR="00F2036A" w:rsidRPr="00E72B02" w:rsidRDefault="00F2036A" w:rsidP="004551E9">
      <w:r w:rsidRPr="00E72B02">
        <w:t xml:space="preserve">Los derechos de asociación, o si se quiere en un sentido más general, los derechos de cooperación social, son derechos que tienen como objetivo garantizar la interacción humana y la vida social. Están relacionados con la visión del ser humano con un grupo social y que vive en comunidad. Entre los principales derechos amparados por el PIDCP encontramos el derecho de reunión pacífica (artículo 21), el derecho a la libertad de asociación (artículo 22), el derecho a la protección de la familia (artículo 23) o el derecho del menor (artículo 24).   </w:t>
      </w:r>
    </w:p>
    <w:p w:rsidR="00F2036A" w:rsidRPr="00E72B02" w:rsidRDefault="00F2036A" w:rsidP="004551E9">
      <w:r w:rsidRPr="00E72B02">
        <w:t xml:space="preserve">Ahora bien, difícilmente podamos analizar el plano social, entendido como la vida en comunidad, sin contar previamente con la garantía del derecho a la libertad. Quizás ello explique por qué estos derechos quedan sistemáticamente fuera del goce y ejercicio de la gran mayoría de las personas con discapacidad. </w:t>
      </w:r>
    </w:p>
    <w:p w:rsidR="00F2036A" w:rsidRPr="00E72B02" w:rsidRDefault="00F2036A" w:rsidP="004551E9">
      <w:r w:rsidRPr="00E72B02">
        <w:t xml:space="preserve">Difícilmente, los derechos amparados por los artículos 21 y 22 encuentren restricciones a su ejercicio por parte de personas con discapacidad en disposiciones legales vigentes. Sin embargo, cuando los analizamos desde la perspectiva de la no discriminación, es fácil evidenciar que la falta de accesibilidad del entorno sumado a la usual institucionalización o marginación social de las personas con discapacidad genera, </w:t>
      </w:r>
      <w:r w:rsidRPr="00E72B02">
        <w:rPr>
          <w:i/>
        </w:rPr>
        <w:t>de facto</w:t>
      </w:r>
      <w:r w:rsidRPr="00E72B02">
        <w:t xml:space="preserve">, una imposibilidad real de ejercicio. En relación con los derechos amparados por los artículos 23 y 24, la vulneración hacia personas con discapacidad es </w:t>
      </w:r>
      <w:r w:rsidRPr="00E72B02">
        <w:lastRenderedPageBreak/>
        <w:t xml:space="preserve">mucho más evidente, o si se quiere, flagrante. Como se verá más adelante en el presente trabajo, la gran mayoría de las legislaciones nacionales vigentes, sustentadas a su vez por prácticas sociales muy arraigadas, contemplan graves restricciones al ejercicio de los derechos de familia cuando se trata de personas con discapacidad. Pensemos, por ejemplo, en las restricciones generalizadas hacia personas con discapacidad intelectual o mental para contraer matrimonio, para ejercer la patria potestad, para adoptar o para ejercer sus derechos reproductivos.  </w:t>
      </w:r>
    </w:p>
    <w:p w:rsidR="00F2036A" w:rsidRPr="00E72B02" w:rsidRDefault="00F2036A" w:rsidP="004551E9">
      <w:r w:rsidRPr="00E72B02">
        <w:t>d) Derechos de participación política</w:t>
      </w:r>
    </w:p>
    <w:p w:rsidR="00F2036A" w:rsidRPr="00E72B02" w:rsidRDefault="00F2036A" w:rsidP="004551E9">
      <w:r w:rsidRPr="00E72B02">
        <w:t xml:space="preserve">Un segundo punto neurálgico del Pacto tiene que ver con la garantía de los derechos de participación política. Mientras los derechos civiles pueden verse en clave de libertades frente al poder del Estado, los derechos políticos tienen como principal objetivo garantizar a las personas la representatividad y pluralidad de las decisiones y del rumbo político de un Estado. Entre los principales derechos amparados por el PIDCP encontramos el derecho a la libertad de pensamiento (artículo 18), el derecho a la libertad de opinión (artículo 19), y el derecho de participación en la dirección de los asuntos políticos (artículo 25).  </w:t>
      </w:r>
    </w:p>
    <w:p w:rsidR="00F2036A" w:rsidRPr="00E72B02" w:rsidRDefault="00F2036A" w:rsidP="004551E9">
      <w:r w:rsidRPr="00E72B02">
        <w:t xml:space="preserve">Aunque el derecho a la libertad de opinión y de pensamiento es generalmente visto desde una perspectiva de rol pasivo por parte del Estado, es decir, como una libertad de no interferencia, o proscripción de la posición política o ideológica de la persona tanto frente al Estado como a otras personas, dicho derecho también tienen un componente activo, tan o más importante que el anterior, pero que indubitadamente se constituye como un prerrequisito del mismo. Vale decir, para garantizar el derecho a la libertad de opinión y pensamiento, es preciso previamente garantizar el derecho de acceso a la información pública, y en un sentido más general, a la educación. Es aquí donde radica el principal foco de discriminación y vulneración de los derechos de las personas con discapacidad. ¿Cómo garantizamos el derecho de opinión o pensamiento de la población sorda o </w:t>
      </w:r>
      <w:r w:rsidRPr="00E72B02">
        <w:lastRenderedPageBreak/>
        <w:t xml:space="preserve">ciega cuando no se garantiza el acceso a datos en formatos accesibles? Prácticamente lo mismo puede decirse con respecto al derecho a participar en la dirección de los asuntos públicos. ¿Cómo es posible que el colectivo de personas usuarias de la lengua de </w:t>
      </w:r>
      <w:r w:rsidR="00C15474" w:rsidRPr="00E72B02">
        <w:t>señas</w:t>
      </w:r>
      <w:r w:rsidRPr="00E72B02">
        <w:t xml:space="preserve"> pueda participar políticamente en un parlamento si no existe traducción simultánea? ¿Cómo puede acceder una persona con discapacidad física a ocupar una función pública si el entorno es inaccesible? Una mención especial merece el ejercicio del derecho al voto. ¿Por qué las personas ciegas, o con discapacidad intelectual o mental se ven generalmente privadas de ejercer el derecho al voto? ¿Son las instalaciones donde se concurre a emitir el voto accesible para personas con discapacidad física o sensorial?</w:t>
      </w:r>
    </w:p>
    <w:p w:rsidR="00F2036A" w:rsidRPr="00E72B02" w:rsidRDefault="00F2036A" w:rsidP="004551E9">
      <w:r w:rsidRPr="00E72B02">
        <w:t xml:space="preserve">Sin pensamos en la realidad de nuestro días podemos apreciar sin mucho esfuerzo, que los derechos políticos son un privilegio que las personas con discapacidad raramente pueden acceder.       </w:t>
      </w:r>
    </w:p>
    <w:p w:rsidR="00F2036A" w:rsidRPr="00E72B02" w:rsidRDefault="00F2036A" w:rsidP="004551E9">
      <w:r w:rsidRPr="00E72B02">
        <w:t>Ahora bien es cierto que el análisis teórico previo de la aplicación de los derechos amparados por el PIDCP al contexto de la discapacidad responde a una percepción y a una toma de posición particular de quien escribe. Por ello, a continuación se propone un análisis de la práctica internacional en la aplicación de dichos derechos tomando como punto de referencia la actuación del CteDH a través de sus diferentes ámbitos de competencia (Observ</w:t>
      </w:r>
      <w:r w:rsidR="00510C87" w:rsidRPr="00E72B02">
        <w:t>aciones Generales, análisis de I</w:t>
      </w:r>
      <w:r w:rsidRPr="00E72B02">
        <w:t xml:space="preserve">nformes de Estado, y </w:t>
      </w:r>
      <w:r w:rsidR="00510C87" w:rsidRPr="00E72B02">
        <w:t>R</w:t>
      </w:r>
      <w:r w:rsidRPr="00E72B02">
        <w:t xml:space="preserve">eclamaciones </w:t>
      </w:r>
      <w:r w:rsidR="00510C87" w:rsidRPr="00E72B02">
        <w:t>I</w:t>
      </w:r>
      <w:r w:rsidRPr="00E72B02">
        <w:t>ndividuales)</w:t>
      </w:r>
    </w:p>
    <w:p w:rsidR="00F2036A" w:rsidRPr="00E72B02" w:rsidRDefault="00F2036A" w:rsidP="004551E9">
      <w:r w:rsidRPr="00E72B02">
        <w:t>Como era de esperar las referencias hacia los derechos de las personas con discapacidad en la práctica del CteDH son verdaderamente escasas, o al menos ese ha sido el caso con anterioridad a la entrada en vigor de la CDPD.</w:t>
      </w:r>
      <w:r w:rsidRPr="00E72B02">
        <w:rPr>
          <w:rStyle w:val="Refdenotaalpie"/>
          <w:lang w:val="es-ES"/>
        </w:rPr>
        <w:footnoteReference w:id="104"/>
      </w:r>
      <w:r w:rsidRPr="00E72B02">
        <w:t xml:space="preserve"> </w:t>
      </w:r>
    </w:p>
    <w:p w:rsidR="00F2036A" w:rsidRPr="00E72B02" w:rsidRDefault="00F2036A" w:rsidP="004551E9">
      <w:r w:rsidRPr="00E72B02">
        <w:lastRenderedPageBreak/>
        <w:t>Observaciones Generales del CteDH</w:t>
      </w:r>
    </w:p>
    <w:p w:rsidR="00F2036A" w:rsidRPr="00E72B02" w:rsidRDefault="00F2036A" w:rsidP="004551E9">
      <w:r w:rsidRPr="00E72B02">
        <w:t>En materia de observaciones generales, el CteDH solo ha hecho referencias indirectas hacia los derechos de las personas con discapacidad. Por ejemplo en la Observación General nº 8, el CteDH establece que la garantía del artículo 9.1 (derecho a la libertad y la seguridad personal) “</w:t>
      </w:r>
      <w:r w:rsidRPr="00E72B02">
        <w:rPr>
          <w:i/>
        </w:rPr>
        <w:t>es aplicable a todas las formas de privación de libertad, ya sea como consecuencia de un delito o de otras razones, como por ejemplo las enfermedades mentales</w:t>
      </w:r>
      <w:r w:rsidRPr="00E72B02">
        <w:t>”.</w:t>
      </w:r>
      <w:r w:rsidRPr="00E72B02">
        <w:rPr>
          <w:rStyle w:val="Refdenotaalpie"/>
          <w:lang w:val="es-ES"/>
        </w:rPr>
        <w:footnoteReference w:id="105"/>
      </w:r>
      <w:r w:rsidRPr="00E72B02">
        <w:t xml:space="preserve">  En la Observación General nº 19, el CteDH al referirse al derecho de familia establece que “</w:t>
      </w:r>
      <w:r w:rsidRPr="00E72B02">
        <w:rPr>
          <w:i/>
        </w:rPr>
        <w:t>los informes de los Estados Partes debería indicarse si existen restricciones o impedimentos al ejercicio del derecho a contraer matrimonio sobre la base de factores especiales como el grado de parentesco o la incapacidad mental</w:t>
      </w:r>
      <w:r w:rsidRPr="00E72B02">
        <w:t>”.</w:t>
      </w:r>
      <w:r w:rsidRPr="00E72B02">
        <w:rPr>
          <w:rStyle w:val="Refdenotaalpie"/>
          <w:lang w:val="es-ES"/>
        </w:rPr>
        <w:footnoteReference w:id="106"/>
      </w:r>
      <w:r w:rsidRPr="00E72B02">
        <w:t xml:space="preserve"> En la observación general nº 20 al abordar el derecho relativo a la</w:t>
      </w:r>
      <w:r w:rsidR="00510C87" w:rsidRPr="00E72B02">
        <w:t xml:space="preserve"> prohibición de</w:t>
      </w:r>
      <w:r w:rsidRPr="00E72B02">
        <w:t xml:space="preserve"> tortura el CteDH expresa que “</w:t>
      </w:r>
      <w:r w:rsidRPr="00E72B02">
        <w:rPr>
          <w:i/>
        </w:rPr>
        <w:t>el artículo 7 prohíbe expresamente los experimentos médicos o científicos realizados sin el libre consentimiento de la persona interesada</w:t>
      </w:r>
      <w:r w:rsidRPr="00E72B02">
        <w:t>” y agrega que “</w:t>
      </w:r>
      <w:r w:rsidRPr="00E72B02">
        <w:rPr>
          <w:i/>
        </w:rPr>
        <w:t>se necesita una protección especial en relación con esos experimentos en el caso de las personas que no están en condiciones de dar un consentimiento válido, en particular de las sometidas a cualquier forma de detención o prisión. Estas personas no deben ser objeto de experimentos médicos o científicos que puedan ser perjudiciales para su salud</w:t>
      </w:r>
      <w:r w:rsidRPr="00E72B02">
        <w:t>”.</w:t>
      </w:r>
      <w:r w:rsidRPr="00E72B02">
        <w:rPr>
          <w:rStyle w:val="Refdenotaalpie"/>
          <w:lang w:val="es-ES"/>
        </w:rPr>
        <w:footnoteReference w:id="107"/>
      </w:r>
      <w:r w:rsidRPr="00E72B02">
        <w:t xml:space="preserve"> </w:t>
      </w:r>
      <w:r w:rsidRPr="00E72B02">
        <w:lastRenderedPageBreak/>
        <w:t xml:space="preserve">Finalmente la Observación nº 25 sobre el derecho al voto y a participar en los asuntos públicos, es la única </w:t>
      </w:r>
      <w:r w:rsidR="00510C87" w:rsidRPr="00E72B02">
        <w:t>que</w:t>
      </w:r>
      <w:r w:rsidRPr="00E72B02">
        <w:t xml:space="preserve"> hace referencia específica a las personas con discapacidad. En primer lugar el CteDH declara que “</w:t>
      </w:r>
      <w:r w:rsidRPr="00E72B02">
        <w:rPr>
          <w:i/>
        </w:rPr>
        <w:t>El ejercicio de estos derechos por los ciudadanos no puede suspenderse ni negarse, salvo por los motivos previstos en la legislación y que sean razonables y objetivos. Por ejemplo, la incapacidad mental verificada puede ser motivo para negar a una persona el derecho a votar o a ocupar un cargo público</w:t>
      </w:r>
      <w:r w:rsidRPr="00E72B02">
        <w:t>”, una interpretación que probablemente requiera ser revisada a la luz de la CDPD. Más adelante el CteDH establece que “</w:t>
      </w:r>
      <w:r w:rsidRPr="00E72B02">
        <w:rPr>
          <w:i/>
        </w:rPr>
        <w:t>No es razonable restringir el derecho de voto por motivos de discapacidad física ni imponer requisitos o restricciones relacionados con la capacidad para leer y escribir, el nivel de instrucción o la situación económica</w:t>
      </w:r>
      <w:r w:rsidRPr="00E72B02">
        <w:t>”. Finalmente el CteDH dispone que “</w:t>
      </w:r>
      <w:r w:rsidRPr="00E72B02">
        <w:rPr>
          <w:i/>
        </w:rPr>
        <w:t>Los Estados deben adoptar medidas eficaces para asegurar que todas las personas que tengan derecho a votar puedan ejercerlo (…) Deberán adoptarse medidas positivas para superar toda dificultad concreta, como el analfabetismo, las barreras lingüísticas, la pobreza o los obstáculos a la libertad de circulación, que impidan a las personas con derecho de voto ejercer sus derechos en forma efectiva (…) La asistencia que se preste a los discapacitados, los ciegos o los analfabetos deberá tener carácter independiente</w:t>
      </w:r>
      <w:r w:rsidRPr="00E72B02">
        <w:t>”.</w:t>
      </w:r>
      <w:r w:rsidRPr="00E72B02">
        <w:rPr>
          <w:rStyle w:val="Refdenotaalpie"/>
          <w:lang w:val="es-ES"/>
        </w:rPr>
        <w:footnoteReference w:id="108"/>
      </w:r>
      <w:r w:rsidRPr="00E72B02">
        <w:t xml:space="preserve"> </w:t>
      </w:r>
    </w:p>
    <w:p w:rsidR="00F2036A" w:rsidRPr="00E72B02" w:rsidRDefault="00F2036A" w:rsidP="004551E9">
      <w:r w:rsidRPr="00E72B02">
        <w:t>Cabe destacar que las Observaciones Generales n° 32 (2007</w:t>
      </w:r>
      <w:r w:rsidR="00510C87" w:rsidRPr="00E72B02">
        <w:t>)</w:t>
      </w:r>
      <w:r w:rsidRPr="00E72B02">
        <w:t xml:space="preserve">, n° 33 (2008), y ° 34 (2010), y que son posteriores a la adaptación de la CDPD, no hacen referencia o tratamiento específico a la discapacidad, pese a que abordan derechos sustantivos contemplados en la propia CDPD como “el derecho a un juicio imparcial y a la igualdad ante los tribunales y cortes de justicia”, el derecho a “libertad de opinión y libertad de expresión”. </w:t>
      </w:r>
    </w:p>
    <w:p w:rsidR="00F2036A" w:rsidRPr="00E72B02" w:rsidRDefault="00F2036A" w:rsidP="004551E9">
      <w:r w:rsidRPr="00E72B02">
        <w:lastRenderedPageBreak/>
        <w:t>Análisis de informes de Estados del CteDH</w:t>
      </w:r>
    </w:p>
    <w:p w:rsidR="00F2036A" w:rsidRPr="00E72B02" w:rsidRDefault="00F2036A" w:rsidP="004551E9">
      <w:r w:rsidRPr="00E72B02">
        <w:t>En el informe elaborado por QUINN &amp; DEGENER para el ACNUDH se evaluó el modo en el cual el CteDH y los Estados Partes habían tratado la discapacidad como cuestión de derechos humanos en relación con el PIDCP, desde 1993 hasta 2002, tomando como referencia, los informes periódicos presentados por los Estados, así como las listas de cuestiones y las observaciones finales emitidas por el CteDH.</w:t>
      </w:r>
      <w:r w:rsidRPr="00E72B02">
        <w:rPr>
          <w:rStyle w:val="Refdenotaalpie"/>
          <w:lang w:val="es-ES"/>
        </w:rPr>
        <w:footnoteReference w:id="109"/>
      </w:r>
      <w:r w:rsidRPr="00E72B02">
        <w:t xml:space="preserve"> </w:t>
      </w:r>
    </w:p>
    <w:p w:rsidR="00F2036A" w:rsidRPr="00E72B02" w:rsidRDefault="00F2036A" w:rsidP="004551E9">
      <w:r w:rsidRPr="00E72B02">
        <w:t>Según el citado informe “el examen de 114 informes de Estados Partes al Comité muestra que la mayoría de los Estados (63%) aún tiende a plantearse los derechos humanos de las personas con discapacidad en relación con el Pacto desde un ángulo médico o de asistencia social. Una minoría de los informes (38 %) adopta un criterio basado más bien en los derechos civiles y políticos”.</w:t>
      </w:r>
      <w:r w:rsidRPr="00E72B02">
        <w:rPr>
          <w:rStyle w:val="Refdenotaalpie"/>
          <w:lang w:val="es-ES"/>
        </w:rPr>
        <w:footnoteReference w:id="110"/>
      </w:r>
      <w:r w:rsidRPr="00E72B02">
        <w:t xml:space="preserve"> En relación con las observaciones finales del CteDH el informe refleja que de “153 documentos examinados, sólo 10 (7%) mencionan los derechos humanos de las personas con discapacidad”.</w:t>
      </w:r>
      <w:r w:rsidRPr="00E72B02">
        <w:rPr>
          <w:rStyle w:val="Refdenotaalpie"/>
          <w:lang w:val="es-ES"/>
        </w:rPr>
        <w:footnoteReference w:id="111"/>
      </w:r>
      <w:r w:rsidRPr="00E72B02">
        <w:t xml:space="preserve"> Con el cual el informe concluye que “mientras que el número de informes que mencionan a las personas discapacitadas es mayor de lo previsto, un examen más atento revela que las referencias suelen ser marginales. La mayoría de ellas contienen información sobre prestaciones sociales para las familias con niños discapacitados y otras cuestiones de asistencia social. Así, el planteamiento médico y de bienestar social en relación con la discapacidad suele prevalecer incluso en el contexto de un tratado relativo a los derechos civiles y políticos”.</w:t>
      </w:r>
      <w:r w:rsidRPr="00E72B02">
        <w:rPr>
          <w:rStyle w:val="Refdenotaalpie"/>
          <w:lang w:val="es-ES"/>
        </w:rPr>
        <w:footnoteReference w:id="112"/>
      </w:r>
      <w:r w:rsidRPr="00E72B02">
        <w:t xml:space="preserve"> </w:t>
      </w:r>
    </w:p>
    <w:p w:rsidR="00F2036A" w:rsidRPr="00E72B02" w:rsidRDefault="00F2036A" w:rsidP="004551E9">
      <w:r w:rsidRPr="00E72B02">
        <w:lastRenderedPageBreak/>
        <w:t>En este sentido, se puede observar un ligero cambio del CteDH en relación con las observaciones finales emitidas por posterioridad a la adopción de la CDPD. De forma muy positiva el CteDH parece reconocer definitivamente como cuestión de derechos humanos, la privación absoluta de la capacidad jurídica y la falta de acceso a la justicia en los internamientos forzosos.</w:t>
      </w:r>
      <w:r w:rsidRPr="00E72B02">
        <w:rPr>
          <w:rStyle w:val="Refdenotaalpie"/>
          <w:lang w:val="es-ES"/>
        </w:rPr>
        <w:footnoteReference w:id="113"/>
      </w:r>
      <w:r w:rsidRPr="00E72B02">
        <w:t xml:space="preserve"> En sus recientes recomendaciones a la República Dominicana, el CteDH ha manifestado su preocupación por los problemas de acceso de las personas con discapacidad a la educación, salud, trabajo y cultura, relacionándolo con la vulneración de los artículos 2 y 26 del Pacto, es decir, desde una perspectiva de igualdad y no discriminación. Frente a ello el CteDH observa al Estado su deber de implementar las disposiciones de la CDPD.</w:t>
      </w:r>
      <w:r w:rsidRPr="00E72B02">
        <w:rPr>
          <w:rStyle w:val="Refdenotaalpie"/>
          <w:lang w:val="es-ES"/>
        </w:rPr>
        <w:footnoteReference w:id="114"/>
      </w:r>
      <w:r w:rsidRPr="00E72B02">
        <w:t xml:space="preserve">  </w:t>
      </w:r>
    </w:p>
    <w:p w:rsidR="00F2036A" w:rsidRPr="00E72B02" w:rsidRDefault="00F2036A" w:rsidP="004551E9">
      <w:r w:rsidRPr="00E72B02">
        <w:t>Procedimiento de denuncias individuales ante el CteDH</w:t>
      </w:r>
    </w:p>
    <w:p w:rsidR="00F2036A" w:rsidRPr="00E72B02" w:rsidRDefault="00F2036A" w:rsidP="004551E9">
      <w:r w:rsidRPr="00E72B02">
        <w:t>En relación con el procedimiento de denuncias individuales establecido en virtud del primer Protocolo Facultativo al PIDCP, el informe de QUINN &amp; DEGENER demuestra que de un total de 344 denuncias, solo 8 de ellas (2%), abordaron cuestiones relativas a la discapacidad, y de esas 8, solo 2 fueron declaradas admisibles.</w:t>
      </w:r>
      <w:r w:rsidRPr="00E72B02">
        <w:rPr>
          <w:rStyle w:val="Refdenotaalpie"/>
          <w:lang w:val="es-ES"/>
        </w:rPr>
        <w:footnoteReference w:id="115"/>
      </w:r>
      <w:r w:rsidRPr="00E72B02">
        <w:t xml:space="preserve"> </w:t>
      </w:r>
    </w:p>
    <w:p w:rsidR="00F2036A" w:rsidRPr="00E72B02" w:rsidRDefault="00F2036A" w:rsidP="004551E9">
      <w:r w:rsidRPr="00E72B02">
        <w:lastRenderedPageBreak/>
        <w:t xml:space="preserve">En </w:t>
      </w:r>
      <w:r w:rsidRPr="00E72B02">
        <w:rPr>
          <w:i/>
        </w:rPr>
        <w:t>Hamilton v. Jamaica</w:t>
      </w:r>
      <w:r w:rsidRPr="00E72B02">
        <w:t xml:space="preserve"> por primera vez el CteDH demuestra su intención de aplicar la noción de igualdad más allá de lo puramente formal adoptando una postura interesante respecto de la aplicación del artículo 10 del Pacto, relacionada con el trato humanitario de las personas con discapacidad detenidas.</w:t>
      </w:r>
      <w:r w:rsidRPr="00E72B02">
        <w:rPr>
          <w:rStyle w:val="Refdenotaalpie"/>
        </w:rPr>
        <w:footnoteReference w:id="116"/>
      </w:r>
      <w:r w:rsidRPr="00E72B02">
        <w:t xml:space="preserve"> </w:t>
      </w:r>
    </w:p>
    <w:p w:rsidR="00F2036A" w:rsidRPr="00E72B02" w:rsidRDefault="00F2036A" w:rsidP="004551E9">
      <w:r w:rsidRPr="00E72B02">
        <w:rPr>
          <w:i/>
          <w:iCs/>
        </w:rPr>
        <w:t xml:space="preserve"> </w:t>
      </w:r>
      <w:r w:rsidRPr="00E72B02">
        <w:t xml:space="preserve">El caso se refería al trato y las condiciones de reclusión de un preso con discapacidad en espera de ser ejecutado. La persona tenía una parálisis en ambas piernas y por ende grandes dificultades para moverse, entre las que se destacan las tendientes a entrar y salir de la celda y </w:t>
      </w:r>
      <w:r w:rsidR="00C655C2" w:rsidRPr="00E72B02">
        <w:t>subir a la cama. De este modo, e</w:t>
      </w:r>
      <w:r w:rsidRPr="00E72B02">
        <w:t>l denunciante sólo podía salir de la celda en brazos de otros internos, y no podía vaciar el contenido de su cubo sanitario –viéndose obligado a pagar a otros internos para hacerlo. El Dictamen del Comité sostuvo que las condiciones  a las que había sido sometido el Sr. Hamilton significaban una violación directa de su dignidad.</w:t>
      </w:r>
      <w:r w:rsidRPr="00E72B02">
        <w:rPr>
          <w:rStyle w:val="Refdenotaalpie"/>
        </w:rPr>
        <w:footnoteReference w:id="117"/>
      </w:r>
      <w:r w:rsidRPr="00E72B02">
        <w:t xml:space="preserve"> </w:t>
      </w:r>
    </w:p>
    <w:p w:rsidR="00F2036A" w:rsidRPr="00E72B02" w:rsidRDefault="00F2036A" w:rsidP="004551E9">
      <w:pPr>
        <w:rPr>
          <w:lang w:val="es-ES"/>
        </w:rPr>
      </w:pPr>
      <w:r w:rsidRPr="00E72B02">
        <w:t xml:space="preserve">El Dictamen del CteDH resalta la importancia de que –a la hora de aplicar una norma del Pacto- se tenga presente la necesaria especificación que supone la discapacidad. Las autoridades penitenciarias –al no tomar los recaudos necesarios para que la persona con discapacidad pueda ejercer sus derechos al igual que el resto de reclusos-, estaban violando su derecho a la igualdad y su dignidad. En este sentido, sostiene la doctrina que los argumentos esgrimidos por el </w:t>
      </w:r>
      <w:r w:rsidR="00797A3B" w:rsidRPr="00E72B02">
        <w:t>CteDH</w:t>
      </w:r>
      <w:r w:rsidRPr="00E72B02">
        <w:t xml:space="preserve"> en este caso tienen importantes repercusiones para la aplicación del Pacto a las personas con discapacidad. En primer lugar, el caso deja en evidencia  que los derechos humanos de las personas con discapacidad no sólo se ven afectados en el contexto de la </w:t>
      </w:r>
      <w:r w:rsidRPr="00E72B02">
        <w:lastRenderedPageBreak/>
        <w:t xml:space="preserve">asistencia social y la salud. Sino que, de igual manera que el resto de las personas, las personas con discapacidad ven vulnerados sus derechos humanos en los diversos papeles que asumen: como reclusos, como votantes, como empleados, como miembros de una familia, etc. En segundo lugar, el mensaje de los dictámenes del </w:t>
      </w:r>
      <w:r w:rsidR="00797A3B" w:rsidRPr="00E72B02">
        <w:t>CteDH</w:t>
      </w:r>
      <w:r w:rsidRPr="00E72B02">
        <w:t xml:space="preserve"> radica en que los derechos consagrados en el </w:t>
      </w:r>
      <w:r w:rsidR="00797A3B" w:rsidRPr="00E72B02">
        <w:t>PIDCP</w:t>
      </w:r>
      <w:r w:rsidRPr="00E72B02">
        <w:t xml:space="preserve"> son aplicables a todas las personas, lo que evidentemente incluye a las personas con discapacidad. En tercer lugar, el criterio del dictamen del </w:t>
      </w:r>
      <w:r w:rsidR="00797A3B" w:rsidRPr="00E72B02">
        <w:t xml:space="preserve">CteDH </w:t>
      </w:r>
      <w:r w:rsidRPr="00E72B02">
        <w:t>expone de forma implícita un concepto muy importante que es el de “ajuste razonable”. De ello se desprende que los Estados Partes deben reconocer que existen presos con distintas necesidades y que por lo tanto el sistema debe ser adaptado, para encontrarse acondicionado a las mismas.</w:t>
      </w:r>
      <w:r w:rsidRPr="00E72B02">
        <w:rPr>
          <w:rStyle w:val="Refdenotaalpie"/>
        </w:rPr>
        <w:footnoteReference w:id="118"/>
      </w:r>
    </w:p>
    <w:p w:rsidR="00F2036A" w:rsidRPr="00E72B02" w:rsidRDefault="00F2036A" w:rsidP="004551E9">
      <w:r w:rsidRPr="00E72B02">
        <w:t xml:space="preserve">El análisis de las comunicaciones emitidas por el CteDH con posterioridad a la adopción de la CDPD, esencialmente sigue la misma dinámica de lo señalado en el informe QUINN &amp; DEGENER, es decir, numerosas referencias a la discapacidad, principalmente discapacidad mental, pero sin un verdadero tratamiento en base de derechos. </w:t>
      </w:r>
    </w:p>
    <w:p w:rsidR="00F2036A" w:rsidRPr="00E72B02" w:rsidRDefault="00F2036A" w:rsidP="004551E9">
      <w:r w:rsidRPr="00E72B02">
        <w:t xml:space="preserve"> </w:t>
      </w:r>
    </w:p>
    <w:p w:rsidR="00F2036A" w:rsidRPr="00E72B02" w:rsidRDefault="00F2036A" w:rsidP="004551E9">
      <w:pPr>
        <w:pStyle w:val="Ttulo4"/>
      </w:pPr>
      <w:r w:rsidRPr="00E72B02">
        <w:t>2.4.2.3 – El Pacto Internacional de Derechos Económicos Sociales y Culturales</w:t>
      </w:r>
    </w:p>
    <w:p w:rsidR="00F2036A" w:rsidRPr="00E72B02" w:rsidRDefault="00F2036A" w:rsidP="004551E9"/>
    <w:p w:rsidR="00F2036A" w:rsidRPr="00E72B02" w:rsidRDefault="00F2036A" w:rsidP="004551E9">
      <w:r w:rsidRPr="00E72B02">
        <w:t>El PIDESC,</w:t>
      </w:r>
      <w:r w:rsidRPr="00E72B02">
        <w:rPr>
          <w:rStyle w:val="Refdenotaalpie"/>
          <w:lang w:val="es-ES"/>
        </w:rPr>
        <w:footnoteReference w:id="119"/>
      </w:r>
      <w:r w:rsidRPr="00E72B02">
        <w:t xml:space="preserve"> es sin duda alguna, el instrumento universal y vinculante que mayor atención ha prestado a la situación particular de los derechos de las </w:t>
      </w:r>
      <w:r w:rsidRPr="00E72B02">
        <w:lastRenderedPageBreak/>
        <w:t xml:space="preserve">personas con discapacidad, ello a pesar de no existir referencia específica alguna a este colectivo a lo largo del texto del tratado. </w:t>
      </w:r>
    </w:p>
    <w:p w:rsidR="00F2036A" w:rsidRPr="00E72B02" w:rsidRDefault="00F2036A" w:rsidP="004551E9">
      <w:r w:rsidRPr="00E72B02">
        <w:t>Los derechos sustantivos del Pacto se encuentran recogidos entre los artículos 6 y 15: derecho al trabajo, en "condiciones de trabajo equitativas y satisfactorias" y derecho a fundar y afiliarse a los sindicatos (Artículos 6, 7 y 8); derecho a la seguridad social, incluso al seguro social (Artículo 9); derecho a la vida familiar, incluida la licencia parental remunerada y la protección de los niños (Artículo 10); derecho a un nivel de vida adecuado, incluso alimentación, vestido y vivienda, y la "mejora continua de las condiciones de existencia" (Artículo 11); derecho a la salud, específicamente al "más alto nivel posible de salud física y mental" (Artículo 12); derecho a la educación, incluida la enseñanza primaria universal y gratuita, disponible en general, la enseñanza secundaria, e igualmente accesible la educación superior (Artículo 13); derecho a la educación gratuita (Artículo 14); y derecho a la participación en la vida cultural (Artículo 15).</w:t>
      </w:r>
      <w:r w:rsidRPr="00E72B02">
        <w:tab/>
      </w:r>
      <w:r w:rsidR="004E7754" w:rsidRPr="00E72B02">
        <w:rPr>
          <w:rStyle w:val="Refdenotaalpie"/>
          <w:lang w:val="es-ES"/>
        </w:rPr>
        <w:footnoteReference w:id="120"/>
      </w:r>
    </w:p>
    <w:p w:rsidR="00F2036A" w:rsidRPr="00E72B02" w:rsidRDefault="00F2036A" w:rsidP="004551E9">
      <w:r w:rsidRPr="00E72B02">
        <w:t>Asimismo, el cuerpo sustantivo de los derechos reconocidos en el PIDESC debe ser implementado de una perspectiva de no discriminación (Artículo 2) e igualdad entre hombre y mujeres (Artículo 3).</w:t>
      </w:r>
    </w:p>
    <w:p w:rsidR="00F2036A" w:rsidRPr="00E72B02" w:rsidRDefault="00F2036A" w:rsidP="004551E9">
      <w:r w:rsidRPr="00E72B02">
        <w:t>El Comité de Derechos Económicos, Sociales y Culturales (CteDESC), ha aclarado recientemente algunos aspectos fundamentales sobre la aplicación del principio de no discriminación en el ámbito de los derechos económicos, sociales y culturales.</w:t>
      </w:r>
      <w:r w:rsidRPr="00E72B02">
        <w:rPr>
          <w:rStyle w:val="Refdenotaalpie"/>
          <w:lang w:val="es-ES"/>
        </w:rPr>
        <w:footnoteReference w:id="121"/>
      </w:r>
    </w:p>
    <w:p w:rsidR="00F2036A" w:rsidRPr="00E72B02" w:rsidRDefault="00F2036A" w:rsidP="004551E9">
      <w:r w:rsidRPr="00E72B02">
        <w:lastRenderedPageBreak/>
        <w:t xml:space="preserve"> El CteDESC comienza por reafirmar que “</w:t>
      </w:r>
      <w:r w:rsidRPr="00E72B02">
        <w:rPr>
          <w:i/>
        </w:rPr>
        <w:t>la no discriminación es una obligación inmediata y de alcance general en el Pacto</w:t>
      </w:r>
      <w:r w:rsidRPr="00E72B02">
        <w:t>”, la cual define del mismo modo que el CteDH en relación con los derechos civiles y políticos, es decir como “</w:t>
      </w:r>
      <w:r w:rsidRPr="00E72B02">
        <w:rPr>
          <w:i/>
        </w:rPr>
        <w:t>toda distinción, exclusión, restricción o preferencia u otro trato diferente que directa o indirectamente se base en los motivos prohibidos de discriminación y que tenga por objeto o por resultado anular o menoscabar el reconocimiento, goce o ejercicio, en condiciones de igualdad, de los derechos reconocidos en el Pacto. La discriminación también comprende la incitación a la discriminación y el acoso</w:t>
      </w:r>
      <w:r w:rsidRPr="00E72B02">
        <w:t>”.</w:t>
      </w:r>
      <w:r w:rsidRPr="00E72B02">
        <w:rPr>
          <w:rStyle w:val="Refdenotaalpie"/>
          <w:lang w:val="es-ES"/>
        </w:rPr>
        <w:footnoteReference w:id="122"/>
      </w:r>
      <w:r w:rsidRPr="00E72B02">
        <w:t xml:space="preserve"> </w:t>
      </w:r>
    </w:p>
    <w:p w:rsidR="00F2036A" w:rsidRPr="00E72B02" w:rsidRDefault="00F2036A" w:rsidP="004551E9">
      <w:r w:rsidRPr="00E72B02">
        <w:t>Pero el CteDESC profundiza el análisis de la noción de no discriminación estableciendo que para que los Estados partes puedan "garantizar" el ejercicio sin discriminación de los derechos recogidos en el Pacto, hay que erradicar la discriminación tanto en la forma como en el fondo. En relación con la discriminación sustantiva el CteDESC señala que “</w:t>
      </w:r>
      <w:r w:rsidRPr="00E72B02">
        <w:rPr>
          <w:i/>
        </w:rPr>
        <w:t>en el disfrute efectivo de los derechos recogidos en el Pacto influye con frecuencia el hecho de que una persona pertenezca a un grupo caracterizado por alguno de los motivos prohibidos de discriminación.  Para eliminar la discriminación en la práctica se debe prestar suficiente atención a los grupos o individuos que sufren injusticias históricas o son víctimas de prejuicios persistentes en lugar de limitarse a comparar el trato formal que reciben las personas en situaciones similares.  Los Estados partes deben, por tanto, adoptar de forma inmediata las medidas necesarias para prevenir, reducir y eliminar las condiciones y actitudes que generan o perpetúan la discriminación sustantiva o de facto</w:t>
      </w:r>
      <w:r w:rsidRPr="00E72B02">
        <w:t>”.</w:t>
      </w:r>
      <w:r w:rsidRPr="00E72B02">
        <w:rPr>
          <w:rStyle w:val="Refdenotaalpie"/>
        </w:rPr>
        <w:footnoteReference w:id="123"/>
      </w:r>
    </w:p>
    <w:p w:rsidR="00F2036A" w:rsidRPr="00E72B02" w:rsidRDefault="00F2036A" w:rsidP="004551E9">
      <w:r w:rsidRPr="00E72B02">
        <w:rPr>
          <w:lang w:val="es-ES"/>
        </w:rPr>
        <w:t>Asimismo el CteDESC establece que t</w:t>
      </w:r>
      <w:r w:rsidRPr="00E72B02">
        <w:t xml:space="preserve">anto las formas directas como las formas indirectas de trato diferencial constituyen discriminación conforme </w:t>
      </w:r>
      <w:r w:rsidRPr="00E72B02">
        <w:lastRenderedPageBreak/>
        <w:t>al artículo 2.2 del Pacto, así como las formas de discriminación sistémica y en la esfera privada.</w:t>
      </w:r>
      <w:r w:rsidRPr="00E72B02">
        <w:rPr>
          <w:rStyle w:val="Refdenotaalpie"/>
        </w:rPr>
        <w:footnoteReference w:id="124"/>
      </w:r>
      <w:r w:rsidRPr="00E72B02">
        <w:t xml:space="preserve"> </w:t>
      </w:r>
    </w:p>
    <w:p w:rsidR="00F2036A" w:rsidRPr="00E72B02" w:rsidRDefault="00F2036A" w:rsidP="004551E9">
      <w:r w:rsidRPr="00E72B02">
        <w:t>Finalmente el CteDESC reafirma la inclusión de la discapacidad como un motivo de discriminación implícito en la mención a “</w:t>
      </w:r>
      <w:r w:rsidRPr="00E72B02">
        <w:rPr>
          <w:i/>
        </w:rPr>
        <w:t>otra condición social</w:t>
      </w:r>
      <w:r w:rsidRPr="00E72B02">
        <w:t>” del artículo 2.2 del PIDESC, remitiendo a lo señalado en la Observación General n° 5 en cuanto al concepto de discriminación contra las personas con discapacidad, aunque destaca que “</w:t>
      </w:r>
      <w:r w:rsidRPr="00E72B02">
        <w:rPr>
          <w:i/>
        </w:rPr>
        <w:t>otros posibles motivos prohibidos de discriminación podrían ser la capacidad jurídica de una persona por el hecho de estar encarcelada o detenida, o por hallarse internada en una institución psiquiátrica de forma involuntaria, o una intersección de dos causas prohibidas de discriminación, como en el caso que se deniega un servicio social a alguien por ser mujer y tener una discapacidad</w:t>
      </w:r>
      <w:r w:rsidRPr="00E72B02">
        <w:t>”.</w:t>
      </w:r>
      <w:r w:rsidRPr="00E72B02">
        <w:rPr>
          <w:rStyle w:val="Refdenotaalpie"/>
        </w:rPr>
        <w:footnoteReference w:id="125"/>
      </w:r>
    </w:p>
    <w:p w:rsidR="00F2036A" w:rsidRPr="00E72B02" w:rsidRDefault="00F2036A" w:rsidP="004551E9">
      <w:r w:rsidRPr="00E72B02">
        <w:t>Ahora bien, y sin perjuicio de que la obligación de no discriminar en el PIDESC es de aplicación inmediata, los derechos incluidos en el Pacto se encuentran de algún modo afectados por lo estipulado en el artículo 2(1) que establece que “</w:t>
      </w:r>
      <w:r w:rsidRPr="00E72B02">
        <w:rPr>
          <w:i/>
        </w:rPr>
        <w:t>cada uno de los Estados Partes en el presente Pacto se compromete a adoptar medidas, tanto por separado como mediante la asistencia y la cooperación internacionales, especialmente económicas y técnicas, hasta el máximo de los recursos de que disponga, para lograr progresivamente, por todos los medios apropiados, inclusive en particular la adopción de medidas legislativas, la plena efectividad de los derechos aquí reconocidos</w:t>
      </w:r>
      <w:r w:rsidRPr="00E72B02">
        <w:t xml:space="preserve">”. </w:t>
      </w:r>
    </w:p>
    <w:p w:rsidR="00F2036A" w:rsidRPr="00E72B02" w:rsidRDefault="00F2036A" w:rsidP="004551E9">
      <w:r w:rsidRPr="00E72B02">
        <w:t xml:space="preserve">En este sentido el CteDESC ha señalado en su Observación General n°3 que mientras que la obligación de realizar el pleno disfrute de los derechos amparados en el Pacto es progresiva y está condicionada por los recursos disponibles, la obligación de garantizar que cada derecho es disfrutado por </w:t>
      </w:r>
      <w:r w:rsidRPr="00E72B02">
        <w:lastRenderedPageBreak/>
        <w:t>toda persona sin discriminación y de adoptar medidas para la realización de los derechos es inmediata. Estas medidas, señala el CteDESC, deben “</w:t>
      </w:r>
      <w:r w:rsidRPr="00E72B02">
        <w:rPr>
          <w:i/>
        </w:rPr>
        <w:t>ser deliberadas, concretas y orientadas lo más claramente posible hacia la satisfacción de las obligaciones reconocidas en el Pacto</w:t>
      </w:r>
      <w:r w:rsidRPr="00E72B02">
        <w:t>”, y deben adoptarse “</w:t>
      </w:r>
      <w:r w:rsidRPr="00E72B02">
        <w:rPr>
          <w:i/>
        </w:rPr>
        <w:t>dentro de un plazo razonablemente breve</w:t>
      </w:r>
      <w:r w:rsidRPr="00E72B02">
        <w:t>” después de la entrada en vigor del Pacto en un Estado dado.</w:t>
      </w:r>
      <w:r w:rsidRPr="00E72B02">
        <w:rPr>
          <w:rStyle w:val="Refdenotaalpie"/>
        </w:rPr>
        <w:footnoteReference w:id="126"/>
      </w:r>
      <w:r w:rsidRPr="00E72B02">
        <w:t xml:space="preserve"> </w:t>
      </w:r>
    </w:p>
    <w:p w:rsidR="00F2036A" w:rsidRPr="00E72B02" w:rsidRDefault="00F2036A" w:rsidP="004551E9">
      <w:r w:rsidRPr="00E72B02">
        <w:t>En cuanto a la aplicación de los derechos sustantivos del PIDESC al ámbito de la discapacidad, el CteDESC formuló en 1994 una Observación General n° 5 denominada “</w:t>
      </w:r>
      <w:r w:rsidRPr="00E72B02">
        <w:rPr>
          <w:i/>
        </w:rPr>
        <w:t>las personas con discapacidad</w:t>
      </w:r>
      <w:r w:rsidRPr="00E72B02">
        <w:t>”</w:t>
      </w:r>
      <w:r w:rsidRPr="00E72B02">
        <w:rPr>
          <w:rStyle w:val="Refdenotaalpie"/>
        </w:rPr>
        <w:footnoteReference w:id="127"/>
      </w:r>
      <w:r w:rsidRPr="00E72B02">
        <w:t xml:space="preserve"> donde, en efecto, el Comité analiza de forma pormenorizada la perspectiva de la discapacidad en relación con cada uno de los derechos recogidos en el Pacto.</w:t>
      </w:r>
    </w:p>
    <w:p w:rsidR="00F2036A" w:rsidRPr="00E72B02" w:rsidRDefault="00F2036A" w:rsidP="004551E9">
      <w:r w:rsidRPr="00E72B02">
        <w:t>El primer lugar el CteDESC traza un puente directo hacia las Normas Uniformes al señalar que estas “son de gran importancia y constituyen una guía de referencia particularmente valiosa para identificar con mayor precisión las obligaciones que recaen en los Estados Partes en virtud del Pacto”.</w:t>
      </w:r>
      <w:r w:rsidRPr="00E72B02">
        <w:rPr>
          <w:rStyle w:val="Refdenotaalpie"/>
        </w:rPr>
        <w:footnoteReference w:id="128"/>
      </w:r>
      <w:r w:rsidRPr="00E72B02">
        <w:t xml:space="preserve"> Téngase en cuenta que las Normas Uniformes eran, al momento de adoptarse la Observación, el instrumento universal más importante y basado en una perspectiva de derechos humanos. Con lo cual, hoy día esta valiosa interpretación del CteDESC, se encuentra mucho más reforzada por la entrada en vigor de la CDPD.</w:t>
      </w:r>
      <w:r w:rsidRPr="00E72B02">
        <w:rPr>
          <w:rStyle w:val="Refdenotaalpie"/>
        </w:rPr>
        <w:footnoteReference w:id="129"/>
      </w:r>
    </w:p>
    <w:p w:rsidR="00F2036A" w:rsidRPr="00E72B02" w:rsidRDefault="00F2036A" w:rsidP="004551E9">
      <w:pPr>
        <w:rPr>
          <w:lang w:val="es-ES_tradnl"/>
        </w:rPr>
      </w:pPr>
      <w:r w:rsidRPr="00E72B02">
        <w:rPr>
          <w:lang w:val="es-ES_tradnl"/>
        </w:rPr>
        <w:lastRenderedPageBreak/>
        <w:t>En segundo lugar, el CteDESC amplía el significado de las obligaciones de los Estados Parte en virtud del Pacto en el contexto de la discapacidad al establecer que los Estados también deben velar porque el disfrute de los derechos por parte de las personas con discapacidad no se vea obstaculizado por terceras partes en la esfera privada. Específicamente, establece que las entidades no públicas, incluidos “</w:t>
      </w:r>
      <w:r w:rsidRPr="00E72B02">
        <w:rPr>
          <w:i/>
          <w:lang w:val="es-ES_tradnl"/>
        </w:rPr>
        <w:t>el empleador privado y el proveedor de artículos y servicios privado quedan sometidos a las mismas normas de no discriminación e igualdad en relación con las personas con discapacidad</w:t>
      </w:r>
      <w:r w:rsidRPr="00E72B02">
        <w:rPr>
          <w:lang w:val="es-ES_tradnl"/>
        </w:rPr>
        <w:t>”.</w:t>
      </w:r>
      <w:r w:rsidRPr="00E72B02">
        <w:rPr>
          <w:rStyle w:val="Refdenotaalpie"/>
        </w:rPr>
        <w:footnoteReference w:id="130"/>
      </w:r>
      <w:r w:rsidRPr="00E72B02">
        <w:rPr>
          <w:lang w:val="es-ES_tradnl"/>
        </w:rPr>
        <w:t xml:space="preserve"> Por otro lado, insta a que los Estados adopten medidas de trato preferente o especial para reducir las desventajas estructurales y conseguir los objetivos de la plena participación e igualdad dentro de la sociedad para las personas con discapacidad.</w:t>
      </w:r>
      <w:r w:rsidRPr="00E72B02">
        <w:rPr>
          <w:rStyle w:val="Refdenotaalpie"/>
        </w:rPr>
        <w:footnoteReference w:id="131"/>
      </w:r>
    </w:p>
    <w:p w:rsidR="00F2036A" w:rsidRPr="00E72B02" w:rsidRDefault="00F2036A" w:rsidP="004551E9">
      <w:pPr>
        <w:rPr>
          <w:lang w:val="es-ES_tradnl"/>
        </w:rPr>
      </w:pPr>
      <w:r w:rsidRPr="00E72B02">
        <w:rPr>
          <w:lang w:val="es-ES_tradnl"/>
        </w:rPr>
        <w:t>En tercer lugar el CteDESC establece que a “los efectos del Pacto, la "discriminación fundada en la discapacidad" puede definirse como una discriminación que incluye toda distinción, exclusión, restricción o preferencia, o negativa de alojamiento razonable (sic) sobre la base de la discapacidad, cuyo efecto es anular u obstaculizar el reconocimiento, el disfrute o el ejercicio de derechos económicos, sociales o culturales”. En su momento esta definición de discriminación fundada en discapacidad supuso un avance importante en la consideración de los derechos económicos, sociales y culturales en el ámbito de la discapacidad, al considerar como discriminación “la denegación de ajustes razonables”.</w:t>
      </w:r>
      <w:r w:rsidRPr="00E72B02">
        <w:rPr>
          <w:rStyle w:val="Refdenotaalpie"/>
          <w:lang w:val="es-ES_tradnl"/>
        </w:rPr>
        <w:footnoteReference w:id="132"/>
      </w:r>
      <w:r w:rsidRPr="00E72B02">
        <w:rPr>
          <w:lang w:val="es-ES_tradnl"/>
        </w:rPr>
        <w:t xml:space="preserve"> No obstante, denegación de ajustes razonables es sólo una parte de los tipos de </w:t>
      </w:r>
      <w:r w:rsidRPr="00E72B02">
        <w:rPr>
          <w:lang w:val="es-ES_tradnl"/>
        </w:rPr>
        <w:lastRenderedPageBreak/>
        <w:t xml:space="preserve">discriminaciones que pueden sufrir las personas con discapacidad, con lo cual esta definición resulta excesivamente acotada. De todos modos, como se ha señalado anteriormente, la adopción de un criterio amplio de discriminación por parte del CteDESC en su Observación General n° 20, permite complementar el criterio adoptado por la Observación General n° 5, equiparado el concepto de discriminación fundado en discapacidad, con el concepto de “discriminación por motivo de discapacidad” adoptado por la CDPD en su Artículo 2. </w:t>
      </w:r>
    </w:p>
    <w:p w:rsidR="00F2036A" w:rsidRPr="00E72B02" w:rsidRDefault="00F2036A" w:rsidP="004551E9">
      <w:pPr>
        <w:rPr>
          <w:lang w:val="es-ES_tradnl"/>
        </w:rPr>
      </w:pPr>
      <w:r w:rsidRPr="00E72B02">
        <w:rPr>
          <w:lang w:val="es-ES_tradnl"/>
        </w:rPr>
        <w:t>El derecho humano a la educación</w:t>
      </w:r>
    </w:p>
    <w:p w:rsidR="00F2036A" w:rsidRPr="00E72B02" w:rsidRDefault="00F2036A" w:rsidP="004551E9">
      <w:pPr>
        <w:rPr>
          <w:lang w:val="es-ES_tradnl"/>
        </w:rPr>
      </w:pPr>
      <w:r w:rsidRPr="00E72B02">
        <w:rPr>
          <w:lang w:val="es-ES_tradnl"/>
        </w:rPr>
        <w:t xml:space="preserve">El PIDESC recoge en los artículos 13 y 14 las obligaciones generales respecto de los Estados Partes en materia del derecho humano a la educación. En un sentido general se podría decir que las obligaciones internacionales en relación con este derecho tienen las siguientes características básicas: </w:t>
      </w:r>
    </w:p>
    <w:p w:rsidR="00F2036A" w:rsidRPr="00E72B02" w:rsidRDefault="00F2036A" w:rsidP="004551E9">
      <w:pPr>
        <w:pStyle w:val="Prrafodelista"/>
        <w:rPr>
          <w:lang w:val="es-ES_tradnl"/>
        </w:rPr>
      </w:pPr>
      <w:r w:rsidRPr="00E72B02">
        <w:rPr>
          <w:lang w:val="es-ES_tradnl"/>
        </w:rPr>
        <w:t>Los Estados Partes deben implementar un sistema educativo de nivel primario “obligatorio y asequible a todos gratuitamente”;</w:t>
      </w:r>
    </w:p>
    <w:p w:rsidR="00F2036A" w:rsidRPr="00E72B02" w:rsidRDefault="00F2036A" w:rsidP="004551E9">
      <w:pPr>
        <w:pStyle w:val="Prrafodelista"/>
        <w:rPr>
          <w:lang w:val="es-ES_tradnl"/>
        </w:rPr>
      </w:pPr>
      <w:r w:rsidRPr="00E72B02">
        <w:rPr>
          <w:lang w:val="es-ES_tradnl"/>
        </w:rPr>
        <w:t xml:space="preserve">Los Estados Partes deben implementar un sistema educativo de nivel secundario “generalizado y accesible” con el objetivo de implementar su gratuidad progresivamente; </w:t>
      </w:r>
    </w:p>
    <w:p w:rsidR="00F2036A" w:rsidRPr="00E72B02" w:rsidRDefault="00F2036A" w:rsidP="004551E9">
      <w:pPr>
        <w:pStyle w:val="Prrafodelista"/>
        <w:rPr>
          <w:lang w:val="es-ES_tradnl"/>
        </w:rPr>
      </w:pPr>
      <w:r w:rsidRPr="00E72B02">
        <w:rPr>
          <w:lang w:val="es-ES_tradnl"/>
        </w:rPr>
        <w:t xml:space="preserve">Los Estados Partes deben implementar un sistema educativo de nivel superior “generalizado y accesible” con el objetivo de implementar su gratuidad progresivamente; </w:t>
      </w:r>
    </w:p>
    <w:p w:rsidR="00F2036A" w:rsidRPr="00E72B02" w:rsidRDefault="00F2036A" w:rsidP="004551E9">
      <w:pPr>
        <w:pStyle w:val="Prrafodelista"/>
        <w:rPr>
          <w:lang w:val="es-ES_tradnl"/>
        </w:rPr>
      </w:pPr>
      <w:r w:rsidRPr="00E72B02">
        <w:rPr>
          <w:lang w:val="es-ES_tradnl"/>
        </w:rPr>
        <w:t xml:space="preserve">Los Estados Partes deben adoptar medidas progresivas para </w:t>
      </w:r>
      <w:r w:rsidR="009E4349" w:rsidRPr="00E72B02">
        <w:rPr>
          <w:lang w:val="es-ES_tradnl"/>
        </w:rPr>
        <w:t>fomentar</w:t>
      </w:r>
      <w:r w:rsidRPr="00E72B02">
        <w:rPr>
          <w:lang w:val="es-ES_tradnl"/>
        </w:rPr>
        <w:t xml:space="preserve"> la educación de quienes no han logrado acceder a la educación básica, así como para implantar un sistema de becas y mejoramiento de las condiciones materiales del cuerpo docente. </w:t>
      </w:r>
    </w:p>
    <w:p w:rsidR="00F2036A" w:rsidRPr="00E72B02" w:rsidRDefault="00F2036A" w:rsidP="004551E9">
      <w:pPr>
        <w:rPr>
          <w:lang w:val="es-ES_tradnl"/>
        </w:rPr>
      </w:pPr>
      <w:r w:rsidRPr="00E72B02">
        <w:rPr>
          <w:lang w:val="es-ES_tradnl"/>
        </w:rPr>
        <w:t xml:space="preserve">En un sentido general el CteDESC ha señalado en su Observación General n° 13 que el derecho a la educación abarca los siguientes elementos: disponibilidad, accesibilidad, aceptabilidad y adaptabilidad. Se afirma además que la accesibilidad tiene tres dimensiones que se coinciden </w:t>
      </w:r>
      <w:r w:rsidRPr="00E72B02">
        <w:rPr>
          <w:lang w:val="es-ES_tradnl"/>
        </w:rPr>
        <w:lastRenderedPageBreak/>
        <w:t>parcialmente: a) no discriminación, b) accesibilidad material; y c) accesibilidad económica.</w:t>
      </w:r>
      <w:r w:rsidRPr="00E72B02">
        <w:rPr>
          <w:rStyle w:val="Refdenotaalpie"/>
          <w:lang w:val="es-ES_tradnl"/>
        </w:rPr>
        <w:footnoteReference w:id="133"/>
      </w:r>
      <w:r w:rsidRPr="00E72B02">
        <w:rPr>
          <w:lang w:val="es-ES_tradnl"/>
        </w:rPr>
        <w:t xml:space="preserve"> Adicionalmente el CteDESC reafirma que “</w:t>
      </w:r>
      <w:r w:rsidRPr="00E72B02">
        <w:rPr>
          <w:i/>
          <w:lang w:val="es-ES_tradnl"/>
        </w:rPr>
        <w:t>la prohibición de la discriminación, consagrada en el párrafo 2 del artículo 2 del Pacto, no está supeditada ni a una implantación gradual ni a la disponibilidad de recursos; se aplica plena e inmediatamente a todos los aspectos de la educación y abarca todos los motivos de discriminación rechazados internacionalmente</w:t>
      </w:r>
      <w:r w:rsidRPr="00E72B02">
        <w:rPr>
          <w:lang w:val="es-ES_tradnl"/>
        </w:rPr>
        <w:t>”.</w:t>
      </w:r>
      <w:r w:rsidRPr="00E72B02">
        <w:rPr>
          <w:rStyle w:val="Refdenotaalpie"/>
          <w:lang w:val="es-ES_tradnl"/>
        </w:rPr>
        <w:footnoteReference w:id="134"/>
      </w:r>
      <w:r w:rsidRPr="00E72B02">
        <w:rPr>
          <w:lang w:val="es-ES_tradnl"/>
        </w:rPr>
        <w:t xml:space="preserve"> </w:t>
      </w:r>
    </w:p>
    <w:p w:rsidR="00F2036A" w:rsidRPr="00E72B02" w:rsidRDefault="00F2036A" w:rsidP="004551E9">
      <w:pPr>
        <w:rPr>
          <w:lang w:val="es-ES_tradnl"/>
        </w:rPr>
      </w:pPr>
      <w:r w:rsidRPr="00E72B02">
        <w:rPr>
          <w:lang w:val="es-ES_tradnl"/>
        </w:rPr>
        <w:t>En el ámbito específico de la discapacidad la Observación General n° 5 remite a lo estipulado en las Normas Uniformes y reafirma que "</w:t>
      </w:r>
      <w:r w:rsidRPr="00E72B02">
        <w:rPr>
          <w:i/>
          <w:lang w:val="es-ES_tradnl"/>
        </w:rPr>
        <w:t>los Estados deben reconocer el principio de la igualdad de oportunidades de educación en los niveles primario, secundario y superior para los niños, los jóvenes y los adultos con discapacidad en entornos integrados</w:t>
      </w:r>
      <w:r w:rsidRPr="00E72B02">
        <w:rPr>
          <w:lang w:val="es-ES_tradnl"/>
        </w:rPr>
        <w:t>" y que “</w:t>
      </w:r>
      <w:r w:rsidRPr="00E72B02">
        <w:rPr>
          <w:i/>
          <w:lang w:val="es-ES_tradnl"/>
        </w:rPr>
        <w:t>para llevar a la práctica ese principio, los Estados deben velar por que los profesores estén adiestrados para educar a niños con discapacidad en escuelas ordinarias y se disponga del equipo y el apoyo necesarios para que las personas con discapacidad puedan alcanzar el mismo nivel de educación que las demás personas</w:t>
      </w:r>
      <w:r w:rsidRPr="00E72B02">
        <w:rPr>
          <w:lang w:val="es-ES_tradnl"/>
        </w:rPr>
        <w:t>”.</w:t>
      </w:r>
    </w:p>
    <w:p w:rsidR="00F2036A" w:rsidRPr="00E72B02" w:rsidRDefault="00F2036A" w:rsidP="004551E9">
      <w:pPr>
        <w:rPr>
          <w:lang w:val="es-ES_tradnl"/>
        </w:rPr>
      </w:pPr>
      <w:r w:rsidRPr="00E72B02">
        <w:rPr>
          <w:lang w:val="es-ES_tradnl"/>
        </w:rPr>
        <w:t>El CteDESC adopta claramente una postura hacia la “educación inclusiva” aunque deja abierto el debate al afirmar en la Observación General n° 13 que “</w:t>
      </w:r>
      <w:r w:rsidRPr="00E72B02">
        <w:rPr>
          <w:i/>
          <w:lang w:val="es-ES_tradnl"/>
        </w:rPr>
        <w:t>en algunas circunstancias, se considerará que la existencia de sistemas o instituciones de enseñanza separados para los grupos definidos por las categorías a que se refiere el párrafo 2 del artículo 2 no constituye una violación del Pacto</w:t>
      </w:r>
      <w:r w:rsidRPr="00E72B02">
        <w:rPr>
          <w:lang w:val="es-ES_tradnl"/>
        </w:rPr>
        <w:t>”.</w:t>
      </w:r>
      <w:r w:rsidRPr="00E72B02">
        <w:rPr>
          <w:rStyle w:val="Refdenotaalpie"/>
          <w:lang w:val="es-ES_tradnl"/>
        </w:rPr>
        <w:footnoteReference w:id="135"/>
      </w:r>
      <w:r w:rsidRPr="00E72B02">
        <w:rPr>
          <w:lang w:val="es-ES_tradnl"/>
        </w:rPr>
        <w:t xml:space="preserve"> En su informe al ACNUDH QUINN &amp; DEGENER proponen zanjar este debate mediante referencia al artículo 6 de </w:t>
      </w:r>
      <w:r w:rsidRPr="00E72B02">
        <w:rPr>
          <w:lang w:val="es-ES_tradnl"/>
        </w:rPr>
        <w:lastRenderedPageBreak/>
        <w:t>las Normas Uniformes según el cual cabría analizar la posibilidad de establecer la enseñanza especial, pero con el objetivo de preparar a los estudiantes para que se educaran en el sistema de enseñanza general.</w:t>
      </w:r>
      <w:r w:rsidRPr="00E72B02">
        <w:rPr>
          <w:rStyle w:val="Refdenotaalpie"/>
          <w:lang w:val="es-ES_tradnl"/>
        </w:rPr>
        <w:footnoteReference w:id="136"/>
      </w:r>
      <w:r w:rsidRPr="00E72B02">
        <w:rPr>
          <w:lang w:val="es-ES_tradnl"/>
        </w:rPr>
        <w:t xml:space="preserve"> La entrada en vigor de la CDPD, y en especial del artículo 23, aporta sólidos fundamentos a la postura señalada. </w:t>
      </w:r>
    </w:p>
    <w:p w:rsidR="00F2036A" w:rsidRPr="00E72B02" w:rsidRDefault="00F2036A" w:rsidP="004551E9">
      <w:pPr>
        <w:rPr>
          <w:lang w:val="es-ES_tradnl"/>
        </w:rPr>
      </w:pPr>
      <w:r w:rsidRPr="00E72B02">
        <w:rPr>
          <w:lang w:val="es-ES_tradnl"/>
        </w:rPr>
        <w:t>El derecho humano a la salud</w:t>
      </w:r>
    </w:p>
    <w:p w:rsidR="00F2036A" w:rsidRPr="00E72B02" w:rsidRDefault="00F2036A" w:rsidP="004551E9">
      <w:pPr>
        <w:rPr>
          <w:lang w:val="es-ES_tradnl"/>
        </w:rPr>
      </w:pPr>
      <w:r w:rsidRPr="00E72B02">
        <w:rPr>
          <w:lang w:val="es-ES_tradnl"/>
        </w:rPr>
        <w:t>El PIDESC recoge en su artículo 12 el derecho humano a la salud, aunque lo caracteriza como el derecho de “</w:t>
      </w:r>
      <w:r w:rsidRPr="00E72B02">
        <w:rPr>
          <w:i/>
          <w:lang w:val="es-ES_tradnl"/>
        </w:rPr>
        <w:t>toda persona al disfrute del más alto nivel posible de salud física y mental</w:t>
      </w:r>
      <w:r w:rsidRPr="00E72B02">
        <w:rPr>
          <w:lang w:val="es-ES_tradnl"/>
        </w:rPr>
        <w:t xml:space="preserve">”. Y esto resulta lógico puesto que el Estado no puede garantizar que todas las personas estén sanas, sino más bien, que el nivel de salud sea lo más alto posible. Es en esencia una obligación de medios, y no de resultados.   </w:t>
      </w:r>
    </w:p>
    <w:p w:rsidR="00F2036A" w:rsidRPr="00E72B02" w:rsidRDefault="00F2036A" w:rsidP="004551E9">
      <w:pPr>
        <w:rPr>
          <w:lang w:val="es-ES_tradnl"/>
        </w:rPr>
      </w:pPr>
      <w:r w:rsidRPr="00E72B02">
        <w:rPr>
          <w:lang w:val="es-ES_tradnl"/>
        </w:rPr>
        <w:t>El CteDESC ha interpretado por intermedio de la Observación General n° 12 el derecho a la salud, definido en el apartado 1 del artículo 12, “</w:t>
      </w:r>
      <w:r w:rsidRPr="00E72B02">
        <w:rPr>
          <w:i/>
          <w:lang w:val="es-ES_tradnl"/>
        </w:rPr>
        <w:t>como un derecho inclusivo que no sólo abarca la atención de salud oportuna y apropiada sino también los principales factores determinantes de la salud, como el acceso al agua limpia potable y acondiciones sanitarias adecuadas, el suministro adecuado de alimentos sanos, una nutrición adecuada, una vivienda adecuada, condiciones sanas en el trabajo y el medio ambiente, y acceso a la educación e información sobre cuestiones relacionadas con la salud, incluida la salud sexual y reproductiva</w:t>
      </w:r>
      <w:r w:rsidRPr="00E72B02">
        <w:rPr>
          <w:lang w:val="es-ES_tradnl"/>
        </w:rPr>
        <w:t>”.</w:t>
      </w:r>
      <w:r w:rsidRPr="00E72B02">
        <w:rPr>
          <w:rStyle w:val="Refdenotaalpie"/>
          <w:lang w:val="es-ES_tradnl"/>
        </w:rPr>
        <w:footnoteReference w:id="137"/>
      </w:r>
      <w:r w:rsidRPr="00E72B02">
        <w:rPr>
          <w:lang w:val="es-ES_tradnl"/>
        </w:rPr>
        <w:t xml:space="preserve"> </w:t>
      </w:r>
    </w:p>
    <w:p w:rsidR="00F2036A" w:rsidRPr="00E72B02" w:rsidRDefault="00F2036A" w:rsidP="004551E9">
      <w:pPr>
        <w:rPr>
          <w:lang w:val="es-ES_tradnl"/>
        </w:rPr>
      </w:pPr>
      <w:r w:rsidRPr="00E72B02">
        <w:rPr>
          <w:lang w:val="es-ES_tradnl"/>
        </w:rPr>
        <w:t>Asimismo el CteDESC ha señalado que el derecho a la salud está estrechamente vinculado con el ejercicio de otros derechos humanos y libertades fundamentales. Entre los derechos el CteDESC menciona “</w:t>
      </w:r>
      <w:r w:rsidRPr="00E72B02">
        <w:rPr>
          <w:i/>
          <w:lang w:val="es-ES_tradnl"/>
        </w:rPr>
        <w:t xml:space="preserve">el </w:t>
      </w:r>
      <w:r w:rsidRPr="00E72B02">
        <w:rPr>
          <w:i/>
          <w:lang w:val="es-ES_tradnl"/>
        </w:rPr>
        <w:lastRenderedPageBreak/>
        <w:t>derecho a la alimentación, a la vivienda, al trabajo, a la educación, a la dignidad humana, a la vida, a la no discriminación, a la igualdad, a no ser sometido a torturas, a la vida privada, al acceso a la información y a la libertad de asociación, reunión y circulación</w:t>
      </w:r>
      <w:r w:rsidRPr="00E72B02">
        <w:rPr>
          <w:lang w:val="es-ES_tradnl"/>
        </w:rPr>
        <w:t>”.</w:t>
      </w:r>
      <w:r w:rsidRPr="00E72B02">
        <w:rPr>
          <w:rStyle w:val="Refdenotaalpie"/>
          <w:lang w:val="es-ES_tradnl"/>
        </w:rPr>
        <w:footnoteReference w:id="138"/>
      </w:r>
      <w:r w:rsidRPr="00E72B02">
        <w:rPr>
          <w:lang w:val="es-ES_tradnl"/>
        </w:rPr>
        <w:t xml:space="preserve"> Entre las libertades “</w:t>
      </w:r>
      <w:r w:rsidRPr="00E72B02">
        <w:rPr>
          <w:i/>
          <w:lang w:val="es-ES_tradnl"/>
        </w:rPr>
        <w:t>el derecho a controlar su salud y su cuerpo, con inclusión de la libertad sexual y genésica, y el derecho a no padecer injerencias, como el derecho a no ser sometido a torturas ni a tratamientos y experimentos médicos no consensuales</w:t>
      </w:r>
      <w:r w:rsidRPr="00E72B02">
        <w:rPr>
          <w:lang w:val="es-ES_tradnl"/>
        </w:rPr>
        <w:t>”.</w:t>
      </w:r>
      <w:r w:rsidRPr="00E72B02">
        <w:rPr>
          <w:rStyle w:val="Refdenotaalpie"/>
          <w:lang w:val="es-ES_tradnl"/>
        </w:rPr>
        <w:footnoteReference w:id="139"/>
      </w:r>
      <w:r w:rsidRPr="00E72B02">
        <w:rPr>
          <w:lang w:val="es-ES_tradnl"/>
        </w:rPr>
        <w:t xml:space="preserve"> </w:t>
      </w:r>
    </w:p>
    <w:p w:rsidR="00F2036A" w:rsidRPr="00E72B02" w:rsidRDefault="00F2036A" w:rsidP="004551E9">
      <w:pPr>
        <w:rPr>
          <w:lang w:val="es-ES_tradnl"/>
        </w:rPr>
      </w:pPr>
      <w:r w:rsidRPr="00E72B02">
        <w:rPr>
          <w:lang w:val="es-ES_tradnl"/>
        </w:rPr>
        <w:t>Por otro lado, el CteDESC ha expresado que el derecho a la salud en todas sus formas y a todos los niveles abarca los siguientes elementos esenciales e interrelacionados: a) Disponibilidad; b) Accesibilidad (que presenta cuatro dimensiones superpuestas: i) No discriminación, ii) Accesibilidad física, iii) Accesibilidad económica –asequibilidad-, y iv) Acceso a la información), c) Aceptabilidad; y d) Calidad.</w:t>
      </w:r>
      <w:r w:rsidRPr="00E72B02">
        <w:rPr>
          <w:rStyle w:val="Refdenotaalpie"/>
          <w:lang w:val="es-ES_tradnl"/>
        </w:rPr>
        <w:footnoteReference w:id="140"/>
      </w:r>
    </w:p>
    <w:p w:rsidR="00F2036A" w:rsidRPr="00E72B02" w:rsidRDefault="00F2036A" w:rsidP="004551E9">
      <w:pPr>
        <w:rPr>
          <w:lang w:val="es-ES_tradnl"/>
        </w:rPr>
      </w:pPr>
      <w:r w:rsidRPr="00E72B02">
        <w:rPr>
          <w:lang w:val="es-ES_tradnl"/>
        </w:rPr>
        <w:t>Finalmente el CteDESC ha reafirmado que los Estados Partes “tienen obligaciones inmediatas por lo que respecta al derecho a la salud, como la garantía de que ese derecho será ejercido sin discriminación alguna (párrafo 2 del artículo 2) y la obligación de adoptar medidas (párrafo 1 del artículo 2) en aras de la plena realización del artículo 12”.</w:t>
      </w:r>
      <w:r w:rsidRPr="00E72B02">
        <w:rPr>
          <w:rStyle w:val="Refdenotaalpie"/>
          <w:lang w:val="es-ES_tradnl"/>
        </w:rPr>
        <w:footnoteReference w:id="141"/>
      </w:r>
      <w:r w:rsidRPr="00E72B02">
        <w:rPr>
          <w:lang w:val="es-ES_tradnl"/>
        </w:rPr>
        <w:t xml:space="preserve"> </w:t>
      </w:r>
    </w:p>
    <w:p w:rsidR="00F2036A" w:rsidRPr="00E72B02" w:rsidRDefault="00F2036A" w:rsidP="004551E9">
      <w:pPr>
        <w:rPr>
          <w:iCs/>
        </w:rPr>
      </w:pPr>
      <w:r w:rsidRPr="00E72B02">
        <w:rPr>
          <w:lang w:val="es-ES_tradnl"/>
        </w:rPr>
        <w:t>En relación con el ámbito específico de la discapacidad, la Observación General n° 12 identifica a las personas con discapacidad dentro de los “</w:t>
      </w:r>
      <w:r w:rsidRPr="00E72B02">
        <w:rPr>
          <w:i/>
          <w:iCs/>
        </w:rPr>
        <w:t xml:space="preserve">grupos vulnerables a la discriminación en el ámbito del derecho a la </w:t>
      </w:r>
      <w:r w:rsidRPr="00E72B02">
        <w:rPr>
          <w:i/>
          <w:iCs/>
        </w:rPr>
        <w:lastRenderedPageBreak/>
        <w:t xml:space="preserve">salud”, </w:t>
      </w:r>
      <w:r w:rsidRPr="00E72B02">
        <w:rPr>
          <w:iCs/>
        </w:rPr>
        <w:t>aunque remite al respecto a lo señalado previamente en la Observación General n° 5.</w:t>
      </w:r>
      <w:r w:rsidRPr="00E72B02">
        <w:rPr>
          <w:rStyle w:val="Refdenotaalpie"/>
          <w:iCs/>
        </w:rPr>
        <w:footnoteReference w:id="142"/>
      </w:r>
      <w:r w:rsidRPr="00E72B02">
        <w:rPr>
          <w:iCs/>
        </w:rPr>
        <w:t xml:space="preserve"> </w:t>
      </w:r>
    </w:p>
    <w:p w:rsidR="00F2036A" w:rsidRPr="00E72B02" w:rsidRDefault="00F2036A" w:rsidP="004551E9">
      <w:pPr>
        <w:rPr>
          <w:lang w:val="es-ES_tradnl"/>
        </w:rPr>
      </w:pPr>
      <w:r w:rsidRPr="00E72B02">
        <w:rPr>
          <w:lang w:val="es-ES_tradnl"/>
        </w:rPr>
        <w:t>En este sentido, y aunque la Observación General n° 5 no hace más que reproducir lo señalado en las Normas Uniformes y otros instrumentos internacionales, es importante destacar la relación que traza entre el derecho a la salud y la autonomía e integración de las personas con discapacidad.</w:t>
      </w:r>
      <w:r w:rsidRPr="00E72B02">
        <w:rPr>
          <w:rStyle w:val="Refdenotaalpie"/>
          <w:lang w:val="es-ES_tradnl"/>
        </w:rPr>
        <w:footnoteReference w:id="143"/>
      </w:r>
      <w:r w:rsidRPr="00E72B02">
        <w:rPr>
          <w:lang w:val="es-ES_tradnl"/>
        </w:rPr>
        <w:t xml:space="preserve"> Esto es de vital importancia para evidenciar el cambio desde una perspectiva médica a una perspectiva social. Finalmente el CteDESC establece que “</w:t>
      </w:r>
      <w:r w:rsidRPr="00E72B02">
        <w:rPr>
          <w:i/>
          <w:lang w:val="es-ES_tradnl"/>
        </w:rPr>
        <w:t>los Estados deben velar por que las personas con discapacidad, en particular lactantes y niños, reciban atención médica de igual calidad y dentro del mismo sistema que los demás miembros de la sociedad</w:t>
      </w:r>
      <w:r w:rsidRPr="00E72B02">
        <w:rPr>
          <w:lang w:val="es-ES_tradnl"/>
        </w:rPr>
        <w:t>”.</w:t>
      </w:r>
      <w:r w:rsidRPr="00E72B02">
        <w:rPr>
          <w:rStyle w:val="Refdenotaalpie"/>
          <w:lang w:val="es-ES_tradnl"/>
        </w:rPr>
        <w:footnoteReference w:id="144"/>
      </w:r>
      <w:r w:rsidRPr="00E72B02">
        <w:rPr>
          <w:lang w:val="es-ES_tradnl"/>
        </w:rPr>
        <w:t xml:space="preserve">   </w:t>
      </w:r>
    </w:p>
    <w:p w:rsidR="00F2036A" w:rsidRPr="00E72B02" w:rsidRDefault="00F2036A" w:rsidP="004551E9">
      <w:pPr>
        <w:rPr>
          <w:lang w:val="es-ES_tradnl"/>
        </w:rPr>
      </w:pPr>
      <w:r w:rsidRPr="00E72B02">
        <w:rPr>
          <w:lang w:val="es-ES_tradnl"/>
        </w:rPr>
        <w:t>Derecho humano al trabajo</w:t>
      </w:r>
    </w:p>
    <w:p w:rsidR="00F2036A" w:rsidRPr="00E72B02" w:rsidRDefault="00F2036A" w:rsidP="004551E9">
      <w:pPr>
        <w:rPr>
          <w:lang w:val="es-ES_tradnl"/>
        </w:rPr>
      </w:pPr>
      <w:r w:rsidRPr="00E72B02">
        <w:rPr>
          <w:lang w:val="es-ES_tradnl"/>
        </w:rPr>
        <w:t xml:space="preserve">El PIDESC recoge en los artículos 6, 7 y 8 diferentes aspectos centrales del derecho al trabajo (derecho al acceso, condiciones laborales y derechos sindicales). El </w:t>
      </w:r>
      <w:r w:rsidR="0074119B" w:rsidRPr="00E72B02">
        <w:rPr>
          <w:lang w:val="es-ES_tradnl"/>
        </w:rPr>
        <w:t>Estado Parte</w:t>
      </w:r>
      <w:r w:rsidRPr="00E72B02">
        <w:rPr>
          <w:lang w:val="es-ES_tradnl"/>
        </w:rPr>
        <w:t xml:space="preserve"> no se compromete a asegurar que todas las personas tengan efectivamente un trabajo, sino más bien a tomar medidas adecuadas para garantizar el “derecho de toda persona a tener la oportunidad de ganarse la vida mediante un trabajo libremente escogido o aceptado”. Asimismo el Pacto establece obligaciones a los Estados Partes de garantizar que el derecho a no ser privado de trabajo de forma injusta, así como a garantizar condiciones de trabajo “dignas” (lo que incluye tanto condiciones económicas o remunerativas como condiciones físicas o sanitarias).  </w:t>
      </w:r>
    </w:p>
    <w:p w:rsidR="00F2036A" w:rsidRPr="00E72B02" w:rsidRDefault="00F2036A" w:rsidP="004551E9">
      <w:pPr>
        <w:rPr>
          <w:lang w:val="es-ES_tradnl"/>
        </w:rPr>
      </w:pPr>
      <w:r w:rsidRPr="00E72B02">
        <w:rPr>
          <w:lang w:val="es-ES_tradnl"/>
        </w:rPr>
        <w:lastRenderedPageBreak/>
        <w:t xml:space="preserve">Por intermedio de su Observación General n° 18 el CteDESC ha señalado que el ejercicio laboral en todas sus formas y a todos los niveles supone la existencia de los siguientes elementos interdependientes y esenciales, cuya aplicación dependerá de las condiciones existentes en cada </w:t>
      </w:r>
      <w:r w:rsidR="0074119B" w:rsidRPr="00E72B02">
        <w:rPr>
          <w:lang w:val="es-ES_tradnl"/>
        </w:rPr>
        <w:t>Estado Parte</w:t>
      </w:r>
      <w:r w:rsidRPr="00E72B02">
        <w:rPr>
          <w:lang w:val="es-ES_tradnl"/>
        </w:rPr>
        <w:t>: a) Disponibilidad; b) Accesibilidad (que reviste tres dimensiones: i) no discriminación, ii) accesibilidad física y iii) accesibilidad a la información), y c)  Aceptabilidad y calidad.</w:t>
      </w:r>
      <w:r w:rsidRPr="00E72B02">
        <w:rPr>
          <w:rStyle w:val="Refdenotaalpie"/>
          <w:lang w:val="es-ES_tradnl"/>
        </w:rPr>
        <w:footnoteReference w:id="145"/>
      </w:r>
      <w:r w:rsidRPr="00E72B02">
        <w:rPr>
          <w:lang w:val="es-ES_tradnl"/>
        </w:rPr>
        <w:t xml:space="preserve"> Asimismo, el CteDESC ha reafirmado que “</w:t>
      </w:r>
      <w:r w:rsidRPr="00E72B02">
        <w:rPr>
          <w:i/>
          <w:lang w:val="es-ES_tradnl"/>
        </w:rPr>
        <w:t>los Estados Partes tienen obligaciones inmediatas en relación con el derecho al trabajo, como la obligación de "garantizar" que ese derecho sea ejercido "sin discriminación alguna" (párrafo 2 del artículo 2) y la de "adoptar medidas" (párrafo 1 del artículo 2) en aras de la plena realización del artículo 6</w:t>
      </w:r>
      <w:r w:rsidRPr="00E72B02">
        <w:rPr>
          <w:lang w:val="es-ES_tradnl"/>
        </w:rPr>
        <w:t>”.</w:t>
      </w:r>
      <w:r w:rsidRPr="00E72B02">
        <w:rPr>
          <w:rStyle w:val="Refdenotaalpie"/>
          <w:lang w:val="es-ES_tradnl"/>
        </w:rPr>
        <w:footnoteReference w:id="146"/>
      </w:r>
      <w:r w:rsidRPr="00E72B02">
        <w:rPr>
          <w:lang w:val="es-ES_tradnl"/>
        </w:rPr>
        <w:t xml:space="preserve"> </w:t>
      </w:r>
    </w:p>
    <w:p w:rsidR="00F2036A" w:rsidRPr="00E72B02" w:rsidRDefault="00F2036A" w:rsidP="004551E9">
      <w:pPr>
        <w:rPr>
          <w:iCs/>
        </w:rPr>
      </w:pPr>
      <w:r w:rsidRPr="00E72B02">
        <w:rPr>
          <w:lang w:val="es-ES_tradnl"/>
        </w:rPr>
        <w:t>En relación con el ámbito específico de la discapacidad, la Observación General n° 18 identifica a las personas con discapacidad dentro de los “</w:t>
      </w:r>
      <w:r w:rsidRPr="00E72B02">
        <w:rPr>
          <w:i/>
          <w:iCs/>
        </w:rPr>
        <w:t xml:space="preserve">grupos vulnerables a la discriminación en el ámbito del derecho al trabajo”, </w:t>
      </w:r>
      <w:r w:rsidRPr="00E72B02">
        <w:rPr>
          <w:iCs/>
        </w:rPr>
        <w:t>aunque remite al respecto a lo señalado previamente en la Observación General n° 5.</w:t>
      </w:r>
      <w:r w:rsidRPr="00E72B02">
        <w:rPr>
          <w:rStyle w:val="Refdenotaalpie"/>
          <w:iCs/>
        </w:rPr>
        <w:footnoteReference w:id="147"/>
      </w:r>
      <w:r w:rsidRPr="00E72B02">
        <w:rPr>
          <w:iCs/>
        </w:rPr>
        <w:t xml:space="preserve"> </w:t>
      </w:r>
    </w:p>
    <w:p w:rsidR="00F2036A" w:rsidRPr="00E72B02" w:rsidRDefault="00F2036A" w:rsidP="004551E9">
      <w:pPr>
        <w:rPr>
          <w:lang w:val="es-ES_tradnl"/>
        </w:rPr>
      </w:pPr>
      <w:r w:rsidRPr="00E72B02">
        <w:rPr>
          <w:lang w:val="es-ES_tradnl"/>
        </w:rPr>
        <w:t xml:space="preserve">La Observación General n° 5 comienza por reconocer que la esfera del empleo es una de las esferas en las que la discriminación por motivos de discapacidad ha sido tan preeminente como persistente, donde las tasas de desempleo de personas con discapacidad triplican, en el mejor de los casos, las tasas generales, y donde las personas con discapacidad, cuando logran acceder a un trabajo, se les ofrece puestos de escasa remuneración con poca </w:t>
      </w:r>
      <w:r w:rsidRPr="00E72B02">
        <w:rPr>
          <w:lang w:val="es-ES_tradnl"/>
        </w:rPr>
        <w:lastRenderedPageBreak/>
        <w:t>seguridad social y legal y a menudo aislados de la corriente principal del mercado del trabajo.</w:t>
      </w:r>
      <w:r w:rsidRPr="00E72B02">
        <w:rPr>
          <w:rStyle w:val="Refdenotaalpie"/>
          <w:lang w:val="es-ES_tradnl"/>
        </w:rPr>
        <w:footnoteReference w:id="148"/>
      </w:r>
    </w:p>
    <w:p w:rsidR="00F2036A" w:rsidRPr="00E72B02" w:rsidRDefault="00F2036A" w:rsidP="004551E9">
      <w:pPr>
        <w:rPr>
          <w:lang w:val="es-ES_tradnl"/>
        </w:rPr>
      </w:pPr>
      <w:r w:rsidRPr="00E72B02">
        <w:rPr>
          <w:lang w:val="es-ES_tradnl"/>
        </w:rPr>
        <w:t>Mediante referencia a las Normas Uniformes y a la normativa de la Organización Internacional del Trabajo (OIT), el CteDESC señala que las personas con discapacidad, tanto si viven en zonas rurales como si viven en zonas urbanas, han de tener las mismas oportunidades de empleo productivo y remunerado en el mercado de trabajo. Para ello, destaca que es particularmente importante que se eliminen todos los obstáculos artificiales a la integración en general y al empleo en particular, como la inaccesibilidad edilicia o del transporte público.</w:t>
      </w:r>
      <w:r w:rsidRPr="00E72B02">
        <w:rPr>
          <w:rStyle w:val="Refdenotaalpie"/>
          <w:lang w:val="es-ES_tradnl"/>
        </w:rPr>
        <w:footnoteReference w:id="149"/>
      </w:r>
    </w:p>
    <w:p w:rsidR="00F2036A" w:rsidRPr="00E72B02" w:rsidRDefault="00F2036A" w:rsidP="004551E9">
      <w:pPr>
        <w:rPr>
          <w:lang w:val="es-ES_tradnl"/>
        </w:rPr>
      </w:pPr>
      <w:r w:rsidRPr="00E72B02">
        <w:rPr>
          <w:lang w:val="es-ES_tradnl"/>
        </w:rPr>
        <w:t xml:space="preserve">Aunque efectivamente se puede inferir de lo señalado en la Observación General n° 5, no surge expresamente de la misma, la obligación del </w:t>
      </w:r>
      <w:r w:rsidR="0074119B" w:rsidRPr="00E72B02">
        <w:rPr>
          <w:lang w:val="es-ES_tradnl"/>
        </w:rPr>
        <w:t>Estado Parte</w:t>
      </w:r>
      <w:r w:rsidRPr="00E72B02">
        <w:rPr>
          <w:lang w:val="es-ES_tradnl"/>
        </w:rPr>
        <w:t xml:space="preserve"> de garantizar “ajustes razonables” en el empleo. No obstante, si tenemos en cuenta el concepto de discriminación fundada en discapacidad que recoge la propia Observación, y a ello, le sumamos lo estipulado por el artículo 27(1)(i) de la CDPD, esta obligación resulta esencial para interpretar adecuadamente el derecho al trabajo recogido en el PIDESC.   </w:t>
      </w:r>
    </w:p>
    <w:p w:rsidR="00F2036A" w:rsidRPr="00E72B02" w:rsidRDefault="00F2036A" w:rsidP="004551E9">
      <w:pPr>
        <w:rPr>
          <w:lang w:val="es-ES_tradnl"/>
        </w:rPr>
      </w:pPr>
      <w:r w:rsidRPr="00E72B02">
        <w:rPr>
          <w:lang w:val="es-ES_tradnl"/>
        </w:rPr>
        <w:t>Derecho humano a la seguridad social</w:t>
      </w:r>
    </w:p>
    <w:p w:rsidR="00F2036A" w:rsidRPr="00E72B02" w:rsidRDefault="00F2036A" w:rsidP="004551E9">
      <w:pPr>
        <w:rPr>
          <w:lang w:val="es-ES_tradnl"/>
        </w:rPr>
      </w:pPr>
      <w:r w:rsidRPr="00E72B02">
        <w:rPr>
          <w:lang w:val="es-ES_tradnl"/>
        </w:rPr>
        <w:t xml:space="preserve">El derecho humano a la seguridad social se encuentra recogido en el artículo 9 del PIDESC el cual de forma muy sucinta establece que “los Estados Partes en el presente Pacto reconocen el derecho de toda persona a la seguridad social, incluso al seguro social”. </w:t>
      </w:r>
    </w:p>
    <w:p w:rsidR="00F2036A" w:rsidRPr="00E72B02" w:rsidRDefault="00F2036A" w:rsidP="004551E9">
      <w:pPr>
        <w:rPr>
          <w:lang w:val="es-ES_tradnl"/>
        </w:rPr>
      </w:pPr>
      <w:r w:rsidRPr="00E72B02">
        <w:rPr>
          <w:lang w:val="es-ES_tradnl"/>
        </w:rPr>
        <w:t xml:space="preserve">Al respecto el CteDESC ha señalado a través de la Observación General nº 19 que el derecho amparado por el artículo 9 “incluye el derecho a obtener y mantener prestaciones sociales, ya sea en efectivo o en especie, sin </w:t>
      </w:r>
      <w:r w:rsidRPr="00E72B02">
        <w:rPr>
          <w:lang w:val="es-ES_tradnl"/>
        </w:rPr>
        <w:lastRenderedPageBreak/>
        <w:t>discriminación, con el fin de obtener protección, en particular contra:  a) la falta de ingresos procedentes del trabajo debido a enfermedad, invalidez, maternidad, accidente laboral, vejez o muerte de un familiar;  b) gastos excesivos de atención de salud;  c) apoyo familiar insuficiente, en particular para los hijos y los familiares a cargo”.</w:t>
      </w:r>
      <w:r w:rsidRPr="00E72B02">
        <w:rPr>
          <w:rStyle w:val="Refdenotaalpie"/>
          <w:lang w:val="es-ES_tradnl"/>
        </w:rPr>
        <w:footnoteReference w:id="150"/>
      </w:r>
      <w:r w:rsidRPr="00E72B02">
        <w:rPr>
          <w:lang w:val="es-ES_tradnl"/>
        </w:rPr>
        <w:t xml:space="preserve"> </w:t>
      </w:r>
    </w:p>
    <w:p w:rsidR="00F2036A" w:rsidRPr="00E72B02" w:rsidRDefault="00F2036A" w:rsidP="004551E9">
      <w:pPr>
        <w:rPr>
          <w:lang w:val="es-ES_tradnl"/>
        </w:rPr>
      </w:pPr>
      <w:r w:rsidRPr="00E72B02">
        <w:rPr>
          <w:lang w:val="es-ES_tradnl"/>
        </w:rPr>
        <w:t xml:space="preserve">En mayor o menor medida la inmensa mayoría de los miembros de la Comunidad Internacional, contemplan algún tipo de sistema de seguridad social. En esencia, la noción de seguridad social surge bajo la necesidad de dotar a las personas de ciertos recursos mínimos para hacer frente a necesidades sociales básicas en momentos en las cuales dichas necesidades no se pueden afrontar desde ingresos generados por el trabajo. La lógica de este sistema, permite a los Estados retener porcentuales de los ingresos de la población laboralmente activa para luego redistribuirlos entre la parte de la población inactiva. Ello ha llevado tradicionalmente a condicionar el goce del derecho a la seguridad social, al grado de aportes que cada individuo ha realizado a lo largo de su vida laboral activa. </w:t>
      </w:r>
    </w:p>
    <w:p w:rsidR="00F2036A" w:rsidRPr="00E72B02" w:rsidRDefault="00F2036A" w:rsidP="004551E9">
      <w:pPr>
        <w:rPr>
          <w:lang w:val="es-ES_tradnl"/>
        </w:rPr>
      </w:pPr>
      <w:r w:rsidRPr="00E72B02">
        <w:rPr>
          <w:lang w:val="es-ES_tradnl"/>
        </w:rPr>
        <w:t xml:space="preserve">El modelo médico de discapacidad fue probablemente el principal promotor de la necesidad de contemplar a la discapacidad dentro de las condiciones que justifican la inclusión de dichas personas en el marco de protección del sistema de seguridad social, aunque dicha justificación se ha basado históricamente en la consideración de la discapacidad como una “enfermedad” o “invalidez”. Frente a ello, el modelo social de discapacidad se opone a esta perspectiva considerando más adecuado justificar el marco de protección de la seguridad social en relación con las personas con discapacidad a la luz del derecho a la promoción de la autonomía personal </w:t>
      </w:r>
      <w:r w:rsidRPr="00E72B02">
        <w:rPr>
          <w:lang w:val="es-ES_tradnl"/>
        </w:rPr>
        <w:lastRenderedPageBreak/>
        <w:t xml:space="preserve">como herramienta imprescindible para lograr la igualdad de condiciones con los demás. </w:t>
      </w:r>
    </w:p>
    <w:p w:rsidR="00F2036A" w:rsidRPr="00E72B02" w:rsidRDefault="00F2036A" w:rsidP="004551E9">
      <w:pPr>
        <w:rPr>
          <w:lang w:val="es-ES_tradnl"/>
        </w:rPr>
      </w:pPr>
      <w:r w:rsidRPr="00E72B02">
        <w:rPr>
          <w:lang w:val="es-ES_tradnl"/>
        </w:rPr>
        <w:t xml:space="preserve">  El CteDESC por intermedio de la Observación General nº 19 reitera su jurisprudencia consolidada respecto de que la obligación de los Estados de garantizar que el derecho a la seguridad social se ejerza sin discriminación es de carácter inmediato, al mismo tiempo que reconoce que los “</w:t>
      </w:r>
      <w:r w:rsidRPr="00E72B02">
        <w:rPr>
          <w:i/>
          <w:lang w:val="es-ES_tradnl"/>
        </w:rPr>
        <w:t>Estados Partes deben prestar especial atención a las personas y los grupos que tradicionalmente han tenido dificultades para ejercer este derecho</w:t>
      </w:r>
      <w:r w:rsidRPr="00E72B02">
        <w:rPr>
          <w:lang w:val="es-ES_tradnl"/>
        </w:rPr>
        <w:t>”, entre los que incluye a las personas con discapacidad. Asimismo, reconoce a la discapacidad como un</w:t>
      </w:r>
      <w:r w:rsidR="00F647CB" w:rsidRPr="00E72B02">
        <w:rPr>
          <w:lang w:val="es-ES_tradnl"/>
        </w:rPr>
        <w:t>a</w:t>
      </w:r>
      <w:r w:rsidRPr="00E72B02">
        <w:rPr>
          <w:lang w:val="es-ES_tradnl"/>
        </w:rPr>
        <w:t xml:space="preserve"> de las nueves ramas principales de la seguridad social, bajo lo que denomina como “</w:t>
      </w:r>
      <w:r w:rsidRPr="00E72B02">
        <w:rPr>
          <w:i/>
          <w:lang w:val="es-ES_tradnl"/>
        </w:rPr>
        <w:t>riesgos e imprevistos sociales</w:t>
      </w:r>
      <w:r w:rsidRPr="00E72B02">
        <w:rPr>
          <w:lang w:val="es-ES_tradnl"/>
        </w:rPr>
        <w:t>”. No obstante en el apartado relativo a la discapacidad, el CteDESC remite a la Observación General nº 5.</w:t>
      </w:r>
      <w:r w:rsidRPr="00E72B02">
        <w:rPr>
          <w:rStyle w:val="Refdenotaalpie"/>
          <w:lang w:val="es-ES_tradnl"/>
        </w:rPr>
        <w:footnoteReference w:id="151"/>
      </w:r>
    </w:p>
    <w:p w:rsidR="00F2036A" w:rsidRPr="00E72B02" w:rsidRDefault="00F2036A" w:rsidP="004551E9">
      <w:pPr>
        <w:rPr>
          <w:lang w:val="es-ES_tradnl"/>
        </w:rPr>
      </w:pPr>
      <w:r w:rsidRPr="00E72B02">
        <w:rPr>
          <w:lang w:val="es-ES_tradnl"/>
        </w:rPr>
        <w:t>La Observación General n°5 a su vez, remite a las Normas Uniformes y reconoce que los Estados deben velar por asegurar la prestación de apoyo adecuado en materia de ingresos a las personas con discapacidad que, debido a la discapacidad o a factores relacionados con ésta, hayan perdido temporalmente sus ingresos, reciban un ingreso reducido o se hayan visto privadas de oportunidades de empleo. Adicionalmente el CteDESC amplia este marco de protección de las personas que se ocupan de cuidar a las personas con discapacidad. Finalmente el CteDESC establece que “El ingreso de las personas con discapacidad en instituciones, de no ser necesario por otras razones, no debe ser considerado como sustitutivo adecuado de los derechos a la seguridad social y al mantenimiento del ingreso de dichas personas”.</w:t>
      </w:r>
      <w:r w:rsidRPr="00E72B02">
        <w:rPr>
          <w:rStyle w:val="Refdenotaalpie"/>
          <w:lang w:val="es-ES_tradnl"/>
        </w:rPr>
        <w:footnoteReference w:id="152"/>
      </w:r>
      <w:r w:rsidRPr="00E72B02">
        <w:rPr>
          <w:lang w:val="es-ES_tradnl"/>
        </w:rPr>
        <w:t xml:space="preserve"> Esta última observación por parte del Comité es de suma importancia puesto que en muchos Estados, la falta de </w:t>
      </w:r>
      <w:r w:rsidRPr="00E72B02">
        <w:rPr>
          <w:lang w:val="es-ES_tradnl"/>
        </w:rPr>
        <w:lastRenderedPageBreak/>
        <w:t xml:space="preserve">ingresos económicos de personas con discapacidad, o el estado de vulnerabilidad social, suele ser el motivo principal de ingreso de dichas personas a instituciones Estatales, incluido las instituciones psiquiátricas. La segregación de personas con discapacidad como mecanismo o política de protección social no parece una opción válida a la luz de la protección del PIDESC. </w:t>
      </w:r>
    </w:p>
    <w:p w:rsidR="00F2036A" w:rsidRPr="00E72B02" w:rsidRDefault="00F2036A" w:rsidP="004551E9">
      <w:pPr>
        <w:rPr>
          <w:lang w:val="es-ES_tradnl"/>
        </w:rPr>
      </w:pPr>
      <w:r w:rsidRPr="00E72B02">
        <w:rPr>
          <w:lang w:val="es-ES_tradnl"/>
        </w:rPr>
        <w:t>En resumidas cuentas, el PIDESC garantiza protección especial hacia las personas con discapacidad en el marco del derecho a la seguridad social. No obstante, dicho marco no logra apartarse de una visión restringida o acotada de la seguridad social que se inspira más bien una visión compensatoria, en lugar de un reconocimiento integral del derecho a la autonomía personal y  a la vida independiente.</w:t>
      </w:r>
    </w:p>
    <w:p w:rsidR="00F2036A" w:rsidRPr="00E72B02" w:rsidRDefault="00F2036A" w:rsidP="004551E9">
      <w:pPr>
        <w:rPr>
          <w:lang w:val="es-ES_tradnl"/>
        </w:rPr>
      </w:pPr>
      <w:r w:rsidRPr="00E72B02">
        <w:rPr>
          <w:lang w:val="es-ES_tradnl"/>
        </w:rPr>
        <w:t>El derecho a la protección de la familia</w:t>
      </w:r>
    </w:p>
    <w:p w:rsidR="00F2036A" w:rsidRPr="00E72B02" w:rsidRDefault="00F2036A" w:rsidP="004551E9">
      <w:pPr>
        <w:rPr>
          <w:lang w:val="es-ES_tradnl"/>
        </w:rPr>
      </w:pPr>
      <w:r w:rsidRPr="00E72B02">
        <w:rPr>
          <w:lang w:val="es-ES_tradnl"/>
        </w:rPr>
        <w:t xml:space="preserve">La familia es uno de los pocos bienes jurídicos protegidos tanto desde el PIDCP como del PIDESC. Mientras el primero protege a la familia desde sus elementos constitutivos (matrimonio, filiación, derechos reproductivos), el segundo se centra más bien en los aspectos sociales en torno a la familia, principalmente enfatizando en la situación de las mujeres y niñas. </w:t>
      </w:r>
    </w:p>
    <w:p w:rsidR="00F2036A" w:rsidRPr="00E72B02" w:rsidRDefault="00F2036A" w:rsidP="004551E9">
      <w:pPr>
        <w:rPr>
          <w:lang w:val="es-ES_tradnl"/>
        </w:rPr>
      </w:pPr>
      <w:r w:rsidRPr="00E72B02">
        <w:rPr>
          <w:lang w:val="es-ES_tradnl"/>
        </w:rPr>
        <w:t xml:space="preserve">Este derecho se encuentra entre los pocos derechos recogidos en el PIDESC que no han sido desarrollados por el CteDESC por medio de sus observaciones generales. No obstante, el Comité si ha aclarado la perspectiva de la discapacidad en relación con el artículo 10 por intermedio de la Observación General nº 5. </w:t>
      </w:r>
    </w:p>
    <w:p w:rsidR="00F2036A" w:rsidRPr="00E72B02" w:rsidRDefault="00F2036A" w:rsidP="004551E9">
      <w:pPr>
        <w:rPr>
          <w:lang w:val="es-ES_tradnl"/>
        </w:rPr>
      </w:pPr>
      <w:r w:rsidRPr="00E72B02">
        <w:rPr>
          <w:lang w:val="es-ES_tradnl"/>
        </w:rPr>
        <w:t xml:space="preserve">Una vez más mediante referencia a las Normas Uniformes, la Observación General nº 5 establece que en “el caso de las personas con discapacidad, el requisito del Pacto de que se preste ‘protección y asistencia’ a la familia significa que hay que hacer todo lo que se pueda a fin de conseguir que dichas personas vivan con sus familias, si así lo desean.  El artículo 10 implica también, con arreglo a los principios generales del derecho </w:t>
      </w:r>
      <w:r w:rsidRPr="00E72B02">
        <w:rPr>
          <w:lang w:val="es-ES_tradnl"/>
        </w:rPr>
        <w:lastRenderedPageBreak/>
        <w:t>internacional en materia de derechos humanos, que las personas con discapacidad tienen derecho a casarse y a fundar su propia familia.  A menudo se ignoran o se niegan esos derechos, especialmente en el caso de las personas con discapacidad mental”.</w:t>
      </w:r>
      <w:r w:rsidRPr="00E72B02">
        <w:rPr>
          <w:rStyle w:val="Refdenotaalpie"/>
          <w:lang w:val="es-ES_tradnl"/>
        </w:rPr>
        <w:footnoteReference w:id="153"/>
      </w:r>
      <w:r w:rsidRPr="00E72B02">
        <w:rPr>
          <w:lang w:val="es-ES_tradnl"/>
        </w:rPr>
        <w:t xml:space="preserve"> Asimismo reitera que las “mujeres con discapacidad tienen derecho también a protección y apoyo en relación con la maternidad y el embarazo” y reafirma explícitamente que en “el caso de las mujeres con discapacidad, una operación de esterilización o de aborto sin haber obtenido previamente su consentimiento, dado con conocimiento de causa, constituirá una grave violación del párrafo 2 del artículo 10”.</w:t>
      </w:r>
      <w:r w:rsidRPr="00E72B02">
        <w:rPr>
          <w:rStyle w:val="Refdenotaalpie"/>
          <w:lang w:val="es-ES_tradnl"/>
        </w:rPr>
        <w:footnoteReference w:id="154"/>
      </w:r>
      <w:r w:rsidRPr="00E72B02">
        <w:rPr>
          <w:lang w:val="es-ES_tradnl"/>
        </w:rPr>
        <w:t xml:space="preserve"> Finalmente el Comité observa que los “niños con discapacidad son especialmente vulnerables a la explotación, los malos tratos y la falta de cuidado y tienen derecho a una protección especial, de conformidad con el párrafo 3 del artículo 10 del Pacto (reforzado por las disposiciones correspondientes de la Convención sobre los Derechos del Niño)”.</w:t>
      </w:r>
      <w:r w:rsidRPr="00E72B02">
        <w:rPr>
          <w:rStyle w:val="Refdenotaalpie"/>
          <w:lang w:val="es-ES_tradnl"/>
        </w:rPr>
        <w:footnoteReference w:id="155"/>
      </w:r>
      <w:r w:rsidRPr="00E72B02">
        <w:rPr>
          <w:lang w:val="es-ES_tradnl"/>
        </w:rPr>
        <w:t xml:space="preserve"> </w:t>
      </w:r>
    </w:p>
    <w:p w:rsidR="00F2036A" w:rsidRPr="00E72B02" w:rsidRDefault="00F2036A" w:rsidP="004551E9">
      <w:pPr>
        <w:rPr>
          <w:lang w:val="es-ES_tradnl"/>
        </w:rPr>
      </w:pPr>
      <w:r w:rsidRPr="00E72B02">
        <w:rPr>
          <w:lang w:val="es-ES_tradnl"/>
        </w:rPr>
        <w:t>El derecho a un nivel de vida adecuado</w:t>
      </w:r>
    </w:p>
    <w:p w:rsidR="00F2036A" w:rsidRPr="00E72B02" w:rsidRDefault="00F2036A" w:rsidP="004551E9">
      <w:pPr>
        <w:rPr>
          <w:lang w:val="es-ES_tradnl"/>
        </w:rPr>
      </w:pPr>
      <w:r w:rsidRPr="00E72B02">
        <w:rPr>
          <w:lang w:val="es-ES_tradnl"/>
        </w:rPr>
        <w:t>El artículo 11 del PIDESC recoge el derecho de toda persona a un nivel de vida adecuado. La norma recoge un su primer párrafo una obligación general hacia los Estados Partes de reconocer a “</w:t>
      </w:r>
      <w:r w:rsidRPr="00E72B02">
        <w:rPr>
          <w:i/>
          <w:lang w:val="es-ES_tradnl"/>
        </w:rPr>
        <w:t>toda persona a un nivel de vida adecuado para sí y su familia, incluso alimentación, vestido y vivienda adecuados, y a una mejora continua de las condiciones de existencia</w:t>
      </w:r>
      <w:r w:rsidRPr="00E72B02">
        <w:rPr>
          <w:lang w:val="es-ES_tradnl"/>
        </w:rPr>
        <w:t xml:space="preserve">”. En el segundo párrafo el artículo 11 se centra en quizás el aspecto más fundamental sobre condiciones básicas de vida digna de toda persona, esto es, el acceso a la alimentación, a través de una doble perspectiva. Por un lado enfatizando en la necesidad de promover y mejorar los métodos de </w:t>
      </w:r>
      <w:r w:rsidRPr="00E72B02">
        <w:rPr>
          <w:lang w:val="es-ES_tradnl"/>
        </w:rPr>
        <w:lastRenderedPageBreak/>
        <w:t xml:space="preserve">producción, conservación y distribución de alimentos, y por otro lado, imponiendo un deber general a la Comunidad Internacional respecto de la distribución mundial de alimentos. </w:t>
      </w:r>
    </w:p>
    <w:p w:rsidR="00F2036A" w:rsidRPr="00E72B02" w:rsidRDefault="00F2036A" w:rsidP="004551E9">
      <w:pPr>
        <w:rPr>
          <w:lang w:val="es-ES_tradnl"/>
        </w:rPr>
      </w:pPr>
      <w:r w:rsidRPr="00E72B02">
        <w:rPr>
          <w:lang w:val="es-ES_tradnl"/>
        </w:rPr>
        <w:t xml:space="preserve">Aunque se podría afirmar que el derecho humano a un nivel de vida adecuado es un derecho autónomo, el CteDEC ha desarrollado sus aspectos principales de forma individualizada –vivienda, alimentación, acceso al agua-. </w:t>
      </w:r>
    </w:p>
    <w:p w:rsidR="00F2036A" w:rsidRPr="00E72B02" w:rsidRDefault="00F2036A" w:rsidP="004551E9">
      <w:pPr>
        <w:rPr>
          <w:lang w:val="es-ES_tradnl"/>
        </w:rPr>
      </w:pPr>
      <w:r w:rsidRPr="00E72B02">
        <w:rPr>
          <w:lang w:val="es-ES_tradnl"/>
        </w:rPr>
        <w:t>En relación con el derecho a una vivienda adecuado el Comité por medio de su Observación General nº 4 ha identificado una serie de aspectos fundamentales como: a) Seguridad jurídica de la tenencia; b) Disponibilidad de servicios, materiales, facilidades e infraestructura; c) Gastos soportables; d) Habitabilidad; e) Asequibilidad; f) Lugar adecuado; y g) Adecuación cultural.</w:t>
      </w:r>
      <w:r w:rsidRPr="00E72B02">
        <w:rPr>
          <w:rStyle w:val="Refdenotaalpie"/>
          <w:lang w:val="es-ES_tradnl"/>
        </w:rPr>
        <w:footnoteReference w:id="156"/>
      </w:r>
      <w:r w:rsidRPr="00E72B02">
        <w:rPr>
          <w:lang w:val="es-ES_tradnl"/>
        </w:rPr>
        <w:t xml:space="preserve"> Aunque la Observación no menciona expresamente la perspectiva de la discapacidad, señala que los “</w:t>
      </w:r>
      <w:r w:rsidRPr="00E72B02">
        <w:rPr>
          <w:i/>
          <w:lang w:val="es-ES_tradnl"/>
        </w:rPr>
        <w:t>Estados Partes deben otorgar la debida prioridad a los grupos sociales que viven en condiciones desfavorables concediéndoles una atención especial</w:t>
      </w:r>
      <w:r w:rsidRPr="00E72B02">
        <w:rPr>
          <w:lang w:val="es-ES_tradnl"/>
        </w:rPr>
        <w:t>”.</w:t>
      </w:r>
      <w:r w:rsidRPr="00E72B02">
        <w:rPr>
          <w:rStyle w:val="Refdenotaalpie"/>
          <w:lang w:val="es-ES_tradnl"/>
        </w:rPr>
        <w:footnoteReference w:id="157"/>
      </w:r>
      <w:r w:rsidRPr="00E72B02">
        <w:rPr>
          <w:lang w:val="es-ES_tradnl"/>
        </w:rPr>
        <w:t xml:space="preserve"> Por su parte la Observación General nº 5 refiere a lo señalado por el Comité en la Observación General nº 4 al aclarar que “</w:t>
      </w:r>
      <w:r w:rsidRPr="00E72B02">
        <w:rPr>
          <w:i/>
          <w:lang w:val="es-ES_tradnl"/>
        </w:rPr>
        <w:t>el derecho a una vivienda adecuada incluye el derecho a una vivienda que sea accesible, en el caso de las personas con discapacidad</w:t>
      </w:r>
      <w:r w:rsidRPr="00E72B02">
        <w:rPr>
          <w:lang w:val="es-ES_tradnl"/>
        </w:rPr>
        <w:t>”.</w:t>
      </w:r>
      <w:r w:rsidRPr="00E72B02">
        <w:rPr>
          <w:rStyle w:val="Refdenotaalpie"/>
          <w:lang w:val="es-ES_tradnl"/>
        </w:rPr>
        <w:footnoteReference w:id="158"/>
      </w:r>
      <w:r w:rsidRPr="00E72B02">
        <w:rPr>
          <w:lang w:val="es-ES_tradnl"/>
        </w:rPr>
        <w:t xml:space="preserve"> </w:t>
      </w:r>
    </w:p>
    <w:p w:rsidR="00F2036A" w:rsidRPr="00E72B02" w:rsidRDefault="00F2036A" w:rsidP="004551E9">
      <w:pPr>
        <w:rPr>
          <w:lang w:val="es-ES_tradnl"/>
        </w:rPr>
      </w:pPr>
      <w:r w:rsidRPr="00E72B02">
        <w:rPr>
          <w:lang w:val="es-ES_tradnl"/>
        </w:rPr>
        <w:t xml:space="preserve">En lo que respecta a la alimentación el CteDESC ha señalado en su Observación General nº 12 que “el derecho a una alimentación adecuada está inseparablemente vinculado a la dignidad inherente de la persona humana y es indispensable para el disfrute de otros derechos humanos </w:t>
      </w:r>
      <w:r w:rsidRPr="00E72B02">
        <w:rPr>
          <w:lang w:val="es-ES_tradnl"/>
        </w:rPr>
        <w:lastRenderedPageBreak/>
        <w:t>consagrados en la Carta Internacional de Derechos Humanos”.</w:t>
      </w:r>
      <w:r w:rsidRPr="00E72B02">
        <w:rPr>
          <w:rStyle w:val="Refdenotaalpie"/>
          <w:lang w:val="es-ES_tradnl"/>
        </w:rPr>
        <w:footnoteReference w:id="159"/>
      </w:r>
      <w:r w:rsidRPr="00E72B02">
        <w:rPr>
          <w:lang w:val="es-ES_tradnl"/>
        </w:rPr>
        <w:t xml:space="preserve"> Asimismo ha señalado que “el contenido básico del derecho a la alimentación adecuada comprende lo siguiente: - la disponibilidad de alimentos en cantidad y calidad suficientes para satisfacer las necesidades alimentarias de los individuos, sin sustancias nocivas, y aceptables para una cultura determinada; - la accesibilidad de esos alimentos en formas que sean sostenibles y que no dificulten el goce de otros derechos humanos”. En relación con el aspecto de accesibilidad la propia Observación General nº 12 ha aclarado que en lo relativo a la accesibilidad física “implica que la alimentación adecuada debe ser accesible a todos, incluidos los individuos físicamente vulnerables, tales como los lactantes y los niños pequeños, las personas de edad, los discapacitados físicos, los moribundos y las personas con problemas médicos persistentes, tales como los enfermos mentales”.</w:t>
      </w:r>
      <w:r w:rsidRPr="00E72B02">
        <w:rPr>
          <w:rStyle w:val="Refdenotaalpie"/>
          <w:lang w:val="es-ES_tradnl"/>
        </w:rPr>
        <w:footnoteReference w:id="160"/>
      </w:r>
    </w:p>
    <w:p w:rsidR="00F2036A" w:rsidRPr="00E72B02" w:rsidRDefault="00F2036A" w:rsidP="004551E9">
      <w:pPr>
        <w:rPr>
          <w:lang w:val="es-ES_tradnl"/>
        </w:rPr>
      </w:pPr>
      <w:r w:rsidRPr="00E72B02">
        <w:rPr>
          <w:lang w:val="es-ES_tradnl"/>
        </w:rPr>
        <w:t>Finalmente, y en relación con el derecho al agua, el CteDESC ha destacado en su Observación General nº 15 que, pese a no ser mencionado de forma expresa por el artículo 11 del Pacto, el “</w:t>
      </w:r>
      <w:r w:rsidRPr="00E72B02">
        <w:rPr>
          <w:i/>
          <w:lang w:val="es-ES_tradnl"/>
        </w:rPr>
        <w:t>derecho al agua se encuadra claramente en la categoría de las garantías indispensables para asegurar un nivel de vida adecuado, en particular porque es una de las condiciones fundamentales para la supervivencia</w:t>
      </w:r>
      <w:r w:rsidRPr="00E72B02">
        <w:rPr>
          <w:lang w:val="es-ES_tradnl"/>
        </w:rPr>
        <w:t>”, y por ello lo define como “</w:t>
      </w:r>
      <w:r w:rsidRPr="00E72B02">
        <w:rPr>
          <w:i/>
          <w:lang w:val="es-ES_tradnl"/>
        </w:rPr>
        <w:t>el derecho de todos a disponer de agua suficiente, salubre, aceptable, accesible y asequible para el uso personal y doméstico</w:t>
      </w:r>
      <w:r w:rsidRPr="00E72B02">
        <w:rPr>
          <w:lang w:val="es-ES_tradnl"/>
        </w:rPr>
        <w:t>”.</w:t>
      </w:r>
      <w:r w:rsidRPr="00E72B02">
        <w:rPr>
          <w:rStyle w:val="Refdenotaalpie"/>
          <w:lang w:val="es-ES_tradnl"/>
        </w:rPr>
        <w:footnoteReference w:id="161"/>
      </w:r>
      <w:r w:rsidRPr="00E72B02">
        <w:rPr>
          <w:lang w:val="es-ES_tradnl"/>
        </w:rPr>
        <w:t xml:space="preserve"> </w:t>
      </w:r>
    </w:p>
    <w:p w:rsidR="00F2036A" w:rsidRPr="00E72B02" w:rsidRDefault="00F2036A" w:rsidP="004551E9">
      <w:pPr>
        <w:rPr>
          <w:lang w:val="es-ES_tradnl"/>
        </w:rPr>
      </w:pPr>
      <w:r w:rsidRPr="00E72B02">
        <w:rPr>
          <w:lang w:val="es-ES_tradnl"/>
        </w:rPr>
        <w:t xml:space="preserve">Más adelante la Observación General nº 15 reconoce que “aunque el derecho al agua potable es aplicable a todos, los Estados Partes deben prestar especial atención a las personas y grupos de personas que </w:t>
      </w:r>
      <w:r w:rsidRPr="00E72B02">
        <w:rPr>
          <w:lang w:val="es-ES_tradnl"/>
        </w:rPr>
        <w:lastRenderedPageBreak/>
        <w:t>tradicionalmente han tenido dificultades para ejercer este derecho (…) en particular los Estados Partes deben adoptar medidas para velar por que: (…) se suministre agua salubre suficiente a los grupos que tienen dificultades físicas para acceder al agua, como las personas de edad, los discapacitados, las víctimas de desastres naturales, las personas que viven en zonas propensas a desastres y las que viven en zonas áridas y semiáridas o en pequeñas islas”.</w:t>
      </w:r>
      <w:r w:rsidRPr="00E72B02">
        <w:rPr>
          <w:rStyle w:val="Refdenotaalpie"/>
          <w:lang w:val="es-ES_tradnl"/>
        </w:rPr>
        <w:footnoteReference w:id="162"/>
      </w:r>
      <w:r w:rsidRPr="00E72B02">
        <w:rPr>
          <w:lang w:val="es-ES_tradnl"/>
        </w:rPr>
        <w:t xml:space="preserve"> </w:t>
      </w:r>
    </w:p>
    <w:p w:rsidR="00F2036A" w:rsidRPr="00E72B02" w:rsidRDefault="00F2036A" w:rsidP="004551E9">
      <w:pPr>
        <w:rPr>
          <w:lang w:val="es-ES_tradnl"/>
        </w:rPr>
      </w:pPr>
      <w:r w:rsidRPr="00E72B02">
        <w:rPr>
          <w:lang w:val="es-ES_tradnl"/>
        </w:rPr>
        <w:t xml:space="preserve"> Sin perjuicio de lo señalado por el CteDESC en general sobre vivienda, alimentación y agua, la Observación General nº 5 añade que “</w:t>
      </w:r>
      <w:r w:rsidRPr="00E72B02">
        <w:rPr>
          <w:i/>
          <w:lang w:val="es-ES_tradnl"/>
        </w:rPr>
        <w:t>además de la necesidad de conseguir que las personas con discapacidad tengan acceso a una alimentación adecuada, una vivienda accesible y otras necesidades materiales básicas, es indispensable también lograr que haya "servicios de apoyo... incluidos los recursos auxiliares</w:t>
      </w:r>
      <w:r w:rsidRPr="00E72B02">
        <w:rPr>
          <w:lang w:val="es-ES_tradnl"/>
        </w:rPr>
        <w:t>", para su utilización por las personas con discapacidad, "a fin de ayudarles a aumentar su nivel de autonomía en su vida cotidiana y a ejercer sus derechos".</w:t>
      </w:r>
      <w:r w:rsidRPr="00E72B02">
        <w:rPr>
          <w:rStyle w:val="Refdenotaalpie"/>
          <w:lang w:val="es-ES_tradnl"/>
        </w:rPr>
        <w:footnoteReference w:id="163"/>
      </w:r>
    </w:p>
    <w:p w:rsidR="00F2036A" w:rsidRPr="00E72B02" w:rsidRDefault="00F2036A" w:rsidP="004551E9">
      <w:pPr>
        <w:rPr>
          <w:lang w:val="es-ES_tradnl"/>
        </w:rPr>
      </w:pPr>
      <w:r w:rsidRPr="00E72B02">
        <w:rPr>
          <w:lang w:val="es-ES_tradnl"/>
        </w:rPr>
        <w:t>El derecho a la participación en la vida cultural</w:t>
      </w:r>
    </w:p>
    <w:p w:rsidR="00F2036A" w:rsidRPr="00E72B02" w:rsidRDefault="00F2036A" w:rsidP="004551E9">
      <w:pPr>
        <w:rPr>
          <w:lang w:val="es-ES_tradnl"/>
        </w:rPr>
      </w:pPr>
      <w:r w:rsidRPr="00E72B02">
        <w:rPr>
          <w:lang w:val="es-ES_tradnl"/>
        </w:rPr>
        <w:t xml:space="preserve">El artículo 15 del PIDESC recoge los diferentes aspectos del derecho humano a la cultura, esto es, una dimensión activa (derecho a la expresión cultural y a la protección de los intereses morales y materiales por producción cultural), y una dimensión pasiva (derecho a la participación de la vida cultural). Todo ello, tanto desde una perspectiva de derecho individual como de derecho colectivo. </w:t>
      </w:r>
    </w:p>
    <w:p w:rsidR="00F2036A" w:rsidRPr="00E72B02" w:rsidRDefault="00F2036A" w:rsidP="004551E9">
      <w:r w:rsidRPr="00E72B02">
        <w:rPr>
          <w:lang w:val="es-ES_tradnl"/>
        </w:rPr>
        <w:t xml:space="preserve">En la Observación General nº 17 el CteDESC ha señalado que el “derecho de toda persona a beneficiarse de la protección de los intereses morales y materiales que le correspondan por razón de las producciones científicas, </w:t>
      </w:r>
      <w:r w:rsidRPr="00E72B02">
        <w:rPr>
          <w:lang w:val="es-ES_tradnl"/>
        </w:rPr>
        <w:lastRenderedPageBreak/>
        <w:t>literarias o artísticas de que sea autora es un derecho humano, que deriva de la dignidad y la valía inherentes a toda persona”. Sin embargo el Comité ha aclarado que este derecho humano debe distinguirse de los derechos de propiedad intelectual. “Los primeros son derechos fundamentales, inalienables y universales del individuo y, en ciertas circunstancias, de grupos de individuos y de comunidades. Los derechos humanos son fundamentales porque son inherentes a la persona humana como tal, mientras que los derechos de propiedad intelectual son ante todo medios que utilizan los Estados para estimular la inventiva y la creatividad, alentar la difusión de producciones creativas e innovadoras, así como el desarrollo de las identidades culturales, y preservar la integridad de las producciones científicas, literarias y artísticas para beneficio de la sociedad en su conjunto”.</w:t>
      </w:r>
      <w:r w:rsidRPr="00E72B02">
        <w:rPr>
          <w:rStyle w:val="Refdenotaalpie"/>
          <w:lang w:val="es-ES_tradnl"/>
        </w:rPr>
        <w:footnoteReference w:id="164"/>
      </w:r>
      <w:r w:rsidRPr="00E72B02">
        <w:rPr>
          <w:lang w:val="es-ES_tradnl"/>
        </w:rPr>
        <w:t xml:space="preserve"> Aunque el Comité reconoce expresamente que los autores con discapacidad deben tener accesibilidad física a los tribunales u organismos nacionales encargados de proteger los intereses morales y materiales que correspondan a los autores por razón de sus producciones científicas, literarias o artísticas, guarda silencio sobre la posible colisión entre este derecho y el derecho de las personas con discapacidad o disponer de formatos accesibles que eliminen la barreras comunicaciones. En este sentido la Observación General nº 5 aclara en este punto que  “el derecho a la plena participación en la vida cultural y recreativa para las personas con discapacidad requiere también que se supriman en todo lo posible las barreras que se oponen a las comunicaciones. Las medidas de utilidad a este respecto podrían incluir el uso de libros sonoros, textos escritos en un </w:t>
      </w:r>
      <w:r w:rsidRPr="00E72B02">
        <w:rPr>
          <w:lang w:val="es-ES_tradnl"/>
        </w:rPr>
        <w:lastRenderedPageBreak/>
        <w:t>idioma sencillo y con un formato claro y a colores para las personas con retardo mental, televisión y teatro adaptados para los sordos".</w:t>
      </w:r>
      <w:r w:rsidRPr="00E72B02">
        <w:rPr>
          <w:rStyle w:val="Refdenotaalpie"/>
          <w:lang w:val="es-ES_tradnl"/>
        </w:rPr>
        <w:footnoteReference w:id="165"/>
      </w:r>
    </w:p>
    <w:p w:rsidR="00F2036A" w:rsidRPr="00E72B02" w:rsidRDefault="00F2036A" w:rsidP="004551E9">
      <w:pPr>
        <w:rPr>
          <w:lang w:val="es-ES_tradnl"/>
        </w:rPr>
      </w:pPr>
      <w:r w:rsidRPr="00E72B02">
        <w:rPr>
          <w:lang w:val="es-ES_tradnl"/>
        </w:rPr>
        <w:t>En la Observación General nº 21 sobre el derecho de toda persona a participar en la vida cultural, el CteDESC ha destacado que para la realización de este derecho, “</w:t>
      </w:r>
      <w:r w:rsidRPr="00E72B02">
        <w:rPr>
          <w:i/>
          <w:lang w:val="es-ES_tradnl"/>
        </w:rPr>
        <w:t xml:space="preserve">es necesario que el </w:t>
      </w:r>
      <w:r w:rsidR="0074119B" w:rsidRPr="00E72B02">
        <w:rPr>
          <w:i/>
          <w:lang w:val="es-ES_tradnl"/>
        </w:rPr>
        <w:t>Estado Parte</w:t>
      </w:r>
      <w:r w:rsidRPr="00E72B02">
        <w:rPr>
          <w:i/>
          <w:lang w:val="es-ES_tradnl"/>
        </w:rPr>
        <w:t xml:space="preserve"> se abstenga de hacer algo (no injerencia en el ejercicio de las prácticas culturales y en el acceso a los bienes culturales), por una parte, y que tome medidas positivas (asegurarse de que existan las condiciones previas para participar en la vida cultural, promoverla y facilitarla y dar acceso a los bienes culturales y preservarlos), por la otra</w:t>
      </w:r>
      <w:r w:rsidRPr="00E72B02">
        <w:rPr>
          <w:lang w:val="es-ES_tradnl"/>
        </w:rPr>
        <w:t>”.</w:t>
      </w:r>
      <w:r w:rsidRPr="00E72B02">
        <w:rPr>
          <w:rStyle w:val="Refdenotaalpie"/>
          <w:lang w:val="es-ES_tradnl"/>
        </w:rPr>
        <w:footnoteReference w:id="166"/>
      </w:r>
      <w:r w:rsidRPr="00E72B02">
        <w:rPr>
          <w:lang w:val="es-ES_tradnl"/>
        </w:rPr>
        <w:t xml:space="preserve"> Desde este punto de vista, el Comité ha entendido que “</w:t>
      </w:r>
      <w:r w:rsidRPr="00E72B02">
        <w:rPr>
          <w:i/>
          <w:lang w:val="es-ES_tradnl"/>
        </w:rPr>
        <w:t>la cultura es un concepto amplio e inclusivo que comprende todas las expresiones de la existencia humana</w:t>
      </w:r>
      <w:r w:rsidRPr="00E72B02">
        <w:rPr>
          <w:lang w:val="es-ES_tradnl"/>
        </w:rPr>
        <w:t>”, y que la “</w:t>
      </w:r>
      <w:r w:rsidRPr="00E72B02">
        <w:rPr>
          <w:i/>
          <w:lang w:val="es-ES_tradnl"/>
        </w:rPr>
        <w:t>expresión ‘vida cultural’ hace referencia explícita al carácter de la cultura como un proceso vital, histórico, dinámico y evolutivo, que tiene un pasado, un presente y un futuro</w:t>
      </w:r>
      <w:r w:rsidRPr="00E72B02">
        <w:rPr>
          <w:lang w:val="es-ES_tradnl"/>
        </w:rPr>
        <w:t>”.</w:t>
      </w:r>
      <w:r w:rsidRPr="00E72B02">
        <w:rPr>
          <w:rStyle w:val="Refdenotaalpie"/>
          <w:lang w:val="es-ES_tradnl"/>
        </w:rPr>
        <w:footnoteReference w:id="167"/>
      </w:r>
      <w:r w:rsidRPr="00E72B02">
        <w:rPr>
          <w:lang w:val="es-ES_tradnl"/>
        </w:rPr>
        <w:t xml:space="preserve"> Adicionalmente, el Comité ha considerado que la cultura a los efectos del Pacto “</w:t>
      </w:r>
      <w:r w:rsidRPr="00E72B02">
        <w:rPr>
          <w:i/>
          <w:lang w:val="es-ES_tradnl"/>
        </w:rPr>
        <w:t xml:space="preserve">comprende, entre otras cosas, las formas de vida, el lenguaje, la literatura escrita y oral, la música y las canciones, la comunicación no verbal, los sistemas de religión y de creencias, los ritos y las ceremonias, los deportes y juegos, los métodos de producción o la tecnología, el entorno natural y el producido por el ser humano, la comida, el vestido y la vivienda, así como las artes, costumbres y tradiciones, por los cuales individuos, grupos y comunidades expresan su humanidad y el sentido que dan a su existencia, y configuran una visión del mundo que </w:t>
      </w:r>
      <w:r w:rsidRPr="00E72B02">
        <w:rPr>
          <w:i/>
          <w:lang w:val="es-ES_tradnl"/>
        </w:rPr>
        <w:lastRenderedPageBreak/>
        <w:t>representa su encuentro con las fuerzas externas que afectan a sus vidas</w:t>
      </w:r>
      <w:r w:rsidRPr="00E72B02">
        <w:rPr>
          <w:lang w:val="es-ES_tradnl"/>
        </w:rPr>
        <w:t>”.</w:t>
      </w:r>
      <w:r w:rsidRPr="00E72B02">
        <w:rPr>
          <w:rStyle w:val="Refdenotaalpie"/>
          <w:lang w:val="es-ES_tradnl"/>
        </w:rPr>
        <w:footnoteReference w:id="168"/>
      </w:r>
      <w:r w:rsidRPr="00E72B02">
        <w:rPr>
          <w:lang w:val="es-ES_tradnl"/>
        </w:rPr>
        <w:t xml:space="preserve"> </w:t>
      </w:r>
    </w:p>
    <w:p w:rsidR="00F2036A" w:rsidRPr="00E72B02" w:rsidRDefault="00F2036A" w:rsidP="004551E9">
      <w:pPr>
        <w:rPr>
          <w:lang w:val="es-ES_tradnl"/>
        </w:rPr>
      </w:pPr>
      <w:r w:rsidRPr="00E72B02">
        <w:rPr>
          <w:lang w:val="es-ES_tradnl"/>
        </w:rPr>
        <w:t>En relación con las personas con discapacidad, la Observación General nº 21 reconoce expresamente el derecho de accesibilidad universal a la participación en la vida cultural de las mismas,</w:t>
      </w:r>
      <w:r w:rsidRPr="00E72B02">
        <w:rPr>
          <w:rStyle w:val="Refdenotaalpie"/>
          <w:lang w:val="es-ES_tradnl"/>
        </w:rPr>
        <w:footnoteReference w:id="169"/>
      </w:r>
      <w:r w:rsidRPr="00E72B02">
        <w:rPr>
          <w:lang w:val="es-ES_tradnl"/>
        </w:rPr>
        <w:t xml:space="preserve"> y además, enumera al colectivo de las personas con discapacidad como personas y comunidades que requieren de protección especial. Mediante referencia a las Normas Uniformes y al artículo 30 de la CDPD, el CteDESC reitera que “</w:t>
      </w:r>
      <w:r w:rsidRPr="00E72B02">
        <w:rPr>
          <w:i/>
          <w:lang w:val="es-ES_tradnl"/>
        </w:rPr>
        <w:t>a fin de facilitar la participación de las personas con discapacidad en la vida cultural, los Estados partes deben, entre otras cosas, reconocer su derecho a disponer de material cultural, programas de televisión, películas, teatro y otras actividades culturales en formatos accesibles; a tener acceso a lugares en que se realicen actos culturales o se presten servicios culturales, tales como teatros, museos, cines, bibliotecas y servicios turísticos y, en la medida de lo posible, a monumentos y lugares de importancia cultural nacional; al reconocimiento de su identidad cultural y lingüística específica, incluidos el lenguaje de señas y la cultura de los sordos; y a que se aliente y promueva su participación, en la medida de lo posible, en actividades recreativas, de esparcimiento y deportivas</w:t>
      </w:r>
      <w:r w:rsidRPr="00E72B02">
        <w:rPr>
          <w:lang w:val="es-ES_tradnl"/>
        </w:rPr>
        <w:t>”.</w:t>
      </w:r>
      <w:r w:rsidRPr="00E72B02">
        <w:rPr>
          <w:rStyle w:val="Refdenotaalpie"/>
          <w:lang w:val="es-ES_tradnl"/>
        </w:rPr>
        <w:footnoteReference w:id="170"/>
      </w:r>
      <w:r w:rsidRPr="00E72B02">
        <w:rPr>
          <w:lang w:val="es-ES_tradnl"/>
        </w:rPr>
        <w:t xml:space="preserve"> </w:t>
      </w:r>
    </w:p>
    <w:p w:rsidR="00F2036A" w:rsidRPr="00E72B02" w:rsidRDefault="00F2036A" w:rsidP="004551E9">
      <w:pPr>
        <w:rPr>
          <w:lang w:val="es-ES_tradnl"/>
        </w:rPr>
      </w:pPr>
      <w:r w:rsidRPr="00E72B02">
        <w:rPr>
          <w:lang w:val="es-ES_tradnl"/>
        </w:rPr>
        <w:t>La discapacidad en el seguimiento del PIDESC por parte del CteDESC</w:t>
      </w:r>
    </w:p>
    <w:p w:rsidR="00F2036A" w:rsidRPr="00E72B02" w:rsidRDefault="00F2036A" w:rsidP="004551E9">
      <w:pPr>
        <w:rPr>
          <w:lang w:val="es-ES_tradnl"/>
        </w:rPr>
      </w:pPr>
      <w:r w:rsidRPr="00E72B02">
        <w:rPr>
          <w:lang w:val="es-ES_tradnl"/>
        </w:rPr>
        <w:t xml:space="preserve">Ante la carencia de un sistema de reclamaciones individuales o de mecanismo de visitas </w:t>
      </w:r>
      <w:r w:rsidRPr="00E72B02">
        <w:rPr>
          <w:i/>
          <w:lang w:val="es-ES_tradnl"/>
        </w:rPr>
        <w:t>in situ</w:t>
      </w:r>
      <w:r w:rsidRPr="00E72B02">
        <w:rPr>
          <w:lang w:val="es-ES_tradnl"/>
        </w:rPr>
        <w:t xml:space="preserve">, el CteDESC sólo cuenta con el procedimiento </w:t>
      </w:r>
      <w:r w:rsidRPr="00E72B02">
        <w:rPr>
          <w:lang w:val="es-ES_tradnl"/>
        </w:rPr>
        <w:lastRenderedPageBreak/>
        <w:t>de análisis de informes de los Estados Partes para llevar a cabo su labor de seguimiento de las obligaciones contenidas en el Pacto.</w:t>
      </w:r>
      <w:r w:rsidRPr="00E72B02">
        <w:rPr>
          <w:rStyle w:val="Refdenotaalpie"/>
          <w:lang w:val="es-ES_tradnl"/>
        </w:rPr>
        <w:footnoteReference w:id="171"/>
      </w:r>
      <w:r w:rsidRPr="00E72B02">
        <w:rPr>
          <w:lang w:val="es-ES_tradnl"/>
        </w:rPr>
        <w:t xml:space="preserve"> </w:t>
      </w:r>
    </w:p>
    <w:p w:rsidR="00F2036A" w:rsidRPr="00E72B02" w:rsidRDefault="00F2036A" w:rsidP="004551E9">
      <w:pPr>
        <w:rPr>
          <w:lang w:val="es-ES_tradnl"/>
        </w:rPr>
      </w:pPr>
      <w:r w:rsidRPr="00E72B02">
        <w:rPr>
          <w:lang w:val="es-ES_tradnl"/>
        </w:rPr>
        <w:t>En e</w:t>
      </w:r>
      <w:r w:rsidRPr="00E72B02">
        <w:t>l informe elaborado por QUINN &amp; DEGENER para el ACNUDH en 2002 se destaca un tratamiento relativamente frecuente de la discapacidad en los informes de los Estados y en las observaciones finales del Comité, aunque la cobertura de las personas con discapacidad tiende a ser fragmen</w:t>
      </w:r>
      <w:r w:rsidR="00F647CB" w:rsidRPr="00E72B02">
        <w:t>tada. Señala este informe que p</w:t>
      </w:r>
      <w:r w:rsidRPr="00E72B02">
        <w:t>odría hacerse mucho más para hacer efectivas las posibilidades del PIDESC en el contexto de la discapacidad, para lo cual recomienda invitar más “</w:t>
      </w:r>
      <w:r w:rsidRPr="00E72B02">
        <w:rPr>
          <w:i/>
        </w:rPr>
        <w:t>activamente a los Estados Partes a que aplicasen la letra y el espíritu de la Observación general N</w:t>
      </w:r>
      <w:r w:rsidR="009E4349" w:rsidRPr="00E72B02">
        <w:rPr>
          <w:i/>
        </w:rPr>
        <w:t>. º</w:t>
      </w:r>
      <w:r w:rsidRPr="00E72B02">
        <w:rPr>
          <w:i/>
        </w:rPr>
        <w:t xml:space="preserve"> 5 cuando preparen sus informes periódicos</w:t>
      </w:r>
      <w:r w:rsidRPr="00E72B02">
        <w:t>”.</w:t>
      </w:r>
      <w:r w:rsidRPr="00E72B02">
        <w:rPr>
          <w:rStyle w:val="Refdenotaalpie"/>
          <w:lang w:val="es-ES"/>
        </w:rPr>
        <w:footnoteReference w:id="172"/>
      </w:r>
    </w:p>
    <w:p w:rsidR="00F2036A" w:rsidRPr="00E72B02" w:rsidRDefault="00F2036A" w:rsidP="004551E9">
      <w:pPr>
        <w:rPr>
          <w:lang w:val="es-ES_tradnl"/>
        </w:rPr>
      </w:pPr>
      <w:r w:rsidRPr="00E72B02">
        <w:rPr>
          <w:lang w:val="es-ES_tradnl"/>
        </w:rPr>
        <w:t>Las nuevas Directrices sobre los documentos específicos que deben presentar los Estados Partes con arreglo a los artículos 16 y 17 del Pacto Internacional de Derechos Económicos, Sociales y Culturales, adoptadas por el CteDESC en su 49ª sesión (41º período de sesiones), el 18 de noviembre de 2008, requieren a los Estados Partes informar de forma específica sobre la perspectiva de la discapacidad en relación con los artículos 6, 9, 10, 11, 12 y 15.</w:t>
      </w:r>
      <w:r w:rsidRPr="00E72B02">
        <w:rPr>
          <w:rStyle w:val="Refdenotaalpie"/>
          <w:lang w:val="es-ES_tradnl"/>
        </w:rPr>
        <w:footnoteReference w:id="173"/>
      </w:r>
      <w:r w:rsidRPr="00E72B02">
        <w:rPr>
          <w:lang w:val="es-ES_tradnl"/>
        </w:rPr>
        <w:t xml:space="preserve"> </w:t>
      </w:r>
    </w:p>
    <w:p w:rsidR="00F2036A" w:rsidRPr="00E72B02" w:rsidRDefault="00F2036A" w:rsidP="004551E9">
      <w:pPr>
        <w:rPr>
          <w:lang w:val="es-ES_tradnl"/>
        </w:rPr>
      </w:pPr>
      <w:r w:rsidRPr="00E72B02">
        <w:rPr>
          <w:lang w:val="es-ES_tradnl"/>
        </w:rPr>
        <w:t xml:space="preserve">El estudio de los informes de los Estados Partes y de las Observaciones Finales del CteDESC desde 2009 al 2012, evidencia un incremento en las referencias hacia los derechos de las personas con discapacidad en el marco del PIDESC, aunque dichas referencias parecen ser más bien cuantitativas que cualitativas. Los Estados Partes, así como el propio Comité siguen </w:t>
      </w:r>
      <w:r w:rsidRPr="00E72B02">
        <w:rPr>
          <w:lang w:val="es-ES_tradnl"/>
        </w:rPr>
        <w:lastRenderedPageBreak/>
        <w:t>centrando sus esfuerzos de forma fragmentada hacia los ámbitos del empleo, la seguridad social y la discriminación, en este orden de prioridad.</w:t>
      </w:r>
      <w:r w:rsidRPr="00E72B02">
        <w:rPr>
          <w:rStyle w:val="Refdenotaalpie"/>
          <w:lang w:val="es-ES_tradnl"/>
        </w:rPr>
        <w:footnoteReference w:id="174"/>
      </w:r>
      <w:r w:rsidRPr="00E72B02">
        <w:rPr>
          <w:lang w:val="es-ES_tradnl"/>
        </w:rPr>
        <w:t xml:space="preserve"> Algunos Estados de forma excepcional informan sobre educación, salud y vivienda.</w:t>
      </w:r>
      <w:r w:rsidRPr="00E72B02">
        <w:rPr>
          <w:rStyle w:val="Refdenotaalpie"/>
          <w:lang w:val="es-ES_tradnl"/>
        </w:rPr>
        <w:footnoteReference w:id="175"/>
      </w:r>
    </w:p>
    <w:p w:rsidR="00F2036A" w:rsidRPr="00E72B02" w:rsidRDefault="00F2036A" w:rsidP="004551E9">
      <w:r w:rsidRPr="00E72B02">
        <w:t>En resumidas c</w:t>
      </w:r>
      <w:r w:rsidR="006F0CD3" w:rsidRPr="00E72B02">
        <w:t xml:space="preserve">uentas, el ámbito del PIDESC parece </w:t>
      </w:r>
      <w:r w:rsidRPr="00E72B02">
        <w:t xml:space="preserve">haber sido el más permeable a la perspectiva de la discapacidad, y más concretamente, al abordaje de las misma desde una perspectiva de derechos humanos. Aunque la Observación General n°5 antecede a la CDPD en más de una década y, algunos de sus apartados pueden entrar en conflicto con lo señalado en el tratado específico, lo cierto es que la observación conserva una perspectiva de derechos humanos, y por lo tanto, puede seguir considerándose como un instrumento autoritativo y complementario de la CDPD en relación con la interpretación de los derechos económicos, sociales y culturales de las personas con discapacidad. </w:t>
      </w:r>
    </w:p>
    <w:p w:rsidR="00F2036A" w:rsidRPr="00E72B02" w:rsidRDefault="00F2036A" w:rsidP="004551E9"/>
    <w:p w:rsidR="00F2036A" w:rsidRPr="008E11E3" w:rsidRDefault="00F2036A" w:rsidP="008E11E3">
      <w:pPr>
        <w:pStyle w:val="TTULO80"/>
      </w:pPr>
      <w:r w:rsidRPr="008E11E3">
        <w:t>2.4.3 – Los tratados temáticos de derechos humanos</w:t>
      </w:r>
    </w:p>
    <w:p w:rsidR="00F2036A" w:rsidRPr="00E72B02" w:rsidRDefault="00F2036A" w:rsidP="004551E9"/>
    <w:p w:rsidR="00F2036A" w:rsidRPr="00E72B02" w:rsidRDefault="00F2036A" w:rsidP="004551E9">
      <w:r w:rsidRPr="00E72B02">
        <w:t xml:space="preserve">El proceso de especificación de los derechos humanos, ha generado con posterioridad a la adopción de los Pactos (PIDCP y PIDESC), una series de tratados temáticos de derechos humanos, cuyos objetivos han sido especificar en relación a un  colectivo o grupo particular, o en relación con </w:t>
      </w:r>
      <w:r w:rsidRPr="00E72B02">
        <w:lastRenderedPageBreak/>
        <w:t xml:space="preserve">la protección de ciertos derechos básicos, un grado de protección especial en el sistema universal de derechos humanos.  </w:t>
      </w:r>
    </w:p>
    <w:p w:rsidR="00F2036A" w:rsidRPr="00E72B02" w:rsidRDefault="00F2036A" w:rsidP="004551E9">
      <w:r w:rsidRPr="00E72B02">
        <w:t>En sentido amplio se podría incluir entre los tratados específicos sobre grupos particulares a las mujeres, a los niños, a las minorías raciales, a los trabadores migrantes, a las personas con discapacidad, a los apátridas, a los asilados o refugiados, o a la población civil en situaciones de conflictos armados. En relación con la protección de derechos básicos se podría incluir el derecho a la integridad (tortura, esclavitud), el derecho a la vida (genocidio, desaparición forzada), el derecho a la libertad (Apartheid), el derecho al trabajo (OIT), o los derechos culturales (UNESCO).</w:t>
      </w:r>
    </w:p>
    <w:p w:rsidR="00F2036A" w:rsidRPr="00E72B02" w:rsidRDefault="00F2036A" w:rsidP="004551E9">
      <w:r w:rsidRPr="00E72B02">
        <w:t xml:space="preserve">Teniendo en cuenta el objeto del presente trabajo, se propone a continuación seleccionar y analizar aquellos tratados que se considera, suponen un mayor impacto o incidencia para los derechos humanos de las personas con discapacidad. Consecuentemente a continuación se propone abordar los tratados temáticos sobre género, niñez, condición racial, y protección contra la tortura. El tratado relativo a las personas con discapacidad será abordado de forma específica en el capítulo siguiente. </w:t>
      </w:r>
    </w:p>
    <w:p w:rsidR="00F2036A" w:rsidRPr="00E72B02" w:rsidRDefault="00F2036A" w:rsidP="004551E9"/>
    <w:p w:rsidR="00F2036A" w:rsidRPr="00E72B02" w:rsidRDefault="00F2036A" w:rsidP="00745BB8">
      <w:pPr>
        <w:pStyle w:val="TTULO80"/>
      </w:pPr>
      <w:r w:rsidRPr="00E72B02">
        <w:t xml:space="preserve">2.4.3.1 – Convención contra la tortura y otros tratos crueles, inhumanos y degradantes  </w:t>
      </w:r>
    </w:p>
    <w:p w:rsidR="00F2036A" w:rsidRPr="00E72B02" w:rsidRDefault="00F2036A" w:rsidP="004551E9"/>
    <w:p w:rsidR="00F2036A" w:rsidRPr="00E72B02" w:rsidRDefault="00F2036A" w:rsidP="004551E9">
      <w:r w:rsidRPr="00E72B02">
        <w:t>La CCT,</w:t>
      </w:r>
      <w:r w:rsidRPr="00E72B02">
        <w:rPr>
          <w:rStyle w:val="Refdenotaalpie"/>
          <w:lang w:val="es-ES"/>
        </w:rPr>
        <w:footnoteReference w:id="176"/>
      </w:r>
      <w:r w:rsidRPr="00E72B02">
        <w:t xml:space="preserve"> es un tratado internacional que tiene como objetivo principal erradicar la práctica de la tortura reafirmando con carácter universal una prohibición que ya se encontraba contemplada en la DUDH, el PIDCP, así </w:t>
      </w:r>
      <w:r w:rsidRPr="00E72B02">
        <w:lastRenderedPageBreak/>
        <w:t>como en el ámbito del Derecho Internacional Humanitario (DIH).</w:t>
      </w:r>
      <w:r w:rsidRPr="00E72B02">
        <w:rPr>
          <w:rStyle w:val="Refdenotaalpie"/>
          <w:lang w:val="es-ES"/>
        </w:rPr>
        <w:footnoteReference w:id="177"/>
      </w:r>
      <w:r w:rsidRPr="00E72B02">
        <w:t xml:space="preserve"> La prohibición de la tortura no solo tiene consolidadas bases convencionales, sino que también es considerada una norma de derecho consuetudinario con carácter de </w:t>
      </w:r>
      <w:r w:rsidRPr="00E72B02">
        <w:rPr>
          <w:i/>
        </w:rPr>
        <w:t>jus cogens</w:t>
      </w:r>
      <w:r w:rsidRPr="00E72B02">
        <w:t>.</w:t>
      </w:r>
      <w:r w:rsidRPr="00E72B02">
        <w:rPr>
          <w:rStyle w:val="Refdenotaalpie"/>
          <w:lang w:val="es-ES"/>
        </w:rPr>
        <w:footnoteReference w:id="178"/>
      </w:r>
      <w:r w:rsidRPr="00E72B02">
        <w:t xml:space="preserve"> </w:t>
      </w:r>
    </w:p>
    <w:p w:rsidR="00F2036A" w:rsidRPr="00E72B02" w:rsidRDefault="00F2036A" w:rsidP="004551E9">
      <w:r w:rsidRPr="00E72B02">
        <w:t>Una violación grave a la integridad personal puede suponer, dependiendo de las circunstancias del propio acto, o del marco jurídico internacional aplicable al Estado en cuestión, que dicho acto sea calificado como: a) violación del artículo 10 del PIDCP; b) violación del artículo 7 del PIDCP; c) crimen de tortura en virtud del Artículo 1(1) de la CCT, d) tratos crueles, inhumanos, o degradantes en virtud del Artículo 16 de la CCT, o e) crimen de lesa humanidad, o crimen de guerra en virtud de los Artículos 7(1).(f) u 8(2)(ii) del Estatuto de Roma de la Corte Penal Internacional.</w:t>
      </w:r>
    </w:p>
    <w:p w:rsidR="00F2036A" w:rsidRPr="00E72B02" w:rsidRDefault="00F2036A" w:rsidP="004551E9">
      <w:r w:rsidRPr="00E72B02">
        <w:t>A lo anterior habría que añadir las cláusulas de prohibición de tortura insertas en algunos tratados que protegen grupos específicos tales como el Artículo 37(a) de la C</w:t>
      </w:r>
      <w:r w:rsidR="00434B0E" w:rsidRPr="00E72B02">
        <w:t>onvención sobre los Derechos del Niño (C</w:t>
      </w:r>
      <w:r w:rsidRPr="00E72B02">
        <w:t>DN</w:t>
      </w:r>
      <w:r w:rsidR="00434B0E" w:rsidRPr="00E72B02">
        <w:t>)</w:t>
      </w:r>
      <w:r w:rsidRPr="00E72B02">
        <w:t>, el Artículo 10 de la C</w:t>
      </w:r>
      <w:r w:rsidR="00434B0E" w:rsidRPr="00E72B02">
        <w:t>onvención sobre los Derechos de los Trabajadores Migrantes (C</w:t>
      </w:r>
      <w:r w:rsidRPr="00E72B02">
        <w:t>DTM</w:t>
      </w:r>
      <w:r w:rsidR="00434B0E" w:rsidRPr="00E72B02">
        <w:t>)</w:t>
      </w:r>
      <w:r w:rsidRPr="00E72B02">
        <w:t>, o el Artículo 15 de la CDPD.</w:t>
      </w:r>
      <w:r w:rsidRPr="00E72B02">
        <w:rPr>
          <w:rStyle w:val="Refdenotaalpie"/>
          <w:lang w:val="es-ES"/>
        </w:rPr>
        <w:footnoteReference w:id="179"/>
      </w:r>
      <w:r w:rsidRPr="00E72B02">
        <w:t xml:space="preserve"> No obstante estas disposiciones en realidad complementan el marco jurídico internacional relativo a la prohibición contra la tortura, generando obligaciones específicas a los Estados Partes en relación con los grupos especialmente protegidos. </w:t>
      </w:r>
    </w:p>
    <w:p w:rsidR="00F2036A" w:rsidRPr="00E72B02" w:rsidRDefault="00F2036A" w:rsidP="004551E9">
      <w:r w:rsidRPr="00E72B02">
        <w:t xml:space="preserve">Con lo cual, se podría decir que el valor principal de la CCT es, en realidad, incorporar a la prohibición existente de tortura una serie de aspectos </w:t>
      </w:r>
      <w:r w:rsidRPr="00E72B02">
        <w:lastRenderedPageBreak/>
        <w:t xml:space="preserve">normativos adicionales, entre los que se pueden destacar, la definición del término “tortura” -en clave de tipificación penal- (Artículo 1(1)), la consideración de prohibición absoluta (Artículo 2), la prohibición de expulsión, devolución o extradición ante riesgo de tortura (Artículo 3), la obligación de tipificar y criminalizar a nivel nacional (Artículo 4), o la obligación de juzgar o extraditar (Artículo 5). </w:t>
      </w:r>
    </w:p>
    <w:p w:rsidR="00F2036A" w:rsidRPr="00E72B02" w:rsidRDefault="00F2036A" w:rsidP="004551E9">
      <w:r w:rsidRPr="00E72B02">
        <w:t>La CCT adopta un doble enfoque en cuanto al tipo o modalidad de actos o prácticas prohibidas, esto es, actos o prácticas de tortura por un lado, y actos o prácticas de tratos crueles, inhumanos o degradantes por el otro. E</w:t>
      </w:r>
      <w:r w:rsidR="0019196B" w:rsidRPr="00E72B02">
        <w:t>n relación con lo primero, la CC</w:t>
      </w:r>
      <w:r w:rsidRPr="00E72B02">
        <w:t xml:space="preserve">T es el único tratado universal, que define lo </w:t>
      </w:r>
      <w:r w:rsidR="0019196B" w:rsidRPr="00E72B02">
        <w:t>que se entiende</w:t>
      </w:r>
      <w:r w:rsidRPr="00E72B02">
        <w:t xml:space="preserve"> por tortura,</w:t>
      </w:r>
      <w:r w:rsidRPr="00E72B02">
        <w:rPr>
          <w:rStyle w:val="Refdenotaalpie"/>
          <w:lang w:val="es-ES"/>
        </w:rPr>
        <w:footnoteReference w:id="180"/>
      </w:r>
      <w:r w:rsidRPr="00E72B02">
        <w:t xml:space="preserve"> el señalar en su Artículo 1(1) que “</w:t>
      </w:r>
      <w:r w:rsidRPr="00E72B02">
        <w:rPr>
          <w:i/>
        </w:rPr>
        <w:t xml:space="preserve">se entenderá por el término "tortura" todo acto por el cual se inflija </w:t>
      </w:r>
      <w:r w:rsidRPr="00E72B02">
        <w:rPr>
          <w:i/>
        </w:rPr>
        <w:lastRenderedPageBreak/>
        <w:t>intencionadamente a una persona dolores o sufrimientos graves, ya sean físicos o mentales, con el fin de obtener de ella o de un tercero información o una confesión, de castigarla por un acto que haya cometido, o se sospeche que ha cometido, o de intimidar o coaccionar a esa persona o a otras, o por cualquier razón basada en cualquier tipo de discriminación, cuando dichos dolores o sufrimientos sean infligidos por un funcionario público u otra persona en el ejercicio de funciones públicas, a instigación suya, o con su consentimiento o aquiescencia. No se considerarán torturas los dolores o sufrimientos que sean consecuencia únicamente de sanciones legítimas, o que sean inherentes o incidentales a éstas</w:t>
      </w:r>
      <w:r w:rsidRPr="00E72B02">
        <w:t>”. En relación con lo segundo, la CCT estipula en su Artículo 16 que todo “</w:t>
      </w:r>
      <w:r w:rsidR="0074119B" w:rsidRPr="00E72B02">
        <w:rPr>
          <w:i/>
        </w:rPr>
        <w:t>Estado Parte</w:t>
      </w:r>
      <w:r w:rsidRPr="00E72B02">
        <w:rPr>
          <w:i/>
        </w:rPr>
        <w:t xml:space="preserve"> se comprometerá a prohibir en cualquier territorio bajo su jurisdicción otros actos que constituyan tratos o penas crueles, inhumanos o degradantes y que no lleguen a ser tortura tal como se define en el artículo 1, cuando esos actos sean cometidos por un funcionario público u otra persona que actúe en el ejercicio de funciones oficiales, o por instigación o con el consentimiento o la aquiescencia de tal funcionario o persona</w:t>
      </w:r>
      <w:r w:rsidRPr="00E72B02">
        <w:t xml:space="preserve">”. </w:t>
      </w:r>
    </w:p>
    <w:p w:rsidR="00F2036A" w:rsidRPr="00E72B02" w:rsidRDefault="00F2036A" w:rsidP="004551E9">
      <w:r w:rsidRPr="00E72B02">
        <w:t xml:space="preserve">Tanto la tortura, como el trato inhumano, cruel o degradante suponen ante su acreditación en el territorio bajo jurisdicción del </w:t>
      </w:r>
      <w:r w:rsidR="0074119B" w:rsidRPr="00E72B02">
        <w:t>Estado Parte</w:t>
      </w:r>
      <w:r w:rsidRPr="00E72B02">
        <w:t xml:space="preserve">, responsabilidad internacional del mismo por violación de la obligación general de prevenir y sancionar. Pero la CCT establece una diferencia sustancial según nos encontremos ante tortura o tratos crueles, inhumanos o degradantes, en relación con a las obligaciones adicionales que el propio instrumento impone al </w:t>
      </w:r>
      <w:r w:rsidR="0074119B" w:rsidRPr="00E72B02">
        <w:t>Estado Parte</w:t>
      </w:r>
      <w:r w:rsidRPr="00E72B02">
        <w:t xml:space="preserve">. Mientras ante casos de tortura el </w:t>
      </w:r>
      <w:r w:rsidR="0074119B" w:rsidRPr="00E72B02">
        <w:t>Estado Parte</w:t>
      </w:r>
      <w:r w:rsidRPr="00E72B02">
        <w:t xml:space="preserve"> se encuentra obligado por la totalidad de las disposiciones comprendidas entre los Artículos 2 a 15, ante casos de tratos crueles, inhumanos o degradantes, la obligación se restringe a lo estipulado en los Artículos 10 a 13. </w:t>
      </w:r>
    </w:p>
    <w:p w:rsidR="00F2036A" w:rsidRPr="00E72B02" w:rsidRDefault="00F2036A" w:rsidP="004551E9">
      <w:r w:rsidRPr="00E72B02">
        <w:t xml:space="preserve">En relación con la delimitación conceptual entre tortura y otras tratos cueles, inhumanos o degradantes, el propio Artículo 16 adopta un criterio residual </w:t>
      </w:r>
      <w:r w:rsidRPr="00E72B02">
        <w:lastRenderedPageBreak/>
        <w:t xml:space="preserve">al incluir ente los últimos toda aquello que no cumpla con los requisitos de lo primero señalados en Artículo 1(1). Adicionalmente, el </w:t>
      </w:r>
      <w:r w:rsidR="00DE124B" w:rsidRPr="00E72B02">
        <w:t>Comité Contra la Tortura (</w:t>
      </w:r>
      <w:r w:rsidRPr="00E72B02">
        <w:t>CteCT</w:t>
      </w:r>
      <w:r w:rsidR="00DE124B" w:rsidRPr="00E72B02">
        <w:t>)</w:t>
      </w:r>
      <w:r w:rsidRPr="00E72B02">
        <w:t xml:space="preserve"> por intermedio de la Observación General n° 2, ha señalado que “</w:t>
      </w:r>
      <w:r w:rsidRPr="00E72B02">
        <w:rPr>
          <w:i/>
        </w:rPr>
        <w:t>el Comité reconoce que la mayoría de los Estados Partes tipifican o definen en sus códigos penales ciertas conductas como malos tratos.  En comparación con la tortura, los malos tratos difieren en la gravedad del dolor y el sufrimiento y no requieren la prueba de fines inaceptables</w:t>
      </w:r>
      <w:r w:rsidRPr="00E72B02">
        <w:t>”.</w:t>
      </w:r>
      <w:r w:rsidRPr="00E72B02">
        <w:rPr>
          <w:rStyle w:val="Refdenotaalpie"/>
          <w:lang w:val="es-ES"/>
        </w:rPr>
        <w:footnoteReference w:id="181"/>
      </w:r>
      <w:r w:rsidRPr="00E72B02">
        <w:t xml:space="preserve">  </w:t>
      </w:r>
    </w:p>
    <w:p w:rsidR="00F2036A" w:rsidRPr="00E72B02" w:rsidRDefault="00F2036A" w:rsidP="004551E9">
      <w:r w:rsidRPr="00E72B02">
        <w:t xml:space="preserve">En cuanto a la aplicación de la CCT al ámbito de la discapacidad, el CteCT se ha limitado a observar que “la no discriminación se incluye en la propia definición de la tortura en el párrafo 1 del artículo 1 de la Convención, que prohíbe expresamente los actos especificados cuando se cometen por "cualquier razón basada en cualquier tipo de discriminación...", y consecuentemente que, “el uso discriminatorio de la violencia o el maltrato mental o físico es un factor importante para determinar si un acto constituye tortura”. </w:t>
      </w:r>
      <w:r w:rsidRPr="00E72B02">
        <w:rPr>
          <w:rStyle w:val="Refdenotaalpie"/>
          <w:lang w:val="es-ES"/>
        </w:rPr>
        <w:footnoteReference w:id="182"/>
      </w:r>
      <w:r w:rsidRPr="00E72B02">
        <w:t xml:space="preserve"> Lamentablemente el CteCT no desarrolla esta importante afirmación en el ámbito de la discapacidad, y en su lugar se limita simplemente a señalar un “deber de especial protección” a ciertas personas o poblaciones minoritarias o marginadas que corren mayor peligro de ser torturadas, donde explícitamente menciona, entre otras razones, la “discapacidad mental o de otro tipo”.</w:t>
      </w:r>
      <w:r w:rsidRPr="00E72B02">
        <w:rPr>
          <w:rStyle w:val="Refdenotaalpie"/>
          <w:lang w:val="es-ES"/>
        </w:rPr>
        <w:footnoteReference w:id="183"/>
      </w:r>
    </w:p>
    <w:p w:rsidR="00F2036A" w:rsidRPr="00E72B02" w:rsidRDefault="00F2036A" w:rsidP="004551E9">
      <w:r w:rsidRPr="00E72B02">
        <w:t xml:space="preserve">En relación con el proceso de control internacional que el CteCT lleva adelante en virtud de los Artículos 19 y 20 de la CCT, bien sea en lo que respecta a los informes periódicos que los Estados presentan ante el Comité, o bien sea en lo que respecta a las observaciones finales que dicho órgano </w:t>
      </w:r>
      <w:r w:rsidRPr="00E72B02">
        <w:lastRenderedPageBreak/>
        <w:t xml:space="preserve">emite respecto de dichos informes, el informe presentado por QUINN &amp; DEGENER ante el </w:t>
      </w:r>
      <w:r w:rsidR="0019196B" w:rsidRPr="00E72B02">
        <w:t>ACNUDH en 2002 evidencia la poca</w:t>
      </w:r>
      <w:r w:rsidRPr="00E72B02">
        <w:t xml:space="preserve"> o nula referencia a la temática de la discapacidad en el uso de este mecanismo.</w:t>
      </w:r>
      <w:r w:rsidRPr="00E72B02">
        <w:rPr>
          <w:rStyle w:val="Refdenotaalpie"/>
          <w:lang w:val="es-ES"/>
        </w:rPr>
        <w:footnoteReference w:id="184"/>
      </w:r>
      <w:r w:rsidRPr="00E72B02">
        <w:t xml:space="preserve"> La investigación de los informes presentados con posterioridad a la adopción de la CDPD, evidencia un liger</w:t>
      </w:r>
      <w:r w:rsidR="00DE124B" w:rsidRPr="00E72B02">
        <w:t>o cambio en la práctica del Cte</w:t>
      </w:r>
      <w:r w:rsidRPr="00E72B02">
        <w:t xml:space="preserve">CT en el abordaje o tratamiento de la discapacidad, ello a pesar que el Comité </w:t>
      </w:r>
      <w:r w:rsidR="0019196B" w:rsidRPr="00E72B02">
        <w:t xml:space="preserve">reiteradamente </w:t>
      </w:r>
      <w:r w:rsidRPr="00E72B02">
        <w:t xml:space="preserve">celebra, o recomienda, la ratificación de la CDPD y su Protocolo Facultativo de forma generalizada en todas sus observaciones finales a los Estados analizados. </w:t>
      </w:r>
    </w:p>
    <w:p w:rsidR="00F2036A" w:rsidRPr="00E72B02" w:rsidRDefault="00F2036A" w:rsidP="004551E9">
      <w:r w:rsidRPr="00E72B02">
        <w:t>Consecuentemente, es posible identificar algunas referencias directas hacia la discapacidad en observaciones recientes pero que básicamente se podrían sintetizar en tres. 1) Observaciones sobre las condiciones de acceso y atención a la salud mental de personas institucionalizadas;</w:t>
      </w:r>
      <w:r w:rsidRPr="00E72B02">
        <w:rPr>
          <w:rStyle w:val="Refdenotaalpie"/>
          <w:lang w:val="es-ES"/>
        </w:rPr>
        <w:footnoteReference w:id="185"/>
      </w:r>
      <w:r w:rsidRPr="00E72B02">
        <w:t xml:space="preserve"> 2) Observaciones sobre las condiciones generales de vida en instituciones psiquiátricas;</w:t>
      </w:r>
      <w:r w:rsidRPr="00E72B02">
        <w:rPr>
          <w:rStyle w:val="Refdenotaalpie"/>
          <w:lang w:val="es-ES"/>
        </w:rPr>
        <w:footnoteReference w:id="186"/>
      </w:r>
      <w:r w:rsidRPr="00E72B02">
        <w:t xml:space="preserve"> </w:t>
      </w:r>
      <w:r w:rsidR="0019196B" w:rsidRPr="00E72B02">
        <w:t xml:space="preserve">y </w:t>
      </w:r>
      <w:r w:rsidRPr="00E72B02">
        <w:t>3) Observaciones sobre el uso de restricciones físicas y aislamiento en instituciones psiquiátricas.</w:t>
      </w:r>
      <w:r w:rsidRPr="00E72B02">
        <w:rPr>
          <w:rStyle w:val="Refdenotaalpie"/>
          <w:lang w:val="es-ES"/>
        </w:rPr>
        <w:footnoteReference w:id="187"/>
      </w:r>
      <w:r w:rsidRPr="00E72B02">
        <w:t xml:space="preserve"> En relación con esto último es interesante la </w:t>
      </w:r>
      <w:r w:rsidR="00DE124B" w:rsidRPr="00E72B02">
        <w:t>observación que el Cte</w:t>
      </w:r>
      <w:r w:rsidRPr="00E72B02">
        <w:t>CT realiza al Estado Serbio,</w:t>
      </w:r>
      <w:r w:rsidRPr="00E72B02">
        <w:rPr>
          <w:rStyle w:val="Refdenotaalpie"/>
          <w:lang w:val="es-ES"/>
        </w:rPr>
        <w:footnoteReference w:id="188"/>
      </w:r>
      <w:r w:rsidRPr="00E72B02">
        <w:t xml:space="preserve"> la cual se reproduce: </w:t>
      </w:r>
    </w:p>
    <w:p w:rsidR="00F2036A" w:rsidRPr="00E72B02" w:rsidRDefault="00F2036A" w:rsidP="004551E9">
      <w:pPr>
        <w:pStyle w:val="Cita"/>
      </w:pPr>
      <w:r w:rsidRPr="00E72B02">
        <w:lastRenderedPageBreak/>
        <w:t xml:space="preserve">[…Tortura y discapacidad. 16) El Comité toma nota de que el </w:t>
      </w:r>
      <w:r w:rsidR="0074119B" w:rsidRPr="00E72B02">
        <w:t>Estado Parte</w:t>
      </w:r>
      <w:r w:rsidRPr="00E72B02">
        <w:t xml:space="preserve"> reconoce que el trato de los reclusos es deficiente e inadecuado en algunas instituciones y sigue preocupado por las denuncias formuladas en relación con el trato de los niños y adultos con discapacidades mentales o psíquicas, especialmente en los casos de internamiento forzoso y de limitación de movimientos a largo plazo que se utilizan en ciertas instituciones, lo que equivale a tortura o tratos o penas crueles, inhumanos o degradantes en las instituciones de protección social para personas con discapacidad mental y los hospitales psiquiátricos.  Preocupa al Comité que no parezca haberse realizado ninguna investigación en relación con el trato dispensado a las personas con discapacidad internadas en instituciones que constituya tortura o tratos inhumanos o degradantes (arts. 2, 12, 13 y 16). </w:t>
      </w:r>
    </w:p>
    <w:p w:rsidR="00F2036A" w:rsidRPr="00E72B02" w:rsidRDefault="00F2036A" w:rsidP="004551E9">
      <w:pPr>
        <w:pStyle w:val="Cita"/>
      </w:pPr>
      <w:r w:rsidRPr="00E72B02">
        <w:t xml:space="preserve">El </w:t>
      </w:r>
      <w:r w:rsidR="0074119B" w:rsidRPr="00E72B02">
        <w:t>Estado Parte</w:t>
      </w:r>
      <w:r w:rsidRPr="00E72B02">
        <w:t xml:space="preserve"> debe: </w:t>
      </w:r>
    </w:p>
    <w:p w:rsidR="00F2036A" w:rsidRPr="00E72B02" w:rsidRDefault="00F2036A" w:rsidP="004551E9">
      <w:pPr>
        <w:pStyle w:val="Cita"/>
      </w:pPr>
      <w:r w:rsidRPr="00E72B02">
        <w:t>a) Poner en marcha reformas sociales y sistemas alternativos de apoyo de base comunitaria en paralelo al proceso en curso de poner fin al internamiento de personas discapacitadas, así como reforzar la formación profesional en las instituciones de protección social para personas con discapacidades mentales y en los hospitales psiquiátricos; y b) Investigar las denuncias de tortura o de tratos o penas crueles, inhumanos o degradantes de personas con discapacidad internadas en instituciones…]</w:t>
      </w:r>
    </w:p>
    <w:p w:rsidR="00F2036A" w:rsidRPr="00E72B02" w:rsidRDefault="00F2036A" w:rsidP="004551E9">
      <w:r w:rsidRPr="00E72B02">
        <w:t>En relación con el proceso de análisis de comunicaciones indivi</w:t>
      </w:r>
      <w:r w:rsidR="00DE124B" w:rsidRPr="00E72B02">
        <w:t>duales que el Cte</w:t>
      </w:r>
      <w:r w:rsidRPr="00E72B02">
        <w:t xml:space="preserve">CT lleva adelante en virtud del Artículo 22, el informe presentado por QUINN &amp; DEGENER ante el ACNUDH en 2002 evidencia que </w:t>
      </w:r>
      <w:r w:rsidR="0019196B" w:rsidRPr="00E72B02">
        <w:t xml:space="preserve">en </w:t>
      </w:r>
      <w:r w:rsidRPr="00E72B02">
        <w:t xml:space="preserve">un solo </w:t>
      </w:r>
      <w:r w:rsidRPr="00E72B02">
        <w:lastRenderedPageBreak/>
        <w:t>caso se abordada la temática de la discapacidad, pero que el mismo había sido declarado inadmisible.</w:t>
      </w:r>
      <w:r w:rsidRPr="00E72B02">
        <w:rPr>
          <w:rStyle w:val="Refdenotaalpie"/>
          <w:lang w:val="es-ES"/>
        </w:rPr>
        <w:footnoteReference w:id="189"/>
      </w:r>
      <w:r w:rsidRPr="00E72B02">
        <w:t xml:space="preserve"> La investigación de las comun</w:t>
      </w:r>
      <w:r w:rsidR="00DE124B" w:rsidRPr="00E72B02">
        <w:t>icaciones analizadas por el Cte</w:t>
      </w:r>
      <w:r w:rsidRPr="00E72B02">
        <w:t xml:space="preserve">CT en sus informes anuales desde 2007 al 2011 evidencia que la dinámica de este organismo en este ámbito, no ha cambiado con posterioridad a la adopción de la CDPD. </w:t>
      </w:r>
    </w:p>
    <w:p w:rsidR="00F2036A" w:rsidRPr="00E72B02" w:rsidRDefault="00F2036A" w:rsidP="004551E9">
      <w:r w:rsidRPr="00E72B02">
        <w:t>El Subcomité para la Prevención de la Tortura</w:t>
      </w:r>
    </w:p>
    <w:p w:rsidR="00F2036A" w:rsidRPr="00E72B02" w:rsidRDefault="00F2036A" w:rsidP="004551E9">
      <w:r w:rsidRPr="00E72B02">
        <w:t>Por otro lado, y aunque no se trata de un tratado que establezca derechos u obligaciones en materia de prohibición de tortura y otros tratos crueles, inhumanos o degradantes, resulta relevante mencionar el Protocolo Facultativo a la CCT que se adoptó el 18 de diciembre de 2002, y que crea un nuevo órgano internacional de control denominado el Subcomité para la Prevención de la Tortura y otros Tratos o Penas Crueles, Inhumanos o Degradantes.</w:t>
      </w:r>
      <w:r w:rsidRPr="00E72B02">
        <w:rPr>
          <w:rStyle w:val="Refdenotaalpie"/>
          <w:lang w:val="es-ES"/>
        </w:rPr>
        <w:footnoteReference w:id="190"/>
      </w:r>
      <w:r w:rsidRPr="00E72B02">
        <w:t xml:space="preserve"> </w:t>
      </w:r>
    </w:p>
    <w:p w:rsidR="00F2036A" w:rsidRPr="00E72B02" w:rsidRDefault="00F2036A" w:rsidP="004551E9">
      <w:r w:rsidRPr="00E72B02">
        <w:t xml:space="preserve">El Subcomité articula con otros mecanismos nacionales independientes, un sistema de visitas periódicas a los lugares en que se encuentren personas privadas de su libertad, con el fin de prevenir la tortura y otros tratos o penas crueles, inhumanos o degradantes (Artículo 1). Conforme lo estipula el Artículo 11, el mandato del Subcomité para la Prevención consiste en: a) Visitar los lugares mencionados en el artículo 4 y hacer recomendaciones a los Estados Partes en cuanto a la protección de las personas privadas de su libertad contra la tortura y otros tratos o penas crueles, inhumanos o degradantes. En lo que respecta a los mecanismos nacionales de prevención el mandato consiste en: i) Asesorar y ayudar a los Estados Partes, cuando sea necesario, a establecerlos; ii) Mantener contacto directo, de ser necesario </w:t>
      </w:r>
      <w:r w:rsidRPr="00E72B02">
        <w:lastRenderedPageBreak/>
        <w:t>confidencial, con los mecanismos nacionales de prevención y ofrecerles formación y asistencia técnica con miras a aumentar su capacidad; iii) Ayudar y asesorar a los mecanismos nacionales de prevención en la evaluación de las necesidades y las medidas destinadas a fortalecer la protección de personas privadas de su libertad contra la tortura y otros tratos o penas crueles, inhumanos o degradantes; iv) Hacer recomendaciones y observaciones a los Estados Partes con miras a reforzar la capacidad y el mandato de los mecanismos nacionales para la prevención de la tortura y otros tratos o penas crueles, inhumanos o degradantes.</w:t>
      </w:r>
    </w:p>
    <w:p w:rsidR="00F2036A" w:rsidRPr="00E72B02" w:rsidRDefault="00F2036A" w:rsidP="004551E9">
      <w:r w:rsidRPr="00E72B02">
        <w:t>De los informes públicos emitidos por el Subcomité sobre sus visitas a países no surge que exista una clara perspectiva de la discapacidad en el contexto de privaciones de libertad.</w:t>
      </w:r>
      <w:r w:rsidRPr="00E72B02">
        <w:rPr>
          <w:rStyle w:val="Refdenotaalpie"/>
          <w:lang w:val="es-ES"/>
        </w:rPr>
        <w:footnoteReference w:id="191"/>
      </w:r>
      <w:r w:rsidRPr="00E72B02">
        <w:t xml:space="preserve"> No obstante la principal alianza mundial de personas con discapacidad, se encuentra trabajando estrechamente con este organismo.</w:t>
      </w:r>
      <w:r w:rsidRPr="00E72B02">
        <w:rPr>
          <w:rStyle w:val="Refdenotaalpie"/>
          <w:lang w:val="es-ES"/>
        </w:rPr>
        <w:footnoteReference w:id="192"/>
      </w:r>
      <w:r w:rsidRPr="00E72B02">
        <w:t xml:space="preserve"> </w:t>
      </w:r>
    </w:p>
    <w:p w:rsidR="00F2036A" w:rsidRPr="00E72B02" w:rsidRDefault="00F2036A" w:rsidP="004551E9">
      <w:r w:rsidRPr="00E72B02">
        <w:t>Relator Especial de la ONU sobre la cuestión de la Tortura</w:t>
      </w:r>
    </w:p>
    <w:p w:rsidR="00F2036A" w:rsidRPr="00E72B02" w:rsidRDefault="00F2036A" w:rsidP="004551E9">
      <w:r w:rsidRPr="00E72B02">
        <w:t xml:space="preserve">Aunque en rigor no forma parte del marco convencional de control y seguimiento establecido por la CCT, es importante destacar en este punto, la labor llevada a cabo por la Relatoría Especial de la ONU sobre la cuestión de la tortura. Instaurada mediante resolución 1985/33 de la Comisión de Derechos Humanos de la ONU (actualmente bajo la órbita del Consejo de Derechos Humanos de la ONU), la relatoría tienen como mandato examinar cuestiones relativas a la tortura, sobre la base de todo el marco universal de protección de los derechos humanos. Debido a que el mandato de la Comisión (ahora Consejo) deriva de la propia Carta de la ONU, el mandato </w:t>
      </w:r>
      <w:r w:rsidRPr="00E72B02">
        <w:lastRenderedPageBreak/>
        <w:t>del Relator Especial abarcar todos los países independientemente de que el Estado haya ratificado la CCT.</w:t>
      </w:r>
      <w:r w:rsidRPr="00E72B02">
        <w:rPr>
          <w:rStyle w:val="Refdenotaalpie"/>
          <w:lang w:val="es-ES"/>
        </w:rPr>
        <w:footnoteReference w:id="193"/>
      </w:r>
      <w:r w:rsidRPr="00E72B02">
        <w:t xml:space="preserve"> </w:t>
      </w:r>
    </w:p>
    <w:p w:rsidR="00F2036A" w:rsidRPr="00E72B02" w:rsidRDefault="00F2036A" w:rsidP="004551E9">
      <w:r w:rsidRPr="00E72B02">
        <w:t>En 2008, el entonces Relator Especial (Manfred Nowak), presentó un informe provisional a la AG en el cual dedica gran parte de tu trabajo a analizar el marco jurídico para la protección de las personas con discapacidad contra la tortura,</w:t>
      </w:r>
      <w:r w:rsidRPr="00E72B02">
        <w:rPr>
          <w:rStyle w:val="Refdenotaalpie"/>
          <w:lang w:val="es-ES"/>
        </w:rPr>
        <w:footnoteReference w:id="194"/>
      </w:r>
      <w:r w:rsidRPr="00E72B02">
        <w:t xml:space="preserve"> el cual merece ser comentado en sus aspectos principales. </w:t>
      </w:r>
    </w:p>
    <w:p w:rsidR="00F2036A" w:rsidRPr="00E72B02" w:rsidRDefault="00F2036A" w:rsidP="004551E9">
      <w:r w:rsidRPr="00E72B02">
        <w:t>En primer lugar el Relator Especial observa que “en relación con las personas con discapacidad, la Convención sobre los derechos de las personas con discapacidad complementa otros instrumentos de derechos humanos respecto de la prohibición de la tortura y los malos tratos proporcionando orientaciones autorizadas adicionales” y que “la aceptación de tratamiento involuntario y el encierro involuntario va en contra de lo dispuesto en la Convención”.</w:t>
      </w:r>
      <w:r w:rsidRPr="00E72B02">
        <w:rPr>
          <w:rStyle w:val="Refdenotaalpie"/>
          <w:lang w:val="es-ES"/>
        </w:rPr>
        <w:footnoteReference w:id="195"/>
      </w:r>
    </w:p>
    <w:p w:rsidR="00F2036A" w:rsidRPr="00E72B02" w:rsidRDefault="00F2036A" w:rsidP="004551E9">
      <w:r w:rsidRPr="00E72B02">
        <w:t>En segundo lugar el Relator Especial propone encuadrar la prohibición de tortura recogida en el artículo 15 de la CDPD con los cuatro elementos esenciales del tipo penal de tortura recogido en el Artículo 1 de la CCT. En relación con el primer requisito de “dolores o sufrimientos graves” el Relator Especial observa que “</w:t>
      </w:r>
      <w:r w:rsidRPr="00E72B02">
        <w:rPr>
          <w:i/>
        </w:rPr>
        <w:t xml:space="preserve">mientras un tratamiento médico plenamente justificado puede provocar dolores o sufrimientos graves, los tratamientos médicos de carácter alterador e irreversible, en caso de que carezcan de finalidad terapéutica o traten de corregir o aliviar una discapacidad, </w:t>
      </w:r>
      <w:r w:rsidRPr="00E72B02">
        <w:rPr>
          <w:i/>
        </w:rPr>
        <w:lastRenderedPageBreak/>
        <w:t>pueden constituir tortura y malos tratos si se aplican o administran sin el consentimiento libre e informado del paciente</w:t>
      </w:r>
      <w:r w:rsidRPr="00E72B02">
        <w:t>”.</w:t>
      </w:r>
      <w:r w:rsidRPr="00E72B02">
        <w:rPr>
          <w:rStyle w:val="Refdenotaalpie"/>
          <w:lang w:val="es-ES"/>
        </w:rPr>
        <w:footnoteReference w:id="196"/>
      </w:r>
      <w:r w:rsidRPr="00E72B02">
        <w:t xml:space="preserve"> En relación con el requisito de intencionalidad, el Relator recuerda que el mismo puede acreditarse cuando se inflige a una persona “</w:t>
      </w:r>
      <w:r w:rsidRPr="00E72B02">
        <w:rPr>
          <w:i/>
        </w:rPr>
        <w:t>sufrimientos físicos o mentales por cualquier razón basada en cualquier tipo de discriminación</w:t>
      </w:r>
      <w:r w:rsidRPr="00E72B02">
        <w:t>”, lo que considera sucede cuando se discrimina a una persona por motivo de su discapacidad.</w:t>
      </w:r>
      <w:r w:rsidRPr="00E72B02">
        <w:rPr>
          <w:rStyle w:val="Refdenotaalpie"/>
          <w:lang w:val="es-ES"/>
        </w:rPr>
        <w:footnoteReference w:id="197"/>
      </w:r>
      <w:r w:rsidRPr="00E72B02">
        <w:t xml:space="preserve"> En relación con el requisito de propósito, el Relator señala que las personas con discapacidad suelen encontrarse bajo el control absoluto de otra persona, por ejemplo “</w:t>
      </w:r>
      <w:r w:rsidRPr="00E72B02">
        <w:rPr>
          <w:i/>
        </w:rPr>
        <w:t>cuando se les priva de su libertad en las cárceles u otros lugares, o cuando están bajo el control de su cuidador o tutor legal</w:t>
      </w:r>
      <w:r w:rsidRPr="00E72B02">
        <w:t>”.</w:t>
      </w:r>
      <w:r w:rsidRPr="00E72B02">
        <w:rPr>
          <w:rStyle w:val="Refdenotaalpie"/>
          <w:lang w:val="es-ES"/>
        </w:rPr>
        <w:footnoteReference w:id="198"/>
      </w:r>
      <w:r w:rsidRPr="00E72B02">
        <w:t xml:space="preserve"> Finalmente en relación con el requisito de participación Estatal, el Relator observa “</w:t>
      </w:r>
      <w:r w:rsidRPr="00E72B02">
        <w:rPr>
          <w:i/>
        </w:rPr>
        <w:t>que la prohibición de la tortura se aplica no sólo a los funcionarios públicos, como por ejemplo los encargados de hacer cumplir la ley en el sentido más estricto, sino que también puede aplicarse a los médicos, los profesionales de la salud y los trabajadores sociales, incluidos los que trabajan en hospitales privados, otras instituciones y centros de detención</w:t>
      </w:r>
      <w:r w:rsidRPr="00E72B02">
        <w:t>”.</w:t>
      </w:r>
      <w:r w:rsidRPr="00E72B02">
        <w:rPr>
          <w:rStyle w:val="Refdenotaalpie"/>
          <w:lang w:val="es-ES"/>
        </w:rPr>
        <w:footnoteReference w:id="199"/>
      </w:r>
      <w:r w:rsidRPr="00E72B02">
        <w:t xml:space="preserve"> </w:t>
      </w:r>
    </w:p>
    <w:p w:rsidR="00F2036A" w:rsidRPr="00E72B02" w:rsidRDefault="00F2036A" w:rsidP="004551E9">
      <w:r w:rsidRPr="00E72B02">
        <w:t>En tercer lugar el Relator Especial hace una aproximación general hacia aquellas prácticas que pueden constituir tortura o tratos crueles, inhumanos o degradantes, las que divide en cuatro ámbitos:</w:t>
      </w:r>
      <w:r w:rsidRPr="00E72B02">
        <w:rPr>
          <w:rStyle w:val="Refdenotaalpie"/>
          <w:lang w:val="es-ES"/>
        </w:rPr>
        <w:footnoteReference w:id="200"/>
      </w:r>
      <w:r w:rsidRPr="00E72B02">
        <w:t xml:space="preserve"> </w:t>
      </w:r>
    </w:p>
    <w:p w:rsidR="00F2036A" w:rsidRPr="00E72B02" w:rsidRDefault="00F2036A" w:rsidP="004551E9">
      <w:pPr>
        <w:pStyle w:val="Prrafodelista"/>
      </w:pPr>
      <w:r w:rsidRPr="00E72B02">
        <w:t>Condiciones de tención precarias:</w:t>
      </w:r>
    </w:p>
    <w:p w:rsidR="00F2036A" w:rsidRPr="00E72B02" w:rsidRDefault="00F2036A" w:rsidP="004551E9">
      <w:pPr>
        <w:pStyle w:val="Prrafodelista"/>
      </w:pPr>
      <w:r w:rsidRPr="00E72B02">
        <w:t xml:space="preserve">Las condiciones precarias de las instituciones se deben a menudo a que los Estados no cumplen su obligación de proporcionar a las </w:t>
      </w:r>
      <w:r w:rsidRPr="00E72B02">
        <w:lastRenderedPageBreak/>
        <w:t>personas bajo su custodia alimentos, agua, atención médica y vestimenta adecuados, y pueden constituir tortura y malos tratos;</w:t>
      </w:r>
    </w:p>
    <w:p w:rsidR="00F2036A" w:rsidRPr="00E72B02" w:rsidRDefault="00F2036A" w:rsidP="004551E9">
      <w:pPr>
        <w:pStyle w:val="Prrafodelista"/>
      </w:pPr>
      <w:r w:rsidRPr="00E72B02">
        <w:t>La denegación o la falta de ajustes razonables para las personas con discapacidad pueden crear condiciones de detención y de vida que constituyan malos tratos y tortura.</w:t>
      </w:r>
    </w:p>
    <w:p w:rsidR="00F2036A" w:rsidRPr="00E72B02" w:rsidRDefault="00F2036A" w:rsidP="004551E9">
      <w:pPr>
        <w:pStyle w:val="Prrafodelista"/>
      </w:pPr>
      <w:r w:rsidRPr="00E72B02">
        <w:t>Uso de formas de inmovilización y reclusión:</w:t>
      </w:r>
    </w:p>
    <w:p w:rsidR="00F2036A" w:rsidRPr="00E72B02" w:rsidRDefault="00F2036A" w:rsidP="004551E9">
      <w:pPr>
        <w:pStyle w:val="Prrafodelista"/>
      </w:pPr>
      <w:r w:rsidRPr="00E72B02">
        <w:t>La inmovilización prolongada no es justificable desde un punto de vista terapéutico y que puede constituir tortura o malos tratos;</w:t>
      </w:r>
    </w:p>
    <w:p w:rsidR="00F2036A" w:rsidRPr="00E72B02" w:rsidRDefault="00F2036A" w:rsidP="004551E9">
      <w:pPr>
        <w:pStyle w:val="Prrafodelista"/>
      </w:pPr>
      <w:r w:rsidRPr="00E72B02">
        <w:t>La reclusión en régimen de aislamiento y el confinamiento prolongados pueden constituir tortura o malos tratos;</w:t>
      </w:r>
    </w:p>
    <w:p w:rsidR="00F2036A" w:rsidRPr="00E72B02" w:rsidRDefault="00F2036A" w:rsidP="004551E9">
      <w:pPr>
        <w:pStyle w:val="Prrafodelista"/>
      </w:pPr>
      <w:r w:rsidRPr="00E72B02">
        <w:t>Contexto médico</w:t>
      </w:r>
    </w:p>
    <w:p w:rsidR="00F2036A" w:rsidRPr="00E72B02" w:rsidRDefault="00F2036A" w:rsidP="004551E9">
      <w:pPr>
        <w:pStyle w:val="Prrafodelista"/>
      </w:pPr>
      <w:r w:rsidRPr="00E72B02">
        <w:t>Los experimentos médicos o científicos en personas con discapacidad, incluidas las pruebas de medicamentos, sólo son permisibles cuando la persona interesada da libremente su consentimiento, y cuando la índole misma del experimento no puede considerarse tortura o trato cruel, inhumano o degradante;</w:t>
      </w:r>
    </w:p>
    <w:p w:rsidR="00F2036A" w:rsidRPr="00E72B02" w:rsidRDefault="00F2036A" w:rsidP="004551E9">
      <w:pPr>
        <w:pStyle w:val="Prrafodelista"/>
      </w:pPr>
      <w:r w:rsidRPr="00E72B02">
        <w:t>Cuanto más invasivo e irreversible sea el tratamiento, mayor será la obligación de los Estados de garantizar que los profesionales de la salud administren cuidados a las personas con discapacidad sólo si éstas han dado su consentimiento libre e informado En todos los demás casos, el Relator Especial señala que estos tratamientos pueden constituir tortura, o trato cruel, inhumano o degradante;</w:t>
      </w:r>
    </w:p>
    <w:p w:rsidR="00F2036A" w:rsidRPr="00E72B02" w:rsidRDefault="00F2036A" w:rsidP="004551E9">
      <w:pPr>
        <w:pStyle w:val="Prrafodelista"/>
      </w:pPr>
      <w:r w:rsidRPr="00E72B02">
        <w:t xml:space="preserve">Las esterilizaciones y abortos forzados practicados contra mujeres y niñas con discapacidad sin su consentimiento libre e informado puede suponer tortura u otros tratos crueles, inhumanos o degradantes; </w:t>
      </w:r>
    </w:p>
    <w:p w:rsidR="00F2036A" w:rsidRPr="00E72B02" w:rsidRDefault="00F2036A" w:rsidP="004551E9">
      <w:pPr>
        <w:pStyle w:val="Prrafodelista"/>
      </w:pPr>
      <w:r w:rsidRPr="00E72B02">
        <w:t xml:space="preserve">La terapia electroconvulsiva no modificada no puede considerarse una práctica médica aceptable y puede constituir tortura y malos tratos; </w:t>
      </w:r>
    </w:p>
    <w:p w:rsidR="00F2036A" w:rsidRPr="00E72B02" w:rsidRDefault="00F2036A" w:rsidP="004551E9">
      <w:pPr>
        <w:pStyle w:val="Prrafodelista"/>
      </w:pPr>
      <w:r w:rsidRPr="00E72B02">
        <w:t xml:space="preserve">En las instituciones, y en el contexto del tratamiento forzado a pacientes externos, la medicación psiquiátrica, incluidos los </w:t>
      </w:r>
      <w:r w:rsidRPr="00E72B02">
        <w:lastRenderedPageBreak/>
        <w:t>neurolépticos y otros medicamentos psicotrópicos, pueden administrarse a personas con discapacidad mental sin su consentimiento libre e informado o en contra de su voluntad, de forma coercitiva, o a modo de castigo. Según las circunstancias de cada caso, el sufrimiento infligido y los efectos en la salud del paciente pueden constituir una forma de tortura o malos tratos;</w:t>
      </w:r>
    </w:p>
    <w:p w:rsidR="00F2036A" w:rsidRPr="00E72B02" w:rsidRDefault="00F2036A" w:rsidP="004551E9">
      <w:pPr>
        <w:pStyle w:val="Prrafodelista"/>
      </w:pPr>
      <w:r w:rsidRPr="00E72B02">
        <w:t>En algunos casos, la privación arbitraria o ilegal de libertad basada en la existencia de una discapacidad podría infligir una pena o un sufrimiento graves a la persona, con lo que entraría en el ámbito de aplicación de la Convención contra la Tortura.</w:t>
      </w:r>
    </w:p>
    <w:p w:rsidR="00F2036A" w:rsidRPr="00E72B02" w:rsidRDefault="00F2036A" w:rsidP="004551E9">
      <w:pPr>
        <w:pStyle w:val="Prrafodelista"/>
      </w:pPr>
      <w:r w:rsidRPr="00E72B02">
        <w:t>Violencia contra la personas con discapacidad, incluida la violencia sexual:</w:t>
      </w:r>
    </w:p>
    <w:p w:rsidR="00F2036A" w:rsidRPr="00E72B02" w:rsidRDefault="00F2036A" w:rsidP="004551E9">
      <w:pPr>
        <w:pStyle w:val="Prrafodelista"/>
      </w:pPr>
      <w:r w:rsidRPr="00E72B02">
        <w:t>Dentro de las instituciones, las personas con discapacidad pueden verse expuestas a la violencia ejercida por otros pacientes o internos, así como por el personal de la institución, lo que puede vulnerar la prohibición de tortura y malos tratos;</w:t>
      </w:r>
    </w:p>
    <w:p w:rsidR="00F2036A" w:rsidRPr="00E72B02" w:rsidRDefault="00F2036A" w:rsidP="004551E9">
      <w:pPr>
        <w:pStyle w:val="Prrafodelista"/>
      </w:pPr>
      <w:r w:rsidRPr="00E72B02">
        <w:t>La violación bajo custodia constituye tortura cuando es infligida por funcionarios públicos, a instigación suya o con su consentimiento o aquiescencia, incluidos los funcionarios que trabajan en los hospitales, las instituciones de atención sanitaria y otras instituciones semejantes.</w:t>
      </w:r>
    </w:p>
    <w:p w:rsidR="00F2036A" w:rsidRPr="00887731" w:rsidRDefault="00F2036A" w:rsidP="004551E9">
      <w:pPr>
        <w:rPr>
          <w:b/>
        </w:rPr>
      </w:pPr>
    </w:p>
    <w:p w:rsidR="00F2036A" w:rsidRPr="00887731" w:rsidRDefault="00F2036A" w:rsidP="008E11E3">
      <w:pPr>
        <w:pStyle w:val="TTULO80"/>
        <w:rPr>
          <w:b/>
        </w:rPr>
      </w:pPr>
      <w:r w:rsidRPr="00887731">
        <w:rPr>
          <w:b/>
        </w:rPr>
        <w:t>2.4.3.2 – La Convención sobre la eliminación de todas las formas de discriminación contra la mujer</w:t>
      </w:r>
    </w:p>
    <w:p w:rsidR="00F2036A" w:rsidRPr="00E72B02" w:rsidRDefault="00F2036A" w:rsidP="004551E9"/>
    <w:p w:rsidR="00F2036A" w:rsidRPr="00E72B02" w:rsidRDefault="00F2036A" w:rsidP="004551E9">
      <w:r w:rsidRPr="00E72B02">
        <w:lastRenderedPageBreak/>
        <w:t>La Convención sobre la eliminación de todas las formas de discriminación contra la mujer (CEFDM)</w:t>
      </w:r>
      <w:r w:rsidRPr="00E72B02">
        <w:rPr>
          <w:rStyle w:val="Refdenotaalpie"/>
          <w:lang w:val="es-ES"/>
        </w:rPr>
        <w:footnoteReference w:id="201"/>
      </w:r>
      <w:r w:rsidRPr="00E72B02">
        <w:t xml:space="preserve"> significó el reconocimiento universal de los derechos de la mujer luego de un largo proceso de trabajo de más de treinta años de la Comisión de Naciones Unidas sobre el Estatus de la Mujer.</w:t>
      </w:r>
      <w:r w:rsidRPr="00E72B02">
        <w:rPr>
          <w:rStyle w:val="Refdenotaalpie"/>
          <w:lang w:val="es-ES"/>
        </w:rPr>
        <w:footnoteReference w:id="202"/>
      </w:r>
      <w:r w:rsidRPr="00E72B02">
        <w:t xml:space="preserve"> El propio preámbulo de la CEFDM reconoce que pese a la existencia de diversos instrumentos internacionales de derechos humanos que resultan aplicables a las mujeres, las mismas siguen siendo objeto de importantes discriminaciones.</w:t>
      </w:r>
      <w:r w:rsidR="00DB735C">
        <w:rPr>
          <w:rStyle w:val="Refdenotaalpie"/>
          <w:lang w:val="es-ES"/>
        </w:rPr>
        <w:footnoteReference w:id="203"/>
      </w:r>
      <w:r w:rsidRPr="00E72B02">
        <w:t xml:space="preserve"> </w:t>
      </w:r>
    </w:p>
    <w:p w:rsidR="00F2036A" w:rsidRPr="00E72B02" w:rsidRDefault="00F2036A" w:rsidP="004551E9">
      <w:r w:rsidRPr="00E72B02">
        <w:t>Probablemente debido al momento o conte</w:t>
      </w:r>
      <w:r w:rsidR="00DE124B" w:rsidRPr="00E72B02">
        <w:t>x</w:t>
      </w:r>
      <w:r w:rsidRPr="00E72B02">
        <w:t>to histórico de su adopción, la CEFDM no recoge menciones expresas hacia las mujeres con discapacidad, aunque debido a que los derechos en ella amparados se extienden a todas las mujeres, las mujeres con discapacidad están implícitamente protegidas.</w:t>
      </w:r>
      <w:r w:rsidRPr="00E72B02">
        <w:rPr>
          <w:rStyle w:val="Refdenotaalpie"/>
          <w:lang w:val="es-ES"/>
        </w:rPr>
        <w:footnoteReference w:id="204"/>
      </w:r>
    </w:p>
    <w:p w:rsidR="00F2036A" w:rsidRPr="00E72B02" w:rsidRDefault="00F2036A" w:rsidP="004551E9">
      <w:r w:rsidRPr="00E72B02">
        <w:t>Las mujeres con discapacidad sufren muy a menudo una doble discriminación por motivo de su género y por motivo de su discapacidad.</w:t>
      </w:r>
      <w:r w:rsidRPr="00E72B02">
        <w:rPr>
          <w:rStyle w:val="Refdenotaalpie"/>
          <w:lang w:val="es-ES"/>
        </w:rPr>
        <w:footnoteReference w:id="205"/>
      </w:r>
      <w:r w:rsidRPr="00E72B02">
        <w:t xml:space="preserve"> La perspectiva de género en la discapacidad es particularmente importante </w:t>
      </w:r>
      <w:r w:rsidRPr="00E72B02">
        <w:lastRenderedPageBreak/>
        <w:t xml:space="preserve">puesto que incluso dentro del colectivo de mujeres, aquellas con discapacidad se suelen encontrar en una situación de vulnerabilidad mucho mayor que las mujeres providentes de otros sub-colectivos como podría ser las mujeres mayores, las mujeres de minorías étnicas o raciales, las mujeres homosexuales etc. </w:t>
      </w:r>
    </w:p>
    <w:p w:rsidR="00F2036A" w:rsidRPr="00E72B02" w:rsidRDefault="00F2036A" w:rsidP="004551E9">
      <w:r w:rsidRPr="00E72B02">
        <w:t>La perspectiva de género es particularmente importante para la discapacidad no sólo por el simple hecho de que las mujeres con discapacidad son, cuanto menos, la mitad de la población mundial de personas con discapacidad,</w:t>
      </w:r>
      <w:r w:rsidRPr="00E72B02">
        <w:rPr>
          <w:rStyle w:val="Refdenotaalpie"/>
          <w:lang w:val="es-ES"/>
        </w:rPr>
        <w:footnoteReference w:id="206"/>
      </w:r>
      <w:r w:rsidRPr="00E72B02">
        <w:t xml:space="preserve"> sino porque del propio movimiento feminista surgen los principales argumentos del modelo social de la discapacidad. Autoras como </w:t>
      </w:r>
      <w:r w:rsidRPr="00E72B02">
        <w:rPr>
          <w:caps/>
        </w:rPr>
        <w:t>Morris</w:t>
      </w:r>
      <w:r w:rsidRPr="00E72B02">
        <w:t xml:space="preserve"> o </w:t>
      </w:r>
      <w:r w:rsidRPr="00E72B02">
        <w:rPr>
          <w:caps/>
        </w:rPr>
        <w:t>Wendell</w:t>
      </w:r>
      <w:r w:rsidRPr="00E72B02">
        <w:t xml:space="preserve"> demuestran las conexiones entre el discurso feminista y el modelo social de discapacidad.</w:t>
      </w:r>
      <w:r w:rsidR="002268D7" w:rsidRPr="00E72B02">
        <w:rPr>
          <w:rStyle w:val="Refdenotaalpie"/>
          <w:lang w:val="es-ES"/>
        </w:rPr>
        <w:footnoteReference w:id="207"/>
      </w:r>
      <w:r w:rsidRPr="00E72B02">
        <w:t xml:space="preserve"> </w:t>
      </w:r>
    </w:p>
    <w:p w:rsidR="00F2036A" w:rsidRPr="00E72B02" w:rsidRDefault="00F2036A" w:rsidP="004551E9">
      <w:r w:rsidRPr="00E72B02">
        <w:t>El objetivo de la CEFDM es la eliminación de toda forma de discriminación contra la mujer, lo cual define en su artículo 1 como “</w:t>
      </w:r>
      <w:r w:rsidRPr="00E72B02">
        <w:rPr>
          <w:i/>
        </w:rPr>
        <w:t xml:space="preserve">toda distinción, exclusión a restricción basada en el sexo que tenga por objeto o por resultado menoscabar o anular el reconocimiento, goce o ejercicio por la mujer, independientemente de su estado civil, sobre la base de la igualdad del hombre y la mujer, de los derechos humanos y las libertades </w:t>
      </w:r>
      <w:r w:rsidRPr="00E72B02">
        <w:rPr>
          <w:i/>
        </w:rPr>
        <w:lastRenderedPageBreak/>
        <w:t>fundamentales en las esferas política, económica, social, cultural y civil o en cualquier otra esfera</w:t>
      </w:r>
      <w:r w:rsidRPr="00E72B02">
        <w:t xml:space="preserve">”. </w:t>
      </w:r>
    </w:p>
    <w:p w:rsidR="00F2036A" w:rsidRPr="00E72B02" w:rsidRDefault="00F2036A" w:rsidP="004551E9">
      <w:r w:rsidRPr="00E72B02">
        <w:t>Los seis primeros artículos de la CEFDM son de carácter global, en el sentido de que dan lugar a obligaciones generales. Comenzando por una definición de la discriminación contra la mujer en el artículo 1, estipulan las obligaciones generales de los Estados Partes en la eliminación de la discriminación contra la mujer (artículo 2), les exigen garantizar a ésta el ejercicio pleno de todos los derechos humanos en igualdad de condiciones con el hombre (artículo 3), permiten introducir medidas especiales temporales en favor de la mujer (artículo 4), imponen la obligación de combatir los estereotipos y los prejuicios y de fomentar la debida comprensión de la maternidad (artículo 5), y exigen a los Estados Partes que supriman abusos notorios, como la trata de mujeres y la explotación de la prostitución (artículo 6).</w:t>
      </w:r>
      <w:r w:rsidRPr="00E72B02">
        <w:rPr>
          <w:rStyle w:val="Refdenotaalpie"/>
          <w:lang w:val="es-ES"/>
        </w:rPr>
        <w:footnoteReference w:id="208"/>
      </w:r>
      <w:r w:rsidRPr="00E72B02">
        <w:t xml:space="preserve"> </w:t>
      </w:r>
    </w:p>
    <w:p w:rsidR="00F2036A" w:rsidRPr="00E72B02" w:rsidRDefault="00F2036A" w:rsidP="004551E9">
      <w:r w:rsidRPr="00E72B02">
        <w:t>Los capítulos II a IV están dedicados a recoger de forma específica los principales derechos humanos civiles y políticos, y económicos sociales y culturales, aunque adaptados a las circunstancias de la discriminación contra la mujer. Vida política y pública (Artículo 7), Representación internacional (Artículo 8), Nacionalidad (Artículo 9), Educación (Artículo 10), Empleo (Artículo 11), Salud (Artículo 12), Prestaciones económicas y sociales (Artículo 13), La mujer rural (Artículo 14), Igualdad ante la ley (Artículo 15), y Matrimonio y familia (Artículo 16).</w:t>
      </w:r>
    </w:p>
    <w:p w:rsidR="00F2036A" w:rsidRPr="00E72B02" w:rsidRDefault="00F2036A" w:rsidP="004551E9">
      <w:r w:rsidRPr="00E72B02">
        <w:t>Como se ha señalado ya, la CE</w:t>
      </w:r>
      <w:r w:rsidR="002268D7" w:rsidRPr="00E72B02">
        <w:t>F</w:t>
      </w:r>
      <w:r w:rsidRPr="00E72B02">
        <w:t xml:space="preserve">DM no menciona en ningún momento a las mujeres con discapacidad, lo cual, sin perjuicio de su inclusión implícita, ha propiciado una escasa atención de la perspectiva de la discapacidad por parte del Comité para la Eliminación de la Discriminación contra la Mujer </w:t>
      </w:r>
      <w:r w:rsidRPr="00E72B02">
        <w:lastRenderedPageBreak/>
        <w:t>(CteEDM).</w:t>
      </w:r>
      <w:r w:rsidRPr="00E72B02">
        <w:rPr>
          <w:rStyle w:val="Refdenotaalpie"/>
          <w:lang w:val="es-ES"/>
        </w:rPr>
        <w:footnoteReference w:id="209"/>
      </w:r>
      <w:r w:rsidRPr="00E72B02">
        <w:t xml:space="preserve"> Se podría decir que el CteEDM ha intentado visibilizar a las mujeres con discapacidad en el marco de la CEFDM, pero no ha logrado incorporar una verdadera perspectiva de la discapacidad. Como bien lo señalan los estudios en la materia, género y discapacidad no es simplemente género + discapacidad, sino la incorporación del modelo social de discapacidad a la perspectiva de género, lo que supone la inclusión de la discapacidad como parte de la diversidad femenina. En ocasiones esto pude llevar a tensiones entre la perspectiva de género, y la perspectiva de la discapacidad (por ejemplo en materia de interrupción voluntaria del embarazo). </w:t>
      </w:r>
    </w:p>
    <w:p w:rsidR="00F2036A" w:rsidRPr="00E72B02" w:rsidRDefault="00F2036A" w:rsidP="004551E9">
      <w:r w:rsidRPr="00E72B02">
        <w:t xml:space="preserve">De conformidad con lo dispuesto en el párrafo 1 del artículo 21 de la CEFDM, el CteEDM puede hacer sugerencias y recomendaciones de carácter general basadas en el examen de los informes y de los datos transmitidos por los Estados Partes. A diferencia de otros Comités de seguimiento convencionales, el CteEDM ha centrado sus recomendaciones generales más bien en sugerencias para la presentación de informes por parte de los Estados, que en interpretar el contenido jurídico de las disposiciones del tratado. No obstante, es preciso señalar que las últimas recomendaciones generales del CteEDM se han encaminado más hacia una verdadera labor de interpretación jurídica de las disposiciones de la CEFDM.   </w:t>
      </w:r>
    </w:p>
    <w:p w:rsidR="00F2036A" w:rsidRPr="00E72B02" w:rsidRDefault="00F2036A" w:rsidP="004551E9">
      <w:r w:rsidRPr="00E72B02">
        <w:t xml:space="preserve">La primera mención expresa hacia las mujeres con discapacidad por parte del CteEDM data de 1991 mediante la Recomendación General nº 18 denominada “mujeres discapacitadas”. Bajo el amparo del artículo 3, y preocupado por la escasa información provista por los Estados Partes sobre </w:t>
      </w:r>
      <w:r w:rsidRPr="00E72B02">
        <w:lastRenderedPageBreak/>
        <w:t>la situación de las mujeres con discapacidad, y reconociendo la doble discriminación que sufren las mujeres con discapacidad, el CteEDM recomienda “</w:t>
      </w:r>
      <w:r w:rsidRPr="00E72B02">
        <w:rPr>
          <w:i/>
        </w:rPr>
        <w:t>que los Estados Partes incluyan en sus informes periódicos información sobre las mujeres discapacitadas y sobre las medidas adoptadas para hacer frente a su situación particular, incluidas las medidas especiales para que gocen de igualdad de oportunidades en materia de educación y de empleo, servicios de salud y seguridad social y asegurar que puedan participar en todos los aspectos de la vida social y cultural</w:t>
      </w:r>
      <w:r w:rsidRPr="00E72B02">
        <w:t>”.</w:t>
      </w:r>
      <w:r w:rsidRPr="00E72B02">
        <w:rPr>
          <w:rStyle w:val="Refdenotaalpie"/>
          <w:lang w:val="es-ES"/>
        </w:rPr>
        <w:footnoteReference w:id="210"/>
      </w:r>
      <w:r w:rsidRPr="00E72B02">
        <w:t xml:space="preserve"> </w:t>
      </w:r>
    </w:p>
    <w:p w:rsidR="00F2036A" w:rsidRPr="00E72B02" w:rsidRDefault="00F2036A" w:rsidP="004551E9">
      <w:r w:rsidRPr="00E72B02">
        <w:t>En relación con el derecho a la salud, el CteEDM mediante la Recomendación General nº 24, reconoce que “debe prestarse especial atención a las necesidades y los derechos en materia de salud de las mujeres pertenecientes a grupos vulnerables y desfavorecidos como los de las emigrantes, las refugiadas y las desplazadas internas, las niñas y las ancianas, las mujeres que trabajan en la prostitución, las mujeres autóctonas y las mujeres con discapacidad física o mental”. La misma recomendación más adelante destaca que “algunas prácticas culturales o tradicionales, como la mutilación genital de la mujer, conllevan también un elevado riesgo de muerte y discapacidad”.</w:t>
      </w:r>
      <w:r w:rsidRPr="00E72B02">
        <w:rPr>
          <w:rStyle w:val="Refdenotaalpie"/>
          <w:lang w:val="es-ES"/>
        </w:rPr>
        <w:footnoteReference w:id="211"/>
      </w:r>
      <w:r w:rsidRPr="00E72B02">
        <w:t xml:space="preserve"> La mutilación genital de la mujer ha sido objeto de tratamiento específico por el CteEDM, incluso mediante una Recomendación General al respecto (nº 14). No obstante, aquí el Comité guarda silencio sobre la práctica de esterilización forzada de mujeres con </w:t>
      </w:r>
      <w:r w:rsidRPr="00E72B02">
        <w:lastRenderedPageBreak/>
        <w:t xml:space="preserve">discapacidad, que supone una afectación igual de grave y habitual de la integridad personal de las mujeres con discapacidad y de sus derechos sexuales y reproductivos. </w:t>
      </w:r>
    </w:p>
    <w:p w:rsidR="00F2036A" w:rsidRPr="00E72B02" w:rsidRDefault="00F2036A" w:rsidP="004551E9">
      <w:r w:rsidRPr="00E72B02">
        <w:t>Finalmente la Recomendación General nº 24 observa que con “frecuencia, las mujeres con discapacidad de todas las edades tienen dificultades para tener acceso físico a los servicios de salud. Las mujeres con deficiencias mentales son especialmente vulnerables, y en general se conoce poco la amplia gama de riesgos que corre desproporcionadamente la salud mental de las mujeres por efecto de la discriminación por motivo de género, la violencia, la pobreza, los conflictos armados, los desplazamientos y otras formas de privaciones sociales. Los Estados Partes deberían adoptar las medidas apropiadas para garantizar que los servicios de salud atiendan las necesidades de las mujeres con discapacidades y respeten su dignidad y sus derechos humanos”.</w:t>
      </w:r>
      <w:r w:rsidRPr="00E72B02">
        <w:rPr>
          <w:rStyle w:val="Refdenotaalpie"/>
          <w:lang w:val="es-ES"/>
        </w:rPr>
        <w:footnoteReference w:id="212"/>
      </w:r>
      <w:r w:rsidRPr="00E72B02">
        <w:t xml:space="preserve"> </w:t>
      </w:r>
    </w:p>
    <w:p w:rsidR="00F2036A" w:rsidRPr="00E72B02" w:rsidRDefault="00F2036A" w:rsidP="004551E9">
      <w:r w:rsidRPr="00E72B02">
        <w:t>Con posterioridad a la entrada en vigor de la CDPD, el CteEDM ha emitido dos Recomendaciones Generales en las cuales visibiliza a las mujeres con discapacidad. En la Recomendación General nº 27 sobre las mujeres de edad, el CteEDM enfatiza sobre la situación de las mujeres de edad que tienen una discapacidad en lo relativo a la discriminación multidimensional (párrafo 13); los estereotipos (párrafos 16 y 36), en el empleo y la seguridad social (párrafos 19 y 20), en recopilación de datos y estadísticas (párrafo 32), en el acceso a la justicia (párrafo 33),  en violencia de género (párrafo 37), y en salud (párrafos 45 y 46).</w:t>
      </w:r>
      <w:r w:rsidRPr="00E72B02">
        <w:rPr>
          <w:rStyle w:val="Refdenotaalpie"/>
          <w:lang w:val="es-ES"/>
        </w:rPr>
        <w:footnoteReference w:id="213"/>
      </w:r>
      <w:r w:rsidRPr="00E72B02">
        <w:t xml:space="preserve"> Por su parte en la Recomendación General nº 28 sobre el artículo 2 de la CEFDM, el CteEDM señala que “</w:t>
      </w:r>
      <w:r w:rsidRPr="00E72B02">
        <w:rPr>
          <w:i/>
        </w:rPr>
        <w:t xml:space="preserve">algunos grupos de mujeres, en especial las mujeres privadas de libertad, </w:t>
      </w:r>
      <w:r w:rsidRPr="00E72B02">
        <w:rPr>
          <w:i/>
        </w:rPr>
        <w:lastRenderedPageBreak/>
        <w:t>las refugiadas, las solicitantes de asilo, las migrantes, las apátridas, las lesbianas, las que tienen una discapacidad, las víctimas de la trata, las viudas y las mujeres de edad, son particularmente vulnerables a la discriminación en las leyes y normas civiles y penales y las normas y prácticas consuetudinarias</w:t>
      </w:r>
      <w:r w:rsidRPr="00E72B02">
        <w:t>”.</w:t>
      </w:r>
      <w:r w:rsidRPr="00E72B02">
        <w:rPr>
          <w:rStyle w:val="Refdenotaalpie"/>
          <w:lang w:val="es-ES"/>
        </w:rPr>
        <w:footnoteReference w:id="214"/>
      </w:r>
      <w:r w:rsidRPr="00E72B02">
        <w:t xml:space="preserve"> </w:t>
      </w:r>
    </w:p>
    <w:p w:rsidR="00F2036A" w:rsidRPr="00E72B02" w:rsidRDefault="00F2036A" w:rsidP="004551E9">
      <w:pPr>
        <w:rPr>
          <w:lang w:val="es-ES_tradnl"/>
        </w:rPr>
      </w:pPr>
      <w:r w:rsidRPr="00E72B02">
        <w:rPr>
          <w:lang w:val="es-ES_tradnl"/>
        </w:rPr>
        <w:t>La discapacidad en el seguimiento de la CEFDM por parte del CteEDM</w:t>
      </w:r>
    </w:p>
    <w:p w:rsidR="00F2036A" w:rsidRPr="00E72B02" w:rsidRDefault="00F2036A" w:rsidP="004551E9">
      <w:r w:rsidRPr="00E72B02">
        <w:t>La tarea de seguimiento por parte del CteEDM en el marco del la CEFDM consta de tres procedimientos diferenciados. El primer lugar, el igual que el resto de los tratados de derechos humanos, la CEFDM contempla la posibilidad del CteEDM de controlar la aplicación nacional del tratado por conducto de los informes de los Estados Partes (cfr. Artículo 18). Adicionalmente, y respecto de aquellos Estados que hayan ratificado el Protocolo Facultativo de la Convención sobre la eliminación de todas las formas de discriminación contra la mujer,</w:t>
      </w:r>
      <w:r w:rsidRPr="00E72B02">
        <w:rPr>
          <w:rStyle w:val="Refdenotaalpie"/>
          <w:lang w:val="es-ES"/>
        </w:rPr>
        <w:footnoteReference w:id="215"/>
      </w:r>
      <w:r w:rsidRPr="00E72B02">
        <w:t xml:space="preserve"> el CteEDM tiene competencia para analizar comunicaciones individuales (cfr. Artículo 1), o para llevar a cabo investigaciones de violaciones graves o sistemáticas por un </w:t>
      </w:r>
      <w:r w:rsidR="0074119B" w:rsidRPr="00E72B02">
        <w:t>Estado Parte</w:t>
      </w:r>
      <w:r w:rsidRPr="00E72B02">
        <w:t xml:space="preserve"> de los derechos enunciados en la Convención (cfr. Artículo 8). </w:t>
      </w:r>
    </w:p>
    <w:p w:rsidR="00F2036A" w:rsidRPr="00E72B02" w:rsidRDefault="00F2036A" w:rsidP="004551E9">
      <w:r w:rsidRPr="00E72B02">
        <w:t xml:space="preserve">En relación con los informes de los Estados Partes, el trabajo presentado por QUINN &amp; DEGENER ante el ACNUDH en 2002 destaca que los informes analizados hasta dicha fecha, no alcanzan a reflejar los niveles de información acerca de las mujeres con discapacidad que establece la </w:t>
      </w:r>
      <w:r w:rsidRPr="00E72B02">
        <w:lastRenderedPageBreak/>
        <w:t>Recomendación general N</w:t>
      </w:r>
      <w:r w:rsidR="009E4349" w:rsidRPr="00E72B02">
        <w:t>. º</w:t>
      </w:r>
      <w:r w:rsidRPr="00E72B02">
        <w:t xml:space="preserve"> 18 sobre las mujeres discapacitadas ni en las directrices relativas a la presentación de informes.</w:t>
      </w:r>
      <w:r w:rsidRPr="00E72B02">
        <w:rPr>
          <w:rStyle w:val="Refdenotaalpie"/>
          <w:lang w:val="es-ES"/>
        </w:rPr>
        <w:footnoteReference w:id="216"/>
      </w:r>
    </w:p>
    <w:p w:rsidR="00F2036A" w:rsidRPr="00E72B02" w:rsidRDefault="00F2036A" w:rsidP="004551E9">
      <w:pPr>
        <w:rPr>
          <w:lang w:val="es-ES_tradnl"/>
        </w:rPr>
      </w:pPr>
      <w:r w:rsidRPr="00E72B02">
        <w:rPr>
          <w:lang w:val="es-ES_tradnl"/>
        </w:rPr>
        <w:t>El estudio de los informes de los Estados Partes y de las Observaciones Finales del CteEDM desde 2009 al 2012, sigue evidenciando un abordaje dispar en cuanto al tratamiento de los derechos de las mujeres con discapacidad en el marco del CEFDM. En algunos Estados la información es prácticamente nula y las observaciones del CteEDM no parecen denunciar dicho silencio.</w:t>
      </w:r>
      <w:r w:rsidRPr="00E72B02">
        <w:rPr>
          <w:rStyle w:val="Refdenotaalpie"/>
          <w:lang w:val="es-ES_tradnl"/>
        </w:rPr>
        <w:footnoteReference w:id="217"/>
      </w:r>
      <w:r w:rsidRPr="00E72B02">
        <w:rPr>
          <w:lang w:val="es-ES_tradnl"/>
        </w:rPr>
        <w:t xml:space="preserve"> En otros las referencias son más frecuentes aunque centradas en los ámbitos de empleo, seguridad social, discriminación, y excepcionalmente, en educación.</w:t>
      </w:r>
      <w:r w:rsidRPr="00E72B02">
        <w:rPr>
          <w:rStyle w:val="Refdenotaalpie"/>
          <w:lang w:val="es-ES_tradnl"/>
        </w:rPr>
        <w:footnoteReference w:id="218"/>
      </w:r>
      <w:r w:rsidRPr="00E72B02">
        <w:rPr>
          <w:lang w:val="es-ES_tradnl"/>
        </w:rPr>
        <w:t xml:space="preserve"> Otros Estados incluyen información más detallada y transversal aunque sin llegar al nivel señalado por la Recomendación General nº 18.</w:t>
      </w:r>
      <w:r w:rsidRPr="00E72B02">
        <w:rPr>
          <w:rStyle w:val="Refdenotaalpie"/>
          <w:lang w:val="es-ES_tradnl"/>
        </w:rPr>
        <w:footnoteReference w:id="219"/>
      </w:r>
      <w:r w:rsidRPr="00E72B02">
        <w:rPr>
          <w:lang w:val="es-ES_tradnl"/>
        </w:rPr>
        <w:t xml:space="preserve"> </w:t>
      </w:r>
    </w:p>
    <w:p w:rsidR="00F2036A" w:rsidRPr="00E72B02" w:rsidRDefault="00F2036A" w:rsidP="004551E9">
      <w:r w:rsidRPr="00E72B02">
        <w:t xml:space="preserve">Por su parte la jurisprudencia del CteEDM en materia de comunicaciones individuales no registra casos destacables donde se aborde los derechos de las mujeres con discapacidad, aunque es preciso señalar que la cantidad de casos resueltos por Comité hasta la fecha no conforman una base jurisprudencial amplia que permita determinar una falta de tratamiento adecuado de los derechos de las mujeres con discapacidad por parte de los </w:t>
      </w:r>
      <w:r w:rsidRPr="00E72B02">
        <w:lastRenderedPageBreak/>
        <w:t>miembros del Comité.</w:t>
      </w:r>
      <w:r w:rsidRPr="00E72B02">
        <w:rPr>
          <w:rStyle w:val="Refdenotaalpie"/>
          <w:lang w:val="es-ES"/>
        </w:rPr>
        <w:footnoteReference w:id="220"/>
      </w:r>
      <w:r w:rsidRPr="00E72B02">
        <w:t xml:space="preserve"> Sin perjuicio de ello, en la </w:t>
      </w:r>
      <w:r w:rsidRPr="00E72B02">
        <w:rPr>
          <w:i/>
        </w:rPr>
        <w:t>Comunicación No. 2/2003, Sra. A. T. contra Hungría</w:t>
      </w:r>
      <w:r w:rsidRPr="00E72B02">
        <w:t>, la parte actora alegó como elemento integrante de las causas del violación del Estado Húngaro a sus derechos amparados por los artículos 2, 5 y 16 de la CEFDM, la inexistencia de un centro de acogida equipado para acogerla en compañía de su hijo con discapacidad. Aunque el Comité condena al Estado Húngaro por violación de la CEFDM no desarrolla la circunstancia relativa a la discapacidad del hijo de la actora desde una perspectiva de los derechos de las personas con discapacidad.</w:t>
      </w:r>
      <w:r w:rsidRPr="00E72B02">
        <w:rPr>
          <w:rStyle w:val="Refdenotaalpie"/>
          <w:lang w:val="es-ES"/>
        </w:rPr>
        <w:footnoteReference w:id="221"/>
      </w:r>
      <w:r w:rsidRPr="00E72B02">
        <w:t xml:space="preserve">  </w:t>
      </w:r>
    </w:p>
    <w:p w:rsidR="00F2036A" w:rsidRPr="00E72B02" w:rsidRDefault="00F2036A" w:rsidP="004551E9">
      <w:r w:rsidRPr="00E72B02">
        <w:t xml:space="preserve">En la </w:t>
      </w:r>
      <w:r w:rsidRPr="00E72B02">
        <w:rPr>
          <w:i/>
        </w:rPr>
        <w:t>Comunicación No. 17/2008, M. L. S. P. contra Brasil</w:t>
      </w:r>
      <w:r w:rsidRPr="00E72B02">
        <w:t>, aunque el CteEDM no se refiere concretamente a las mujeres con discapacidad, desarrolla y aplica su doctrina sobre discriminaciones múltiples al encontrar al Estado Brasileño responsable de violar la CEFDM al constarse la existencia de discriminación, no solo  por ser la víctima mujer, sino también  por ser de ascendencia africana y por su condición socioeconómica.</w:t>
      </w:r>
      <w:r w:rsidRPr="00E72B02">
        <w:rPr>
          <w:rStyle w:val="Refdenotaalpie"/>
          <w:lang w:val="es-ES"/>
        </w:rPr>
        <w:footnoteReference w:id="222"/>
      </w:r>
      <w:r w:rsidRPr="00E72B02">
        <w:t xml:space="preserve"> </w:t>
      </w:r>
    </w:p>
    <w:p w:rsidR="00F2036A" w:rsidRPr="00E72B02" w:rsidRDefault="00F2036A" w:rsidP="004551E9">
      <w:r w:rsidRPr="00E72B02">
        <w:t xml:space="preserve">Finalmente en la </w:t>
      </w:r>
      <w:r w:rsidRPr="00E72B02">
        <w:rPr>
          <w:i/>
        </w:rPr>
        <w:t>Comunicación No 27/2010, Z. M. contra Italia</w:t>
      </w:r>
      <w:r w:rsidRPr="00E72B02">
        <w:t>, el CtEDM declaró inadmisible un caso que podría haber tenía una lectura interesante desde la perspectiva de los derechos de las mujeres con discapacidad. En dicho caso la actora alegaba violación de sus derechos de familia (Artículo 16) por haber sido retirada de la custodia de su hijo, debido al deterioro de su estado mental y su incapacidad para mantener al niño.</w:t>
      </w:r>
      <w:r w:rsidRPr="00E72B02">
        <w:rPr>
          <w:rStyle w:val="Refdenotaalpie"/>
          <w:lang w:val="es-ES"/>
        </w:rPr>
        <w:footnoteReference w:id="223"/>
      </w:r>
      <w:r w:rsidRPr="00E72B02">
        <w:t xml:space="preserve"> </w:t>
      </w:r>
    </w:p>
    <w:p w:rsidR="00F2036A" w:rsidRPr="00E72B02" w:rsidRDefault="00F2036A" w:rsidP="004551E9">
      <w:r w:rsidRPr="00E72B02">
        <w:lastRenderedPageBreak/>
        <w:t xml:space="preserve">En cuanto al procedimiento de investigaciones de violaciones graves o sistemáticas por un </w:t>
      </w:r>
      <w:r w:rsidR="0074119B" w:rsidRPr="00E72B02">
        <w:t>Estado Parte</w:t>
      </w:r>
      <w:r w:rsidRPr="00E72B02">
        <w:t xml:space="preserve"> de los derechos enunciados en la Convención, el CteEDM sólo ha llevado a cabo un único informe en relación con la situación particular de los asesinatos masivos de mujeres en México, conocido como los feminicidios de Ciudad Juárez.</w:t>
      </w:r>
      <w:r w:rsidRPr="00E72B02">
        <w:rPr>
          <w:rStyle w:val="Refdenotaalpie"/>
          <w:lang w:val="es-ES"/>
        </w:rPr>
        <w:footnoteReference w:id="224"/>
      </w:r>
      <w:r w:rsidRPr="00E72B02">
        <w:t xml:space="preserve"> Debido a las particularidades del caso, el informe no refleja una perspectiva de discapacidad que merezca ser desarrollada. </w:t>
      </w:r>
    </w:p>
    <w:p w:rsidR="00F2036A" w:rsidRPr="00E72B02" w:rsidRDefault="00F2036A" w:rsidP="004551E9"/>
    <w:p w:rsidR="00F2036A" w:rsidRPr="00E72B02" w:rsidRDefault="00F2036A" w:rsidP="00745BB8">
      <w:pPr>
        <w:pStyle w:val="TTULO80"/>
      </w:pPr>
      <w:r w:rsidRPr="00E72B02">
        <w:t>2.4.3.3 – La Convención sobre los derechos del niño</w:t>
      </w:r>
    </w:p>
    <w:p w:rsidR="00F2036A" w:rsidRPr="00E72B02" w:rsidRDefault="00F2036A" w:rsidP="004551E9"/>
    <w:p w:rsidR="00F2036A" w:rsidRPr="00E72B02" w:rsidRDefault="00F2036A" w:rsidP="004551E9">
      <w:r w:rsidRPr="00E72B02">
        <w:t>La Convención de las Naciones Unidas sobre los Derechos del Niño (CDN),</w:t>
      </w:r>
      <w:r w:rsidRPr="00E72B02">
        <w:rPr>
          <w:rStyle w:val="Refdenotaalpie"/>
          <w:lang w:val="es-ES"/>
        </w:rPr>
        <w:footnoteReference w:id="225"/>
      </w:r>
      <w:r w:rsidRPr="00E72B02">
        <w:t xml:space="preserve"> es el principal instrumento internacional que reconoce con carácter universal los derechos básicos de los niños y niñas. A diferencia del resto de los tratados temáticos de derechos humanos, la CDN es un tratado que reconoce derechos específicos de los sujetos protegidos. La CDN es el tratado universal de derechos humanos con mayor número de ratificaciones.</w:t>
      </w:r>
      <w:r w:rsidRPr="00E72B02">
        <w:rPr>
          <w:rStyle w:val="Refdenotaalpie"/>
          <w:lang w:val="es-ES"/>
        </w:rPr>
        <w:footnoteReference w:id="226"/>
      </w:r>
      <w:r w:rsidRPr="00E72B02">
        <w:t xml:space="preserve"> Asimismo, la CDN cuenta con dos Protocolos Facultativos que abordan dos grandes flagelos que afectan a la niñez (la venta, </w:t>
      </w:r>
      <w:r w:rsidRPr="00E72B02">
        <w:lastRenderedPageBreak/>
        <w:t>prostitución y pornografía infantil, así como la utilización de niños y niñas en conflictos armados).</w:t>
      </w:r>
      <w:r w:rsidRPr="00E72B02">
        <w:rPr>
          <w:rStyle w:val="Refdenotaalpie"/>
          <w:lang w:val="es-ES"/>
        </w:rPr>
        <w:footnoteReference w:id="227"/>
      </w:r>
      <w:r w:rsidRPr="00E72B02">
        <w:t xml:space="preserve"> </w:t>
      </w:r>
    </w:p>
    <w:p w:rsidR="00F2036A" w:rsidRPr="00E72B02" w:rsidRDefault="00F2036A" w:rsidP="004551E9">
      <w:r w:rsidRPr="00E72B02">
        <w:t>La CDN intenta avanzar hacia un nuevo territorio y modo de concebir la niñez y los derechos que la amparan, moviendo el foco de un discurso de “protección” de derechos hacia uno de “elección” de derechos, es decir, la promoción de la autonomía del niño basada más bien en las elecciones que las necesidades del mismo.</w:t>
      </w:r>
    </w:p>
    <w:p w:rsidR="00F2036A" w:rsidRPr="00E72B02" w:rsidRDefault="00F2036A" w:rsidP="004551E9">
      <w:r w:rsidRPr="00E72B02">
        <w:t>La CDN cuenta con 54 artículos siendo la Parte I (Arts. 1 a 41) la que recoge los derechos sustantivos. En términos generales la CDN define los derechos humanos básicos que disfrutan los niños y niñas en todas partes: el derecho a la supervivencia; al desarrollo pleno; a la protección contra influencias peligrosas, los malos tratos y la explotación; y a la plena participación en la vida familiar, cultural y social. Los cuatro principios fundamentales de la Convención son la no discriminación; la dedicación al interés superior del niño; el derecho a la vida, la supervivencia y desarrollo; y el respeto por los puntos de vista del niño. Todos los derechos que se definen en la Convención son inherentes a la dignidad humana y el desarrollo armonioso de todos los niños y niñas. La Convención protege los derechos de la niñez al estipular pautas en materia de atención de la salud, la educación y la prestación de servicios jurídicos, civiles y sociales.</w:t>
      </w:r>
    </w:p>
    <w:p w:rsidR="00F2036A" w:rsidRPr="00E72B02" w:rsidRDefault="00F2036A" w:rsidP="004551E9">
      <w:r w:rsidRPr="00E72B02">
        <w:t xml:space="preserve">La CDN contiene una disposición (artículo 23) que se ocupa específicamente de los derechos de los niños y niñas con discapacidad aunque adicionalmente, es preciso señalar, que el artículo 2 prohíbe todo </w:t>
      </w:r>
      <w:r w:rsidRPr="00E72B02">
        <w:lastRenderedPageBreak/>
        <w:t xml:space="preserve">tipo de discriminación basada en la discapacidad respecto del disfrute de los derechos amparados por la Convención. </w:t>
      </w:r>
    </w:p>
    <w:p w:rsidR="00F2036A" w:rsidRPr="00E72B02" w:rsidRDefault="00F2036A" w:rsidP="004551E9">
      <w:r w:rsidRPr="00E72B02">
        <w:t xml:space="preserve">El citado Artículo 23 establece: </w:t>
      </w:r>
    </w:p>
    <w:p w:rsidR="00F2036A" w:rsidRPr="00E72B02" w:rsidRDefault="00F2036A" w:rsidP="004551E9">
      <w:pPr>
        <w:pStyle w:val="Cita"/>
      </w:pPr>
      <w:r w:rsidRPr="00E72B02">
        <w:t>1. Los Estados Partes reconocen que el niño mental o físicamente impedido deberá disfrutar de una vida plena y decente en condiciones que aseguren su dignidad, le permitan llegar a bastarse a sí mismo y faciliten la participación activa del niño en la comunidad.</w:t>
      </w:r>
    </w:p>
    <w:p w:rsidR="00F2036A" w:rsidRPr="00E72B02" w:rsidRDefault="00F2036A" w:rsidP="004551E9">
      <w:pPr>
        <w:pStyle w:val="Cita"/>
      </w:pPr>
      <w:r w:rsidRPr="00E72B02">
        <w:t>2. Los Estados Partes reconocen el derecho del niño impedido a recibir cuidados especiales y alentarán y asegurarán, con sujeción a los recursos disponibles, la prestación al niño que reúna las condiciones requeridas y a los responsables de su cuidado de la asistencia que se solicite y que sea adecuada al estado del niño y a las circunstancias de sus padres o de otras personas que cuiden de él.</w:t>
      </w:r>
    </w:p>
    <w:p w:rsidR="00F2036A" w:rsidRPr="00E72B02" w:rsidRDefault="00F2036A" w:rsidP="004551E9">
      <w:pPr>
        <w:pStyle w:val="Cita"/>
      </w:pPr>
      <w:r w:rsidRPr="00E72B02">
        <w:t>3. En atención a las necesidades especiales del niño impedido, la asistencia que se preste conforme al párrafo 2 del presente artículo será gratuita siempre que sea posible, habida cuenta de la situación económica de los padres o de las otras personas que cuiden del niño, y estará destinada a asegurar que el niño impedido tenga un acceso efectivo a la educación, la capacitación, los servicios sanitarios, los servicios de rehabilitación, la preparación para el empleo y las oportunidades de esparcimiento y reciba tales servicios con el objeto de que el niño logre la integración social y el desarrollo individual, incluido su desarrollo cultural y espiritual, en la máxima medida posible.</w:t>
      </w:r>
    </w:p>
    <w:p w:rsidR="00F2036A" w:rsidRPr="00E72B02" w:rsidRDefault="00F2036A" w:rsidP="004551E9">
      <w:pPr>
        <w:pStyle w:val="Cita"/>
      </w:pPr>
      <w:r w:rsidRPr="00E72B02">
        <w:t xml:space="preserve">4. Los Estados Partes promoverán, con espíritu de cooperación internacional, el intercambio de información adecuada en la </w:t>
      </w:r>
      <w:r w:rsidRPr="00E72B02">
        <w:lastRenderedPageBreak/>
        <w:t>esfera de la atención sanitaria preventiva y del tratamiento médico, psicológico y funcional de los niños impedidos, incluida la difusión de información sobre los métodos de rehabilitación y los servicios de enseñanza y formación profesional, así como el acceso a esa información a fin de que los Estados Partes puedan mejorar su capacidad y conocimientos y ampliar su experiencia en estas esferas. A este respecto, se tendrán especialmente en cuenta las necesidades de los países en desarrollo.</w:t>
      </w:r>
    </w:p>
    <w:p w:rsidR="00F2036A" w:rsidRPr="00E72B02" w:rsidRDefault="00F2036A" w:rsidP="004551E9">
      <w:r w:rsidRPr="00E72B02">
        <w:t>Aunque se debe destacar y celebrar la inclusión y la visibilización de la discapacidad dentro del marco regulatorio de los derechos del niño, lo cierto es que el Artículo 23, y pese a su extensión, no lograr sentar obligaciones claras o concretas respecto de los Estados Partes en el tratado. Como señalan QUINN &amp; DEGENER, el inciso 1 “</w:t>
      </w:r>
      <w:r w:rsidRPr="00E72B02">
        <w:rPr>
          <w:i/>
        </w:rPr>
        <w:t>no reconoce o pretende garantizar lo mismo para los niños con discapacidad como cuestión de derecho ni impone a los Estados Partes obligación alguna de adoptar medidas con ese fin</w:t>
      </w:r>
      <w:r w:rsidRPr="00E72B02">
        <w:t xml:space="preserve">”, el inciso 2 </w:t>
      </w:r>
      <w:r w:rsidR="00562186" w:rsidRPr="00E72B02">
        <w:t xml:space="preserve">que </w:t>
      </w:r>
      <w:r w:rsidRPr="00E72B02">
        <w:t>reconoce el derecho de los niños y niñas con discapacidad a atención especial, “</w:t>
      </w:r>
      <w:r w:rsidRPr="00E72B02">
        <w:rPr>
          <w:i/>
        </w:rPr>
        <w:t>no llega a especificar cómo debe garantizarse ese derecho</w:t>
      </w:r>
      <w:r w:rsidRPr="00E72B02">
        <w:t>”, el inciso 3 que establece que la asistencia prestada al niño o niña deba ser destinada a promover su inclusión social, tampoco “</w:t>
      </w:r>
      <w:r w:rsidRPr="00E72B02">
        <w:rPr>
          <w:i/>
        </w:rPr>
        <w:t>establece un derecho claro y basado en la necesidad a tener acceso o beneficiarse de esos servicios</w:t>
      </w:r>
      <w:r w:rsidRPr="00E72B02">
        <w:t>”. Adicionalmente, el artículo 23 “</w:t>
      </w:r>
      <w:r w:rsidRPr="00E72B02">
        <w:rPr>
          <w:i/>
        </w:rPr>
        <w:t>también está cargado de condicionantes y limitaciones en relación con los recursos</w:t>
      </w:r>
      <w:r w:rsidRPr="00E72B02">
        <w:t>” (ejemplo el párrafo 2 alienta la prestación de asistencia a los niños con discapacidad, pero lo somete “</w:t>
      </w:r>
      <w:r w:rsidRPr="00E72B02">
        <w:rPr>
          <w:i/>
        </w:rPr>
        <w:t>a los recursos disponibles</w:t>
      </w:r>
      <w:r w:rsidRPr="00E72B02">
        <w:t>”; el párrafo 3 repite el condicionante de los recursos estipulando que la asistencia que se preste en virtud del párrafo 2 sea gratuita “</w:t>
      </w:r>
      <w:r w:rsidRPr="00E72B02">
        <w:rPr>
          <w:i/>
        </w:rPr>
        <w:t>siempre que sea posible</w:t>
      </w:r>
      <w:r w:rsidRPr="00E72B02">
        <w:t xml:space="preserve">” y </w:t>
      </w:r>
      <w:r w:rsidRPr="00E72B02">
        <w:lastRenderedPageBreak/>
        <w:t>“</w:t>
      </w:r>
      <w:r w:rsidRPr="00E72B02">
        <w:rPr>
          <w:i/>
        </w:rPr>
        <w:t>habida cuenta de la situación económica de los padres o de las otras personas que cuiden del niño</w:t>
      </w:r>
      <w:r w:rsidRPr="00E72B02">
        <w:t>”).</w:t>
      </w:r>
      <w:r w:rsidRPr="00E72B02">
        <w:rPr>
          <w:rStyle w:val="Refdenotaalpie"/>
          <w:lang w:val="es-ES"/>
        </w:rPr>
        <w:footnoteReference w:id="228"/>
      </w:r>
    </w:p>
    <w:p w:rsidR="00F2036A" w:rsidRPr="00E72B02" w:rsidRDefault="00F2036A" w:rsidP="004551E9">
      <w:r w:rsidRPr="00E72B02">
        <w:t>Ahora bien, como se ha señalado ya, probablemente el principal potencial de la CDN en relación con los niñas y niñas con discapacidad se encuentre en el Artículo 2 que establece una obligación general de los Estados Partes de respetar los derechos enunciados en el tratado sin discriminación, donde especifica el motivo de “discapacidad”. En realidad la versión en español de la Convención habla de “</w:t>
      </w:r>
      <w:r w:rsidRPr="00E72B02">
        <w:rPr>
          <w:i/>
        </w:rPr>
        <w:t>impedido físico</w:t>
      </w:r>
      <w:r w:rsidR="00562186" w:rsidRPr="00E72B02">
        <w:t>”</w:t>
      </w:r>
      <w:r w:rsidRPr="00E72B02">
        <w:t>. Resulta curioso que la traducción al español utilice al concepto de “impedido físico” mientras que la versión inglesa hable únicamente de “</w:t>
      </w:r>
      <w:r w:rsidRPr="00E72B02">
        <w:rPr>
          <w:i/>
        </w:rPr>
        <w:t>disability</w:t>
      </w:r>
      <w:r w:rsidRPr="00E72B02">
        <w:t>” y la francesa de “</w:t>
      </w:r>
      <w:r w:rsidRPr="00E72B02">
        <w:rPr>
          <w:i/>
        </w:rPr>
        <w:t>incapacité</w:t>
      </w:r>
      <w:r w:rsidRPr="00E72B02">
        <w:t xml:space="preserve">”. No sólo se trata de una diferencia conceptual criticable en cuento al uso peyorativo e inadecuado el término “impedido” en español, sino que además se incluye como elemento adicional al impedimento “físico”. Esto podría suponer que mientras para la versión en español el Artículo 2 protege por discriminación a los niños y niñas con discapacidad física, la versión en inglés o francés lo hacer respecto de todas las discapacidades. Aunque el Artículo 54 establece que la versión en español es igualmente auténtica, claramente debe interpretarse de forma sistemática y concluir que el texto en español se proyecta igualmente respecto de todos los niños y niñas con discapacidad. </w:t>
      </w:r>
    </w:p>
    <w:p w:rsidR="00F2036A" w:rsidRPr="00E72B02" w:rsidRDefault="00F2036A" w:rsidP="004551E9">
      <w:r w:rsidRPr="00E72B02">
        <w:t xml:space="preserve">En este sentido, el Comité de los Derechos del Niño (CteDN), ha intentado aclarar algunas de las cuestiones </w:t>
      </w:r>
      <w:r w:rsidR="00562186" w:rsidRPr="00E72B02">
        <w:t>señaladas sobre el marco de prot</w:t>
      </w:r>
      <w:r w:rsidRPr="00E72B02">
        <w:t>ección de niños y niñas con discapacidad a la luz de la CDN, por medio de la Observación nº</w:t>
      </w:r>
      <w:r w:rsidR="00562186" w:rsidRPr="00E72B02">
        <w:t xml:space="preserve"> </w:t>
      </w:r>
      <w:r w:rsidRPr="00E72B02">
        <w:t>9 denominada “los derechos de los niños con discapacidad”.</w:t>
      </w:r>
      <w:r w:rsidRPr="00E72B02">
        <w:rPr>
          <w:rStyle w:val="Refdenotaalpie"/>
          <w:lang w:val="es-ES"/>
        </w:rPr>
        <w:footnoteReference w:id="229"/>
      </w:r>
      <w:r w:rsidRPr="00E72B02">
        <w:t xml:space="preserve"> </w:t>
      </w:r>
    </w:p>
    <w:p w:rsidR="00F2036A" w:rsidRPr="00E72B02" w:rsidRDefault="00F2036A" w:rsidP="004551E9">
      <w:r w:rsidRPr="00E72B02">
        <w:lastRenderedPageBreak/>
        <w:t xml:space="preserve">En primer lugar el CteDN recoge y adopta como definición de persona con discapacidad, la establecido </w:t>
      </w:r>
      <w:r w:rsidR="00562186" w:rsidRPr="00E72B02">
        <w:t>(</w:t>
      </w:r>
      <w:r w:rsidRPr="00E72B02">
        <w:t>por el entonces Proyecto ahora Convención</w:t>
      </w:r>
      <w:r w:rsidR="00562186" w:rsidRPr="00E72B02">
        <w:t>)</w:t>
      </w:r>
      <w:r w:rsidRPr="00E72B02">
        <w:t xml:space="preserve"> sobre los derechos de las personas con discapacidad en su Artículo 1. Con lo cual, cualquier duda que pudiera plantearse sobre el alcance de la referencia al niño impedido físico en el Artículo 2 de la CDN queda claramente disipada.</w:t>
      </w:r>
    </w:p>
    <w:p w:rsidR="00F2036A" w:rsidRPr="00E72B02" w:rsidRDefault="00F2036A" w:rsidP="004551E9">
      <w:r w:rsidRPr="00E72B02">
        <w:t>Adicionalmente el CteDN señala que el Artículo 2 de la CDN “exige que los Estados Partes adopten las medidas apropiadas para impedir todas las formas que discriminación, en particular por motivo de la discapacidad” entre las que menciona expresamente: “a) Incluir explícitamente la discapacidad como motivo prohibido de discriminación en las disposiciones constitucionales sobre la no discriminación y/o incluir una prohibición específica de la discriminación por motivos de discapacidad en las leyes o las disposiciones jurídicas especiales contrarias a la discriminación; b) Prever recursos eficaces en caso de violaciones de los derechos de los niños con discapacidad, y garantizar que esos recursos sean fácilmente accesibles a los niños con discapacidad y a sus padres y/o a otras personas que se ocupan del niño; y c) Organizar campañas de concienciación y de educación dirigidas al público en general y a grupos concretos de profesionales con el fin de impedir y eliminar la discriminación de hecho de los niños con discapacidad”.</w:t>
      </w:r>
      <w:r w:rsidRPr="00E72B02">
        <w:rPr>
          <w:rStyle w:val="Refdenotaalpie"/>
          <w:lang w:val="es-ES"/>
        </w:rPr>
        <w:footnoteReference w:id="230"/>
      </w:r>
      <w:r w:rsidRPr="00E72B02">
        <w:t xml:space="preserve"> </w:t>
      </w:r>
    </w:p>
    <w:p w:rsidR="00F2036A" w:rsidRPr="00E72B02" w:rsidRDefault="00F2036A" w:rsidP="004551E9">
      <w:r w:rsidRPr="00E72B02">
        <w:t xml:space="preserve">En cuanto al Artículo 23, el CteDN observa que el inciso 1 “debe considerarse el principio rector para la aplicación de la Convención con respecto a los niños con discapacidad: el disfrute de una vida plena y decente en condiciones que aseguren su dignidad, le permitan llegar a bastarse a sí mismo y faciliten la participación activa del niño en la comunidad”. En cuanto a los aspectos concretos de los incisos 2 y 3 del </w:t>
      </w:r>
      <w:r w:rsidRPr="00E72B02">
        <w:lastRenderedPageBreak/>
        <w:t>artículo 23, el CteDN hace las siguientes observaciones: “a) La prestación de atención y asistencia especiales depende de los recursos disponibles y son gratuitos siempre que sea posible.  El Comité insta a los Estados Partes a que conviertan en una cuestión de alta prioridad la atención y la asistencia especiales a los niños con discapacidad y a que inviertan el máximo posible de recursos disponibles en la eliminación de la discriminación contra los niños con discapacidad para su máxima inclusión en la sociedad. b) La atención y la asistencia deben estar concebidas para asegurar que los niños con discapacidad tengan acceso efectivo a la educación, la capacitación, los servicios de salud, los servicios de rehabilitación, la preparación para el empleo y las oportunidades de esparcimiento”.</w:t>
      </w:r>
      <w:r w:rsidRPr="00E72B02">
        <w:rPr>
          <w:rStyle w:val="Refdenotaalpie"/>
          <w:lang w:val="es-ES"/>
        </w:rPr>
        <w:footnoteReference w:id="231"/>
      </w:r>
      <w:r w:rsidRPr="00E72B02">
        <w:t xml:space="preserve"> </w:t>
      </w:r>
    </w:p>
    <w:p w:rsidR="00F2036A" w:rsidRPr="00E72B02" w:rsidRDefault="00F2036A" w:rsidP="004551E9">
      <w:r w:rsidRPr="00E72B02">
        <w:t>En relación con las otras medidas generales de aplicación de la CDN, el CteDN recomiendo en virtud de los Artículos 4, 42 y 44.6, que “</w:t>
      </w:r>
      <w:r w:rsidRPr="00E72B02">
        <w:rPr>
          <w:i/>
        </w:rPr>
        <w:t>los Estados Partes realicen una revisión general de toda la legislación interna y las directrices administrativas conexas para garantizar que todas las disposiciones de la Convención sean aplicables a todos los niños, incluidos los niños con discapacidad, que deberían mencionarse explícitamente cuando proceda</w:t>
      </w:r>
      <w:r w:rsidRPr="00E72B02">
        <w:t xml:space="preserve">”. En especial el CteDN llama a los Estados Partes a que incluyan medidas específicas sobre niñas y niñas con discapacidad en los planes nacionales de acción sobre infancia y adolescencia con recursos y resultados cuantificables; a que los datos y estadísticas nacionales reflejen la situación real de los niños con discapacidad; a destinar recursos presupuestarios suficientes y adecuados; a establecer mecanismos de coordinación entre todos las instituciones gubernamentales y no gubernamentales que prestan atención y servicios a los niños y niñas con discapacidad; a intensificar la cooperación internacional y la asistencia técnica; a alentar el establecimiento de un sistema apropiado de supervisión </w:t>
      </w:r>
      <w:r w:rsidRPr="00E72B02">
        <w:lastRenderedPageBreak/>
        <w:t>independiente en la promoción y protección de los derechos del niño; a apoyar e incluir a la sociedad civil en el cumplimiento de las disposiciones y principios de la CDN; y a la concientización y formación de profesionales con el objeto de fomentar actitudes positivas hacia los niños con discapacidad.</w:t>
      </w:r>
      <w:r w:rsidRPr="00E72B02">
        <w:rPr>
          <w:rStyle w:val="Refdenotaalpie"/>
          <w:lang w:val="es-ES"/>
        </w:rPr>
        <w:footnoteReference w:id="232"/>
      </w:r>
    </w:p>
    <w:p w:rsidR="00F2036A" w:rsidRPr="00E72B02" w:rsidRDefault="00F2036A" w:rsidP="004551E9">
      <w:r w:rsidRPr="00E72B02">
        <w:t>En materia de derechos y libertades civiles (Artículos 7, 8 13 a 17 y 37.a), el CteDN reafirma que los mismos “deben respetarse, protegerse y promoverse para todos, incluidos los niños con discapacidad” y que</w:t>
      </w:r>
      <w:r w:rsidR="003321C3" w:rsidRPr="00E72B02">
        <w:t xml:space="preserve"> deben</w:t>
      </w:r>
      <w:r w:rsidRPr="00E72B02">
        <w:t xml:space="preserve"> “prestar atención especial en este caso a los ámbitos donde es más probable que se violen los derechos de los niños con discapacidad o donde se requieren programas especiales para su protección”. En dichos ámbitos el CteDN menciona el derecho al registro de nacimiento, el acceso a la información y a los medios de comunicación, en particular las tecnologías y los sistemas de la información y de las comunicaciones, y la accesibilidad al transporte y las instalaciones públicas.</w:t>
      </w:r>
      <w:r w:rsidRPr="00E72B02">
        <w:rPr>
          <w:rStyle w:val="Refdenotaalpie"/>
          <w:lang w:val="es-ES"/>
        </w:rPr>
        <w:footnoteReference w:id="233"/>
      </w:r>
    </w:p>
    <w:p w:rsidR="00F2036A" w:rsidRPr="00E72B02" w:rsidRDefault="00F2036A" w:rsidP="004551E9">
      <w:r w:rsidRPr="00E72B02">
        <w:t>En relación con el entorno familiar y otro tipo de tutela (Artículos 5, 9 a 11, 18.1 y 18.2, 19 al 21, 27.4 y 39), el CteDN reconoce que “</w:t>
      </w:r>
      <w:r w:rsidRPr="00E72B02">
        <w:rPr>
          <w:i/>
        </w:rPr>
        <w:t xml:space="preserve">la </w:t>
      </w:r>
      <w:r w:rsidRPr="00E72B02">
        <w:rPr>
          <w:bCs/>
          <w:i/>
        </w:rPr>
        <w:t>mejor forma de cuidar y atender a los niños con discapacidad es dentro de su propio entorno familiar, siempre y cuando la familia tenga medios suficientes en todos los sentidos</w:t>
      </w:r>
      <w:r w:rsidRPr="00E72B02">
        <w:rPr>
          <w:bCs/>
        </w:rPr>
        <w:t>”. A falta de entorno familiar, el CteDN alienta a que los Estados Partes utilicen los sistemas de guarda familiar, los cuales “</w:t>
      </w:r>
      <w:r w:rsidRPr="00E72B02">
        <w:rPr>
          <w:bCs/>
          <w:i/>
        </w:rPr>
        <w:t>deben ofrecer la formación y el aliento necesarios a las familias adecuadas y prestar el apoyo que permita al hogar de guarda atender de forma apropiada al niño con discapacidad</w:t>
      </w:r>
      <w:r w:rsidRPr="00E72B02">
        <w:rPr>
          <w:bCs/>
        </w:rPr>
        <w:t xml:space="preserve">”. En cuanto a </w:t>
      </w:r>
      <w:r w:rsidRPr="00E72B02">
        <w:t>colocación de niños y niñas con discapacidad en instituciones, el CteDN insta a que los Estados Partes “</w:t>
      </w:r>
      <w:r w:rsidRPr="00E72B02">
        <w:rPr>
          <w:i/>
        </w:rPr>
        <w:t xml:space="preserve">utilicen estos únicamente como último recurso, cuando sea </w:t>
      </w:r>
      <w:r w:rsidRPr="00E72B02">
        <w:rPr>
          <w:i/>
        </w:rPr>
        <w:lastRenderedPageBreak/>
        <w:t>absolutamente necesario y responda al interés superior del niño</w:t>
      </w:r>
      <w:r w:rsidRPr="00E72B02">
        <w:t>”, enfatizando en la necesidad de “</w:t>
      </w:r>
      <w:r w:rsidRPr="00E72B02">
        <w:rPr>
          <w:i/>
        </w:rPr>
        <w:t>que se efectúe una revisión periódica del tratamiento que se ofrece al niño y de todas las circunstancias relacionadas con su colocación con objeto de supervisar su bienestar</w:t>
      </w:r>
      <w:r w:rsidRPr="00E72B02">
        <w:t xml:space="preserve">”. </w:t>
      </w:r>
      <w:r w:rsidRPr="00E72B02">
        <w:rPr>
          <w:bCs/>
        </w:rPr>
        <w:t>En materia de abusos el CteDN destaca que “</w:t>
      </w:r>
      <w:r w:rsidRPr="00E72B02">
        <w:rPr>
          <w:bCs/>
          <w:i/>
        </w:rPr>
        <w:t>los niños con discapacidad son más vulnerables a todos los tipos de abuso, sea mental, físico o sexual en todos los entornos, incluidos la familia, las escuelas, las instituciones privadas y públicas, entre otras cosas, otros tipos de cuidados, el entorno laboral y la comunidad en general</w:t>
      </w:r>
      <w:r w:rsidRPr="00E72B02">
        <w:rPr>
          <w:bCs/>
        </w:rPr>
        <w:t>”, y a dichos fines insta a “</w:t>
      </w:r>
      <w:r w:rsidRPr="00E72B02">
        <w:rPr>
          <w:i/>
        </w:rPr>
        <w:t xml:space="preserve">los Estados Partes a que, al hacer frente a la cuestión de la violencia y los abusos, </w:t>
      </w:r>
      <w:r w:rsidRPr="00E72B02">
        <w:rPr>
          <w:bCs/>
          <w:i/>
        </w:rPr>
        <w:t>adopten</w:t>
      </w:r>
      <w:r w:rsidRPr="00E72B02">
        <w:rPr>
          <w:i/>
        </w:rPr>
        <w:t xml:space="preserve"> todas las medidas necesarias para la prevención del abuso y de la violencia contra los niños con discapacidad</w:t>
      </w:r>
      <w:r w:rsidRPr="00E72B02">
        <w:t>”, enunciando una serie de medidas a modo de ejemplo.</w:t>
      </w:r>
      <w:r w:rsidRPr="00E72B02">
        <w:rPr>
          <w:rStyle w:val="Refdenotaalpie"/>
          <w:lang w:val="es-ES"/>
        </w:rPr>
        <w:footnoteReference w:id="234"/>
      </w:r>
      <w:r w:rsidRPr="00E72B02">
        <w:t xml:space="preserve"> </w:t>
      </w:r>
    </w:p>
    <w:p w:rsidR="00F2036A" w:rsidRPr="00E72B02" w:rsidRDefault="00F2036A" w:rsidP="004551E9">
      <w:r w:rsidRPr="00E72B02">
        <w:t>En materia de salud básica y bienestar (Artículos 6, 18.3, 23, 24, 26 y 27.1 a 3), el CteDN señala que los niños con discapacidad muchas veces se ven denegados del acceso a la salud “</w:t>
      </w:r>
      <w:r w:rsidRPr="00E72B02">
        <w:rPr>
          <w:i/>
        </w:rPr>
        <w:t>debido a múltiples problemas, en particular la discriminación, la falta de acceso y la ausencia de información y/o recursos financieros, el transporte, la distribución geográfica y el acceso físico a los servicios de atención de la salud</w:t>
      </w:r>
      <w:r w:rsidRPr="00E72B02">
        <w:t>”, al tiempo que insiste en que “</w:t>
      </w:r>
      <w:r w:rsidRPr="00E72B02">
        <w:rPr>
          <w:i/>
        </w:rPr>
        <w:t>los servicios de salud deben proporcionarse dentro del mismo sistema de salud pública que atiende a los niños que no tienen discapacidad</w:t>
      </w:r>
      <w:r w:rsidRPr="00E72B02">
        <w:t>”. Asimismo el Comité destaca la necesidad de mejorar los sistemas de prevención y detección precoz de las discapacidades en niños y niñas, y reitera su preocupación “</w:t>
      </w:r>
      <w:r w:rsidRPr="00E72B02">
        <w:rPr>
          <w:i/>
        </w:rPr>
        <w:t>por la práctica prevaleciente de esterilización forzada de los niños con discapacidad, en particular las niñas</w:t>
      </w:r>
      <w:r w:rsidRPr="00E72B02">
        <w:t>”.</w:t>
      </w:r>
      <w:r w:rsidRPr="00E72B02">
        <w:rPr>
          <w:rStyle w:val="Refdenotaalpie"/>
          <w:lang w:val="es-ES"/>
        </w:rPr>
        <w:footnoteReference w:id="235"/>
      </w:r>
    </w:p>
    <w:p w:rsidR="00F2036A" w:rsidRPr="00E72B02" w:rsidRDefault="00F2036A" w:rsidP="004551E9">
      <w:r w:rsidRPr="00E72B02">
        <w:lastRenderedPageBreak/>
        <w:t xml:space="preserve">En relación con la </w:t>
      </w:r>
      <w:r w:rsidR="003321C3" w:rsidRPr="00E72B02">
        <w:t xml:space="preserve">educación el ocio (Artículos 28, </w:t>
      </w:r>
      <w:r w:rsidRPr="00E72B02">
        <w:t>29 y 31) el CteDN reafirma que “la educación inclusiva debe ser el objetivo de la educación de los niños con discapacidad” y que con dicho fin “el acceso efectivo de los niños con discapacidad a la enseñanza debe garantizarse para promover el desarrollo de la personalidad, las aptitudes y la capacidad mental y física del niño hasta el máximo de sus posibilidades”. Asimismo el CteDN observa que “hay que ofrecer a los niños con discapacidad oportunidades iguales de participar en diversas actividades culturales y artísticas, así como en los deportes”.</w:t>
      </w:r>
      <w:r w:rsidRPr="00E72B02">
        <w:rPr>
          <w:rStyle w:val="Refdenotaalpie"/>
          <w:bCs/>
          <w:lang w:val="es-ES"/>
        </w:rPr>
        <w:footnoteReference w:id="236"/>
      </w:r>
      <w:r w:rsidRPr="00E72B02">
        <w:t xml:space="preserve"> </w:t>
      </w:r>
    </w:p>
    <w:p w:rsidR="00F2036A" w:rsidRPr="00E72B02" w:rsidRDefault="00F2036A" w:rsidP="004551E9">
      <w:r w:rsidRPr="00E72B02">
        <w:t>Finalmente, el CteDH también aborda y desarrolla la aplicación de los denominados principios generales sobre los que se basa conceptualmente todo el andamiaje jurídico de los derechos humanos de los niños y niñas, esto es, el principio de no discriminación, el interés superior del menor, el derecho a la vida, y el derecho al respeto de la opinión del niño.</w:t>
      </w:r>
      <w:r w:rsidRPr="00E72B02">
        <w:rPr>
          <w:rStyle w:val="Refdenotaalpie"/>
          <w:lang w:val="es-ES"/>
        </w:rPr>
        <w:footnoteReference w:id="237"/>
      </w:r>
      <w:r w:rsidRPr="00E72B02">
        <w:t xml:space="preserve"> En especial en lo que respecto al derecho al respeto de la opinión del niño, el CteDN por intermedio de la Observación General nº 12, ha señalado que “</w:t>
      </w:r>
      <w:r w:rsidRPr="00E72B02">
        <w:rPr>
          <w:i/>
        </w:rPr>
        <w:t>los Estados partes también tienen la obligación de garantizar la observancia de este derecho para los niños que experimenten dificultades para hacer oír su opinión.  Por ejemplo, los niños con discapacidades deben tener disponibles y poder utilizar los modos de comunicación que necesiten para facilitar la expresión de sus opiniones</w:t>
      </w:r>
      <w:r w:rsidRPr="00E72B02">
        <w:t xml:space="preserve">”, y que </w:t>
      </w:r>
      <w:r w:rsidR="003321C3" w:rsidRPr="00E72B02">
        <w:t xml:space="preserve">en </w:t>
      </w:r>
      <w:r w:rsidRPr="00E72B02">
        <w:t>materia del derecho a la salud “</w:t>
      </w:r>
      <w:r w:rsidRPr="00E72B02">
        <w:rPr>
          <w:i/>
        </w:rPr>
        <w:t>s</w:t>
      </w:r>
      <w:r w:rsidRPr="00E72B02">
        <w:rPr>
          <w:rFonts w:eastAsia="Calibri"/>
          <w:i/>
        </w:rPr>
        <w:t>e les debe suministrar información sobre los tratamientos que se propongan y sus efectos y resultados, en particular de manera apropiada y accesible para los niños con discapacidades</w:t>
      </w:r>
      <w:r w:rsidRPr="00E72B02">
        <w:t>”.</w:t>
      </w:r>
      <w:r w:rsidRPr="00E72B02">
        <w:rPr>
          <w:rStyle w:val="Refdenotaalpie"/>
          <w:lang w:val="es-ES"/>
        </w:rPr>
        <w:footnoteReference w:id="238"/>
      </w:r>
      <w:r w:rsidRPr="00E72B02">
        <w:t xml:space="preserve"> </w:t>
      </w:r>
    </w:p>
    <w:p w:rsidR="00F2036A" w:rsidRPr="00E72B02" w:rsidRDefault="00F2036A" w:rsidP="004551E9">
      <w:pPr>
        <w:rPr>
          <w:lang w:val="es-ES_tradnl"/>
        </w:rPr>
      </w:pPr>
      <w:r w:rsidRPr="00E72B02">
        <w:rPr>
          <w:lang w:val="es-ES"/>
        </w:rPr>
        <w:lastRenderedPageBreak/>
        <w:t xml:space="preserve"> </w:t>
      </w:r>
      <w:r w:rsidRPr="00E72B02">
        <w:rPr>
          <w:lang w:val="es-ES_tradnl"/>
        </w:rPr>
        <w:t>La discapacidad en el seguimiento de la CDN por parte del CteDN</w:t>
      </w:r>
    </w:p>
    <w:p w:rsidR="00F2036A" w:rsidRPr="00E72B02" w:rsidRDefault="00F2036A" w:rsidP="004551E9">
      <w:pPr>
        <w:rPr>
          <w:lang w:val="es-ES_tradnl"/>
        </w:rPr>
      </w:pPr>
      <w:r w:rsidRPr="00E72B02">
        <w:rPr>
          <w:lang w:val="es-ES_tradnl"/>
        </w:rPr>
        <w:t>El CteDN lleva a cabo su labor de control y seguimiento a través del procedimiento de examen de los informes de los Estados en virtud de lo establecido por el Artículo 44 de la CDN. Actualmente se encuentra en proceso de adopción un tercer protocolo facultativo a la CDN cuyo principal objetivo es la de asignar competencia al Comité para analizar reclamaciones individuales.</w:t>
      </w:r>
      <w:r w:rsidRPr="00E72B02">
        <w:rPr>
          <w:rStyle w:val="Refdenotaalpie"/>
          <w:lang w:val="es-ES_tradnl"/>
        </w:rPr>
        <w:footnoteReference w:id="239"/>
      </w:r>
      <w:r w:rsidRPr="00E72B02">
        <w:rPr>
          <w:lang w:val="es-ES_tradnl"/>
        </w:rPr>
        <w:t xml:space="preserve"> </w:t>
      </w:r>
    </w:p>
    <w:p w:rsidR="00F2036A" w:rsidRPr="00E72B02" w:rsidRDefault="00F2036A" w:rsidP="004551E9">
      <w:pPr>
        <w:rPr>
          <w:lang w:val="es-ES_tradnl"/>
        </w:rPr>
      </w:pPr>
      <w:r w:rsidRPr="00E72B02">
        <w:rPr>
          <w:lang w:val="es-ES_tradnl"/>
        </w:rPr>
        <w:t>En relación con la presentación de informes, el CteDN ha señalado que los Estados Partes al momento de informar sobre el artículo 23 deberán “</w:t>
      </w:r>
      <w:r w:rsidRPr="00E72B02">
        <w:rPr>
          <w:i/>
          <w:lang w:val="es-ES_tradnl"/>
        </w:rPr>
        <w:t>especificar el número y el porcentaje de niños con discapacidad, desglosados (…) y con arreglo a la naturaleza de la discapacidad: a) Cuyos padres reciben asistencia especial material o de otra índole; b) Que viven en instituciones, incluidas las instituciones para enfermos mentales, o fuera de sus familias, por ejemplo acogidos en hogares de guarda; c) Que asisten a las escuelas ordinarias; d) Que asisten a escuelas especiales; e) Que no asisten a escuelas o establecimientos similares</w:t>
      </w:r>
      <w:r w:rsidRPr="00E72B02">
        <w:rPr>
          <w:lang w:val="es-ES_tradnl"/>
        </w:rPr>
        <w:t>”, y que en relación con la salud y el bienestar, “</w:t>
      </w:r>
      <w:r w:rsidRPr="00E72B02">
        <w:rPr>
          <w:i/>
          <w:lang w:val="es-ES_tradnl"/>
        </w:rPr>
        <w:t>se pide a los Estados partes que proporcionen información pertinente y actualizada acerca de los niños con discapacidad y las medidas adoptadas para garantizar su dignidad, autonomía y participación activa en la comunidad mediante el acceso a todo tipo de servicios, transporte e instituciones, en particular a las actividades educativas y culturales</w:t>
      </w:r>
      <w:r w:rsidRPr="00E72B02">
        <w:rPr>
          <w:lang w:val="es-ES_tradnl"/>
        </w:rPr>
        <w:t>”.</w:t>
      </w:r>
      <w:r w:rsidRPr="00E72B02">
        <w:rPr>
          <w:rStyle w:val="Refdenotaalpie"/>
          <w:lang w:val="es-ES_tradnl"/>
        </w:rPr>
        <w:footnoteReference w:id="240"/>
      </w:r>
      <w:r w:rsidRPr="00E72B02">
        <w:rPr>
          <w:lang w:val="es-ES_tradnl"/>
        </w:rPr>
        <w:t xml:space="preserve"> </w:t>
      </w:r>
    </w:p>
    <w:p w:rsidR="00F2036A" w:rsidRPr="00E72B02" w:rsidRDefault="00F2036A" w:rsidP="004551E9">
      <w:r w:rsidRPr="00E72B02">
        <w:lastRenderedPageBreak/>
        <w:t>En relación con los informes de los Estados Partes, el trabajo presentado por QUINN &amp; DEGENER ante el ACNUDH en 2002 destaca que el tratamiento de la situación de niñas y niñas con discapacidad resulta insuficiente por al menos dos motivos. En primer lugar porque los informes adolecen de datos estadísticos específicos sobre niños y niñas con discapacidad, y brindan poco detalle acerca de la medida en que disfrutan de sus derechos en la práctica. En segundo lugar, porque los Estados tienden a informar sobre la discapacidad casi exclusivamente en relación con el artículo 23 y no de forma transversal respecto de todos los derechos reconocidos por la CDN.</w:t>
      </w:r>
      <w:r w:rsidRPr="00E72B02">
        <w:rPr>
          <w:rStyle w:val="Refdenotaalpie"/>
          <w:lang w:val="es-ES"/>
        </w:rPr>
        <w:footnoteReference w:id="241"/>
      </w:r>
    </w:p>
    <w:p w:rsidR="00F2036A" w:rsidRPr="00E72B02" w:rsidRDefault="00F2036A" w:rsidP="004551E9">
      <w:pPr>
        <w:rPr>
          <w:lang w:val="es-ES_tradnl"/>
        </w:rPr>
      </w:pPr>
      <w:r w:rsidRPr="00E72B02">
        <w:rPr>
          <w:lang w:val="es-ES_tradnl"/>
        </w:rPr>
        <w:t xml:space="preserve">El estudio de los informes de los Estados Partes y de las Observaciones Finales del CteDN a partir de la entrada en vigor de la CDPD, muestra un cambio visible en cuanto al abordaje de la discapacidad en relación con los derechos de los niños y niñas, aunque sin llegar al nivel de transversalidad propuesto por la CDPD. </w:t>
      </w:r>
    </w:p>
    <w:p w:rsidR="00F2036A" w:rsidRPr="00E72B02" w:rsidRDefault="00F2036A" w:rsidP="004551E9">
      <w:pPr>
        <w:rPr>
          <w:lang w:val="es-ES_tradnl"/>
        </w:rPr>
      </w:pPr>
      <w:r w:rsidRPr="00E72B02">
        <w:rPr>
          <w:lang w:val="es-ES_tradnl"/>
        </w:rPr>
        <w:t>Por ejemplo, el último informe presentado por Canadá ante el CteDN evidencia un incremento notable de las referencias hacia niños y niñas con discapacidad incluso fuera de los ámbitos usuales de salud y bienestar como es el caso de la vivienda, la educación, la maternidad, la formación y la reducción de la pobreza. No obstante, la mayoría de las referencias suelen girar en torno a aspectos de tipo asistenciales (prestaciones sociales, beneficios impositivos, subvenciones etc.).</w:t>
      </w:r>
      <w:r w:rsidRPr="00E72B02">
        <w:rPr>
          <w:rStyle w:val="Refdenotaalpie"/>
          <w:lang w:val="es-ES_tradnl"/>
        </w:rPr>
        <w:footnoteReference w:id="242"/>
      </w:r>
      <w:r w:rsidRPr="00E72B02">
        <w:rPr>
          <w:lang w:val="es-ES_tradnl"/>
        </w:rPr>
        <w:t xml:space="preserve"> En forma similar el informe de Austria, también destaca el incremente de prestaciones sociales y ayudas estatales para afrontar los derechos de niñas y niñas con discapacidad, al tiempo que también abordan la discapacidad desde la perspectiva de la no discriminación, la educación.</w:t>
      </w:r>
      <w:r w:rsidRPr="00E72B02">
        <w:rPr>
          <w:rStyle w:val="Refdenotaalpie"/>
          <w:lang w:val="es-ES_tradnl"/>
        </w:rPr>
        <w:footnoteReference w:id="243"/>
      </w:r>
      <w:r w:rsidRPr="00E72B02">
        <w:rPr>
          <w:lang w:val="es-ES_tradnl"/>
        </w:rPr>
        <w:t xml:space="preserve"> Por su parte el informe de Italia, recoge un </w:t>
      </w:r>
      <w:r w:rsidRPr="00E72B02">
        <w:rPr>
          <w:lang w:val="es-ES_tradnl"/>
        </w:rPr>
        <w:lastRenderedPageBreak/>
        <w:t>modelo mucho más clásico en el cual las referencias a la discapacidad se ciñen prácticamente de forma exclusiva a los aspectos asistencialistas, y al área educativa.</w:t>
      </w:r>
      <w:r w:rsidRPr="00E72B02">
        <w:rPr>
          <w:rStyle w:val="Refdenotaalpie"/>
          <w:lang w:val="es-ES_tradnl"/>
        </w:rPr>
        <w:footnoteReference w:id="244"/>
      </w:r>
      <w:r w:rsidRPr="00E72B02">
        <w:rPr>
          <w:lang w:val="es-ES_tradnl"/>
        </w:rPr>
        <w:t xml:space="preserve"> En sentido similar el informe de Bolivia, recoge reiteradas referencias hacia la discapacidad, aunque parece centrarse principalmente en aspectos de tipo asistenciales y de rehabilitación, todo ello desde una perspectiva de política pública y no desde una visión de derechos humanos.</w:t>
      </w:r>
      <w:r w:rsidRPr="00E72B02">
        <w:rPr>
          <w:rStyle w:val="Refdenotaalpie"/>
          <w:lang w:val="es-ES_tradnl"/>
        </w:rPr>
        <w:footnoteReference w:id="245"/>
      </w:r>
    </w:p>
    <w:p w:rsidR="00F2036A" w:rsidRPr="00E72B02" w:rsidRDefault="00F2036A" w:rsidP="004551E9">
      <w:pPr>
        <w:rPr>
          <w:lang w:val="es-ES_tradnl"/>
        </w:rPr>
      </w:pPr>
      <w:r w:rsidRPr="00E72B02">
        <w:rPr>
          <w:lang w:val="es-ES_tradnl"/>
        </w:rPr>
        <w:t>Desde el abordaje del propio CteDN, las Observaciones Finales a los informe de los Estados Partes muestran un incremento notable de las referencias hacia la discapacidad, y una mayor visibilidad de la misma, toda vez que el CteDN parece haber adoptado la metodología de incluir todo un apartado reservado a “Discapacidad, salud básica y bienestar”. No obstante, el análisis detallado de la labor del CteDN demuestra que la mayor visibilidad en las referencias hacia la discapacidad siguen siendo focales y circunscriptas al área de salud, educación y bienestar.</w:t>
      </w:r>
      <w:r w:rsidRPr="00E72B02">
        <w:rPr>
          <w:rStyle w:val="Refdenotaalpie"/>
          <w:lang w:val="es-ES_tradnl"/>
        </w:rPr>
        <w:footnoteReference w:id="246"/>
      </w:r>
      <w:r w:rsidRPr="00E72B02">
        <w:rPr>
          <w:lang w:val="es-ES_tradnl"/>
        </w:rPr>
        <w:t xml:space="preserve"> </w:t>
      </w:r>
    </w:p>
    <w:p w:rsidR="00F2036A" w:rsidRPr="00E72B02" w:rsidRDefault="00F2036A" w:rsidP="004551E9">
      <w:pPr>
        <w:rPr>
          <w:lang w:val="es-ES_tradnl"/>
        </w:rPr>
      </w:pPr>
      <w:r w:rsidRPr="00E72B02">
        <w:rPr>
          <w:lang w:val="es-ES_tradnl"/>
        </w:rPr>
        <w:br w:type="page"/>
      </w:r>
    </w:p>
    <w:p w:rsidR="00F2036A" w:rsidRPr="00E52D11" w:rsidRDefault="00F2036A" w:rsidP="00B14FA4">
      <w:pPr>
        <w:pStyle w:val="TITULO9"/>
        <w:rPr>
          <w:sz w:val="28"/>
          <w:szCs w:val="28"/>
        </w:rPr>
      </w:pPr>
      <w:r w:rsidRPr="00E52D11">
        <w:rPr>
          <w:sz w:val="28"/>
          <w:szCs w:val="28"/>
        </w:rPr>
        <w:lastRenderedPageBreak/>
        <w:t>Capítulo 3</w:t>
      </w:r>
    </w:p>
    <w:p w:rsidR="00F2036A" w:rsidRPr="00E52D11" w:rsidRDefault="00F2036A" w:rsidP="00B14FA4">
      <w:pPr>
        <w:pStyle w:val="TITULO9"/>
        <w:rPr>
          <w:sz w:val="28"/>
          <w:szCs w:val="28"/>
        </w:rPr>
      </w:pPr>
      <w:r w:rsidRPr="00E52D11">
        <w:rPr>
          <w:sz w:val="28"/>
          <w:szCs w:val="28"/>
        </w:rPr>
        <w:t>La Convención Internacional sobre los Derechos de las Personas con Discapacidad</w:t>
      </w:r>
    </w:p>
    <w:p w:rsidR="00F2036A" w:rsidRPr="00E52D11" w:rsidRDefault="00F2036A" w:rsidP="00B14FA4">
      <w:pPr>
        <w:jc w:val="center"/>
        <w:rPr>
          <w:b/>
          <w:sz w:val="28"/>
          <w:szCs w:val="28"/>
        </w:rPr>
      </w:pPr>
      <w:r w:rsidRPr="00E52D11">
        <w:rPr>
          <w:b/>
          <w:sz w:val="28"/>
          <w:szCs w:val="28"/>
        </w:rPr>
        <w:br w:type="page"/>
      </w:r>
    </w:p>
    <w:p w:rsidR="00F2036A" w:rsidRPr="00E72B02" w:rsidRDefault="00F2036A" w:rsidP="004551E9"/>
    <w:p w:rsidR="00F2036A" w:rsidRPr="00E52D11" w:rsidRDefault="00F2036A" w:rsidP="00B14FA4">
      <w:pPr>
        <w:pStyle w:val="TITULO9"/>
        <w:rPr>
          <w:sz w:val="24"/>
          <w:szCs w:val="24"/>
        </w:rPr>
      </w:pPr>
      <w:r w:rsidRPr="00E72B02">
        <w:br w:type="page"/>
      </w:r>
      <w:r w:rsidRPr="00E52D11">
        <w:rPr>
          <w:sz w:val="24"/>
          <w:szCs w:val="24"/>
        </w:rPr>
        <w:lastRenderedPageBreak/>
        <w:t>3.1 Introducción</w:t>
      </w:r>
    </w:p>
    <w:p w:rsidR="00F2036A" w:rsidRPr="00E72B02" w:rsidRDefault="00F2036A" w:rsidP="004551E9"/>
    <w:p w:rsidR="00F2036A" w:rsidRPr="00E72B02" w:rsidRDefault="00F2036A" w:rsidP="004551E9">
      <w:r w:rsidRPr="00E72B02">
        <w:t>La CDPD se adoptó por parte de la AG el 13 de diciembre de 2006 y entró en vigor el 3 de mayo de 2008.</w:t>
      </w:r>
      <w:r w:rsidRPr="00E72B02">
        <w:rPr>
          <w:rStyle w:val="Refdenotaalpie"/>
          <w:lang w:val="es-ES"/>
        </w:rPr>
        <w:footnoteReference w:id="247"/>
      </w:r>
      <w:r w:rsidRPr="00E72B02">
        <w:t xml:space="preserve"> Con ello se constituyó en el primer instrumento universal de carácter vinculante que aborda de forma específica los derechos de las personas con discapacidad.</w:t>
      </w:r>
      <w:r w:rsidRPr="00E72B02">
        <w:rPr>
          <w:rStyle w:val="Refdenotaalpie"/>
          <w:lang w:val="es-ES"/>
        </w:rPr>
        <w:footnoteReference w:id="248"/>
      </w:r>
      <w:r w:rsidRPr="00E72B02">
        <w:t xml:space="preserve"> El proceso de negociación se inició con la adopción de la resolución de la AG 56/168 de 2001 en la que decidió “</w:t>
      </w:r>
      <w:r w:rsidRPr="00E72B02">
        <w:rPr>
          <w:i/>
        </w:rPr>
        <w:t>establecer un comité especial abierto a la participación de todos los Estados Miembros y observadores de las Naciones Unidas para que examine propuestas relativas a una convención internacional amplia e integral para promover y proteger los derechos y la dignidad de las personas con discapacidad, sobre la base de un enfoque holístico de la labor realizada en las esferas del desarrollo social, los derechos humanos y la no discriminación y teniendo en cuenta las recomendaciones de la Comisión de Derechos Humanos y de la Comisión de Desarrollo Social</w:t>
      </w:r>
      <w:r w:rsidRPr="00E72B02">
        <w:t>”.</w:t>
      </w:r>
      <w:r w:rsidRPr="00E72B02">
        <w:rPr>
          <w:rStyle w:val="Refdenotaalpie"/>
          <w:lang w:val="es-ES"/>
        </w:rPr>
        <w:footnoteReference w:id="249"/>
      </w:r>
      <w:r w:rsidRPr="00E72B02">
        <w:t xml:space="preserve"> Con el establecimiento del Comité Especial se llevaron a cabo ocho reuniones a lo largo de cinco años. Los diferentes informes aprobados el Comité Especial pueden ilustrar este proceso de negociación relativamente </w:t>
      </w:r>
      <w:r w:rsidRPr="00E72B02">
        <w:lastRenderedPageBreak/>
        <w:t>corto si tomamos en cuenta el promedio de negociación de tratados internacionales multilaterales de derechos humanos.</w:t>
      </w:r>
      <w:r w:rsidRPr="00E72B02">
        <w:rPr>
          <w:rStyle w:val="Refdenotaalpie"/>
          <w:lang w:val="es-ES"/>
        </w:rPr>
        <w:footnoteReference w:id="250"/>
      </w:r>
      <w:r w:rsidRPr="00E72B02">
        <w:t xml:space="preserve">  </w:t>
      </w:r>
    </w:p>
    <w:p w:rsidR="00F2036A" w:rsidRPr="00E72B02" w:rsidRDefault="00F2036A" w:rsidP="004551E9"/>
    <w:p w:rsidR="00F2036A" w:rsidRPr="00E52D11" w:rsidRDefault="00F2036A" w:rsidP="00E52D11">
      <w:pPr>
        <w:pStyle w:val="TITULO9"/>
        <w:rPr>
          <w:sz w:val="24"/>
        </w:rPr>
      </w:pPr>
      <w:r w:rsidRPr="00E52D11">
        <w:rPr>
          <w:sz w:val="24"/>
        </w:rPr>
        <w:t>3.2 La participación de las propias personas con discapacidad: “Nada para nosotros sin nosotros”</w:t>
      </w:r>
    </w:p>
    <w:p w:rsidR="00F2036A" w:rsidRPr="00E72B02" w:rsidRDefault="00F2036A" w:rsidP="004551E9"/>
    <w:p w:rsidR="00F2036A" w:rsidRPr="00E72B02" w:rsidRDefault="00F2036A" w:rsidP="004551E9">
      <w:r w:rsidRPr="00E72B02">
        <w:t>Probablemente el hecho más significativo e importante de la adopción de la CDPD tiene que ver con la intervención activa de la sociedad civil en las instancias de negociación del tratado, en especial de las OPD.</w:t>
      </w:r>
      <w:r w:rsidRPr="00E72B02">
        <w:rPr>
          <w:rStyle w:val="Refdenotaalpie"/>
          <w:lang w:val="es-ES"/>
        </w:rPr>
        <w:footnoteReference w:id="251"/>
      </w:r>
      <w:r w:rsidRPr="00E72B02">
        <w:t xml:space="preserve"> La participación de las personas con discapacidad organizadas en sólidas alianzas de instituciones representativas constituyó un hito histórico, ya que se trató de una modalidad totalmente inusual en un foro que generalmente se encuentra reservado exclusivamente a los representantes de los Estados.</w:t>
      </w:r>
      <w:r w:rsidRPr="00E72B02">
        <w:rPr>
          <w:rStyle w:val="Refdenotaalpie"/>
          <w:lang w:val="es-ES"/>
        </w:rPr>
        <w:footnoteReference w:id="252"/>
      </w:r>
      <w:r w:rsidRPr="00E72B02">
        <w:t xml:space="preserve"> </w:t>
      </w:r>
    </w:p>
    <w:p w:rsidR="00F2036A" w:rsidRPr="00E72B02" w:rsidRDefault="00F2036A" w:rsidP="004551E9">
      <w:r w:rsidRPr="00E72B02">
        <w:lastRenderedPageBreak/>
        <w:t xml:space="preserve">Por primera vez, la negociación de un tratado de derechos humanos que intentaba abordar los derechos de un colectivo específico se vio “invadido” por sus protagonistas. Las personas con discapacidad dijeron presente, y rápidamente tomaron su lugar en el recinto de las Naciones Unidas. Se organizaron, se propusieron objetivos, se relacionaron con los representantes de los Estados y se hicieron escuchar. </w:t>
      </w:r>
    </w:p>
    <w:p w:rsidR="00F2036A" w:rsidRPr="00E72B02" w:rsidRDefault="00F2036A" w:rsidP="004551E9">
      <w:r w:rsidRPr="00E72B02">
        <w:t>Pero la participación de las propias personas con discapacidad en la negociación de la CDPD no constituyó solamente un hecho simbólico hacia el empoderamiento de las personas con discapacidad, sino que demostró, contrario a lo que se suele pensar, que las personas con discapacidad son las  verdaderas “</w:t>
      </w:r>
      <w:r w:rsidRPr="00E72B02">
        <w:rPr>
          <w:i/>
        </w:rPr>
        <w:t>expertas</w:t>
      </w:r>
      <w:r w:rsidRPr="00E72B02">
        <w:t xml:space="preserve">” en relación con sus derechos y sus necesidades. El propio presidente del Comité Especial que negoció el tratado, el neozelandés </w:t>
      </w:r>
      <w:r w:rsidRPr="00E72B02">
        <w:rPr>
          <w:caps/>
        </w:rPr>
        <w:t>Don McKay</w:t>
      </w:r>
      <w:r w:rsidRPr="00E72B02">
        <w:t>, expresó al adoptar el texto final que la CDPD era fruto en un 70% del trabajo y los aportes de las propias personas con discapacidad.</w:t>
      </w:r>
    </w:p>
    <w:p w:rsidR="00F2036A" w:rsidRPr="00E72B02" w:rsidRDefault="00F2036A" w:rsidP="004551E9">
      <w:r w:rsidRPr="00E72B02">
        <w:t>La modalidad de participación se desarrolló del siguiente modo: al finalizar cada ronda de participación de los representantes de los Estados en relación con cada artículo o aspecto bajo discusión, el presidente daba la palabra a las organizaciones representativas. Rápidamente las mismas comprendieron que se trataba de una oportunidad “única” pero que entonces, se debía  “aprovechar” al máximo organizando previamente las posiciones encontradas entre los diferentes sectores, e intentando dar una imagen de unidad y solidez en los reclamos planteados. De este modo, la sociedad civil no sólo tuvo intervenciones destacables,</w:t>
      </w:r>
      <w:r w:rsidRPr="00E72B02">
        <w:rPr>
          <w:rStyle w:val="Refdenotaalpie"/>
          <w:lang w:val="es-ES"/>
        </w:rPr>
        <w:footnoteReference w:id="253"/>
      </w:r>
      <w:r w:rsidRPr="00E72B02">
        <w:t xml:space="preserve"> sino que además llevaron a cabo </w:t>
      </w:r>
      <w:r w:rsidRPr="00E72B02">
        <w:lastRenderedPageBreak/>
        <w:t>una tarea precisa y constante de cabildeo con aquellos Estados más reacios a adoptar sus propuestas.</w:t>
      </w:r>
    </w:p>
    <w:p w:rsidR="00F2036A" w:rsidRPr="00E72B02" w:rsidRDefault="00F2036A" w:rsidP="004551E9">
      <w:r w:rsidRPr="00E72B02">
        <w:t>Por ello se considera que la CDPD representa la máxima aspiración de derechos humanos de las personas con discapacidad, ello no sólo por el modelo filosófico que la inspira, sino por el simple hecho de que sus clausulas responden, casi en su totalidad, a los reclamos y reivindicaciones de las propias personas con discapacidad. La CDPD debe ser vista como una guía, o como una hoja de ruta de pasos a seguir y de principios a aplicar para respetar, proteger y realizar los derechos humanos de las personas con discapacidad. O dicho de otro modo: “la CDPD refleja la palabra de las propias personas con discapacidad”</w:t>
      </w:r>
    </w:p>
    <w:p w:rsidR="00F2036A" w:rsidRPr="00E72B02" w:rsidRDefault="00F2036A" w:rsidP="004551E9">
      <w:r w:rsidRPr="00E72B02">
        <w:t>De</w:t>
      </w:r>
      <w:r w:rsidR="00267DBF">
        <w:t xml:space="preserve"> este modo, el desembarc</w:t>
      </w:r>
      <w:r w:rsidRPr="00E72B02">
        <w:t>o de las personas con discapacidad en las Naciones Unidas se produjo bajo la pancarta del “</w:t>
      </w:r>
      <w:r w:rsidRPr="00E72B02">
        <w:rPr>
          <w:i/>
        </w:rPr>
        <w:t>nada para nosotros sin nosotros</w:t>
      </w:r>
      <w:r w:rsidRPr="00E72B02">
        <w:t>”.</w:t>
      </w:r>
      <w:r w:rsidRPr="00E72B02">
        <w:rPr>
          <w:rStyle w:val="Refdenotaalpie"/>
          <w:lang w:val="es-ES"/>
        </w:rPr>
        <w:footnoteReference w:id="254"/>
      </w:r>
      <w:r w:rsidRPr="00E72B02">
        <w:t xml:space="preserve"> Esta proclama que se afianzó en el ámbito de</w:t>
      </w:r>
      <w:r w:rsidR="00267DBF">
        <w:t xml:space="preserve"> la discapacidad hacia los </w:t>
      </w:r>
      <w:r w:rsidRPr="00E72B02">
        <w:t xml:space="preserve">90s se ha constituido como un pilar fundamental del movimiento reivindicativo de los derechos de las personas con discapacidad. Ahora bien, la CDPD también marca un cambio fundamental en relación con “el nada para nosotros sin nosotros” ya que ahora el mismo ha pasado a ser una obligación jurídicamente vinculante para los Estados que ratifiquen el texto. En otras palabras, ahora la participación activa de las personas con discapacidad, y en especial de sus organizaciones representativas, en el diseño e implementación de leyes y políticas públicas que directa o indirectamente pueda afectar al sector de la discapacidad, es una obligación jurídica  y ya no sólo un imperativo moral. </w:t>
      </w:r>
    </w:p>
    <w:p w:rsidR="00F2036A" w:rsidRPr="00E72B02" w:rsidRDefault="00F2036A" w:rsidP="004551E9">
      <w:r w:rsidRPr="00E72B02">
        <w:t xml:space="preserve">La CDPD comienza por reconocer en su preámbulo que “las personas con discapacidad deben tener la oportunidad de participar activamente en los </w:t>
      </w:r>
      <w:r w:rsidRPr="00E72B02">
        <w:lastRenderedPageBreak/>
        <w:t>procesos de adopción de decisiones sobre políticas y programas, incluidos los que les afectan directamente”. Pero el artículo 4 que se titula “Obligaciones generales” establece expresamente en su inciso 4 que “En la elaboración y aplicación de legislación y políticas para hacer efectiva la presente Convención, y en otros procesos de adopción de decisiones sobre cuestiones relacionadas con las personas con discapacidad, los Estados Partes celebrarán consultas estrechas y colaborarán activamente con las personas con discapacidad, incluidos los niños y las niñas con discapacidad, a través de las organizaciones que las representan”. Es decir, la participación de las personas con discapacidad con la adopción de la CDPD pasa a ser un imperativo legal.</w:t>
      </w:r>
      <w:r w:rsidRPr="00E72B02">
        <w:rPr>
          <w:rStyle w:val="Refdenotaalpie"/>
          <w:lang w:val="es-ES"/>
        </w:rPr>
        <w:footnoteReference w:id="255"/>
      </w:r>
      <w:r w:rsidRPr="00E72B02">
        <w:t xml:space="preserve"> </w:t>
      </w:r>
    </w:p>
    <w:p w:rsidR="00F2036A" w:rsidRPr="00E72B02" w:rsidRDefault="00F2036A" w:rsidP="004551E9">
      <w:pPr>
        <w:rPr>
          <w:lang w:val="es-ES_tradnl"/>
        </w:rPr>
      </w:pPr>
    </w:p>
    <w:p w:rsidR="00F2036A" w:rsidRPr="00E52D11" w:rsidRDefault="00F2036A" w:rsidP="00E52D11">
      <w:pPr>
        <w:pStyle w:val="TITULO9"/>
        <w:rPr>
          <w:sz w:val="24"/>
        </w:rPr>
      </w:pPr>
      <w:r w:rsidRPr="00E52D11">
        <w:rPr>
          <w:sz w:val="24"/>
        </w:rPr>
        <w:t>3.3 El concepto de discapacidad y de persona con discapacidad: la consolidación del modelo social</w:t>
      </w:r>
    </w:p>
    <w:p w:rsidR="00F2036A" w:rsidRPr="00E72B02" w:rsidRDefault="00F2036A" w:rsidP="004551E9">
      <w:pPr>
        <w:rPr>
          <w:lang w:val="es-ES_tradnl"/>
        </w:rPr>
      </w:pPr>
    </w:p>
    <w:p w:rsidR="00F2036A" w:rsidRPr="00E72B02" w:rsidRDefault="00F2036A" w:rsidP="004551E9">
      <w:pPr>
        <w:rPr>
          <w:lang w:val="es-ES_tradnl"/>
        </w:rPr>
      </w:pPr>
      <w:r w:rsidRPr="00E72B02">
        <w:rPr>
          <w:lang w:val="es-ES_tradnl"/>
        </w:rPr>
        <w:t xml:space="preserve">Como señala </w:t>
      </w:r>
      <w:r w:rsidRPr="00E72B02">
        <w:rPr>
          <w:caps/>
          <w:lang w:val="es-ES_tradnl"/>
        </w:rPr>
        <w:t>Lawson</w:t>
      </w:r>
      <w:r w:rsidRPr="00E72B02">
        <w:rPr>
          <w:lang w:val="es-ES_tradnl"/>
        </w:rPr>
        <w:t>, “hasta la penúltima sesión del Comité Especial, la cuestión sobre si la Convención debía contener una definición de “discapacidad” estaba aún sin resolver”.</w:t>
      </w:r>
      <w:r w:rsidRPr="00E72B02">
        <w:rPr>
          <w:rStyle w:val="Refdenotaalpie"/>
          <w:lang w:val="es-ES_tradnl"/>
        </w:rPr>
        <w:t xml:space="preserve"> </w:t>
      </w:r>
      <w:r w:rsidRPr="00E72B02">
        <w:rPr>
          <w:rStyle w:val="Refdenotaalpie"/>
          <w:lang w:val="es-ES_tradnl"/>
        </w:rPr>
        <w:footnoteReference w:id="256"/>
      </w:r>
      <w:r w:rsidRPr="00E72B02">
        <w:rPr>
          <w:lang w:val="es-ES_tradnl"/>
        </w:rPr>
        <w:t xml:space="preserve"> La preocupación principal de algunas delegaciones, incluida la propia Unión Europa, radicaba en el riesgo de excluir ciertos grupos de forma no intencional. El propio presidente del Comité manifestaba al finalizar la séptima, y última reunión, sus dudas respecto de este tema.</w:t>
      </w:r>
      <w:r w:rsidRPr="00E72B02">
        <w:rPr>
          <w:rStyle w:val="Refdenotaalpie"/>
          <w:lang w:val="es-ES_tradnl"/>
        </w:rPr>
        <w:footnoteReference w:id="257"/>
      </w:r>
      <w:r w:rsidRPr="00E72B02">
        <w:rPr>
          <w:lang w:val="es-ES_tradnl"/>
        </w:rPr>
        <w:t xml:space="preserve"> Del lado de enfrente las organizaciones </w:t>
      </w:r>
      <w:r w:rsidRPr="00E72B02">
        <w:rPr>
          <w:lang w:val="es-ES_tradnl"/>
        </w:rPr>
        <w:lastRenderedPageBreak/>
        <w:t xml:space="preserve">representativas de las personas con discapacidad, lideradas por el </w:t>
      </w:r>
      <w:r w:rsidRPr="00E72B02">
        <w:rPr>
          <w:i/>
          <w:lang w:val="es-ES_tradnl"/>
        </w:rPr>
        <w:t>International Disability Caucus</w:t>
      </w:r>
      <w:r w:rsidRPr="00E72B02">
        <w:rPr>
          <w:lang w:val="es-ES_tradnl"/>
        </w:rPr>
        <w:t>, sostenían la necesidad de incluir una definición de “personas con discapacidad” aunque rechazaban la inclusión de una definición de “discapacidad”, alegando el riesgo de que algunos Estados interpretasen el concepto de discapacidad de un modo tan restringido que en la práctica generase la inaplicabilidad de la Convención.</w:t>
      </w:r>
      <w:r w:rsidRPr="00E72B02">
        <w:rPr>
          <w:rStyle w:val="Refdenotaalpie"/>
          <w:lang w:val="es-ES_tradnl"/>
        </w:rPr>
        <w:footnoteReference w:id="258"/>
      </w:r>
      <w:r w:rsidRPr="00E72B02">
        <w:rPr>
          <w:lang w:val="es-ES_tradnl"/>
        </w:rPr>
        <w:t xml:space="preserve"> A esta altura es posible afirmar que, una vez más, las personas con discapacidad estaban en lo cierto. En especial el alcance de las disposiciones relativas a la capacidad jurídica de las personas con discapacidad (Artículo 12) serían mucho más débiles si no estuvieran basadas en el concepto de “personas con discapacidad” que finalmente la CDPD recoge en su Artículo 1.  </w:t>
      </w:r>
    </w:p>
    <w:p w:rsidR="00F2036A" w:rsidRPr="00E72B02" w:rsidRDefault="00F2036A" w:rsidP="004551E9">
      <w:pPr>
        <w:rPr>
          <w:lang w:val="es-ES_tradnl"/>
        </w:rPr>
      </w:pPr>
      <w:r w:rsidRPr="00E72B02">
        <w:rPr>
          <w:lang w:val="es-ES_tradnl"/>
        </w:rPr>
        <w:t>El primer elemento que claramente apunta hacia la asunción de un concepto de discapacidad basado en el modelo social lo encontramos en el preámbulo de la CDPD, más precisamente en el inciso e), cuando sostiene que “</w:t>
      </w:r>
      <w:r w:rsidRPr="00E72B02">
        <w:rPr>
          <w:i/>
          <w:lang w:val="es-ES_tradnl"/>
        </w:rPr>
        <w:t xml:space="preserve">la discapacidad es un concepto que evoluciona y que resulta de la interacción entre las personas con deficiencias y las barreras debidas a la actitud y al entorno que evitan su participación plena y efectiva en la sociedad, en </w:t>
      </w:r>
      <w:r w:rsidRPr="00E72B02">
        <w:rPr>
          <w:i/>
          <w:lang w:val="es-ES_tradnl"/>
        </w:rPr>
        <w:lastRenderedPageBreak/>
        <w:t>igualdad de condiciones con las demás</w:t>
      </w:r>
      <w:r w:rsidRPr="00E72B02">
        <w:rPr>
          <w:lang w:val="es-ES_tradnl"/>
        </w:rPr>
        <w:t>”. Como destacan KEYESS &amp; FRENCH, el párrafo e) evidencia una de las mayores discontinuidades entre la CDPD y el trabajo previo de la ONU en el área de la discapacidad y los derechos humanos.</w:t>
      </w:r>
      <w:r w:rsidRPr="00E72B02">
        <w:rPr>
          <w:rStyle w:val="Refdenotaalpie"/>
          <w:lang w:val="es-ES_tradnl"/>
        </w:rPr>
        <w:footnoteReference w:id="259"/>
      </w:r>
      <w:r w:rsidRPr="00E72B02">
        <w:rPr>
          <w:lang w:val="es-ES_tradnl"/>
        </w:rPr>
        <w:t xml:space="preserve"> </w:t>
      </w:r>
    </w:p>
    <w:p w:rsidR="00F2036A" w:rsidRPr="00E72B02" w:rsidRDefault="00F2036A" w:rsidP="004551E9">
      <w:r w:rsidRPr="00E72B02">
        <w:t>El hecho que el concepto de discapacidad no aparezca en el texto del tratado no es casual. Los defensores del modelo social entendían que el énfasis del tratado debía centrarse en la persona con discapacidad y no en la discapacidad en sí misma.</w:t>
      </w:r>
      <w:r w:rsidRPr="00E72B02">
        <w:rPr>
          <w:rStyle w:val="Refdenotaalpie"/>
        </w:rPr>
        <w:footnoteReference w:id="260"/>
      </w:r>
      <w:r w:rsidRPr="00E72B02">
        <w:t xml:space="preserve"> Sin perjuicio de ello, la formulación del inciso e) del preámbulo deja claro un aspecto que preocupaba a quienes se oponían a la inclusión de un concepto legal de discapacidad, esto es, que la discapacidad como fenómeno primordialmente social “evoluciona” de la mano de los cambios sociales, y tecnológicos. </w:t>
      </w:r>
    </w:p>
    <w:p w:rsidR="00F2036A" w:rsidRPr="00E72B02" w:rsidRDefault="00F2036A" w:rsidP="004551E9">
      <w:r w:rsidRPr="00E72B02">
        <w:t xml:space="preserve">Frente a ello, la CDPD recoge una definición de “persona con discapacidad” en el  artículo 1(2) que establece: “las personas con discapacidad incluyen a aquellas que tengan deficiencias físicas, mentales, intelectuales o sensoriales a largo plazo que, al interactuar con diversas barreras, puedan impedir su participación plena y efectiva en la sociedad, en igualdad de condiciones con las demás”. </w:t>
      </w:r>
    </w:p>
    <w:p w:rsidR="00F2036A" w:rsidRPr="00E72B02" w:rsidRDefault="00F2036A" w:rsidP="004551E9">
      <w:r w:rsidRPr="00E72B02">
        <w:t xml:space="preserve">Aunque sutil, no debe restarse importancia al hecho de que la CDPD haya incorporado la definición de “persona con discapacidad” en el artículo 1 </w:t>
      </w:r>
      <w:r w:rsidRPr="00E72B02">
        <w:lastRenderedPageBreak/>
        <w:t>sobre “propósito” y no el articulo 2 reservado exclusivamente a definir una serie de conceptos claves. En rigor la CDPD no define lo que debe interpretarse por “persona con discapacidad” sino que “afirma” que esa expresión incluye a las personas en las circunstancias allí señaladas.</w:t>
      </w:r>
      <w:r w:rsidRPr="00E72B02">
        <w:rPr>
          <w:rStyle w:val="Refdenotaalpie"/>
        </w:rPr>
        <w:footnoteReference w:id="261"/>
      </w:r>
      <w:r w:rsidRPr="00E72B02">
        <w:t xml:space="preserve"> Con lo cual, se entiende que este artículo debe interpretarse como un piso, a partir del cual cualquier otra interpretación que beneficie o amplíe su marco protector será bienvenida y deberá ser aplicada.</w:t>
      </w:r>
    </w:p>
    <w:p w:rsidR="00F2036A" w:rsidRPr="00E72B02" w:rsidRDefault="00F2036A" w:rsidP="004551E9">
      <w:r w:rsidRPr="00E72B02">
        <w:t xml:space="preserve">No obstante, como señala LAWSON, la formulación del artículo 1(2) no estuvo exenta de críticas por parte de las OPD, lideradas en torno al </w:t>
      </w:r>
      <w:r w:rsidRPr="00E72B02">
        <w:rPr>
          <w:i/>
        </w:rPr>
        <w:t>International Disability Caucus</w:t>
      </w:r>
      <w:r w:rsidRPr="00E72B02">
        <w:t>. En primer lugar, en relación con la referencia a deficiencias “mentales e intelectuales”, dado que para al IDC debía hacerse referencia a deficiencias “mentales, psicosociales, neurológicas, o neuro-diversas”. En segundo lugar, en relación con el término “deficiencia” el cual era considerado como estigmatizante y podía ser reemplazado por el de “condición”.</w:t>
      </w:r>
      <w:r w:rsidRPr="00E72B02">
        <w:rPr>
          <w:rStyle w:val="Refdenotaalpie"/>
        </w:rPr>
        <w:footnoteReference w:id="262"/>
      </w:r>
      <w:r w:rsidRPr="00E72B02">
        <w:t xml:space="preserve"> En último lugar, en relación con la referencia a “largo plazo”, la cual debía ser reemplazada por “condiciones que pueden ser permanentes, temporales, intermitentes o atribuidas”.</w:t>
      </w:r>
      <w:r w:rsidRPr="00E72B02">
        <w:rPr>
          <w:rStyle w:val="Refdenotaalpie"/>
        </w:rPr>
        <w:footnoteReference w:id="263"/>
      </w:r>
      <w:r w:rsidRPr="00E72B02">
        <w:t xml:space="preserve"> </w:t>
      </w:r>
    </w:p>
    <w:p w:rsidR="00F2036A" w:rsidRPr="00E72B02" w:rsidRDefault="00F2036A" w:rsidP="004551E9">
      <w:r w:rsidRPr="00E72B02">
        <w:t xml:space="preserve">De lo señalado en el preámbulo inciso e) y en el artículo 1(2), y en línea con el modelo social, podemos identificar que la discapacidad en la CDPD </w:t>
      </w:r>
      <w:r w:rsidRPr="00E72B02">
        <w:rPr>
          <w:rFonts w:eastAsia="Calibri"/>
        </w:rPr>
        <w:t xml:space="preserve">está constituida por la interacción de dos elementos: I) la deficiencia </w:t>
      </w:r>
      <w:r w:rsidRPr="00E72B02">
        <w:lastRenderedPageBreak/>
        <w:t>(caracterizado en la CDPD como deficiencias físicas, mentales, intelectuales o sensoriales)</w:t>
      </w:r>
      <w:r w:rsidRPr="00E72B02">
        <w:rPr>
          <w:rFonts w:eastAsia="Calibri"/>
        </w:rPr>
        <w:t>, el cual es parte de la diversidad humana pero no es lo que determina la discapacidad; y, particularmente, II) el concepto de barrera, que impiden o limita el goce de los derechos humanos en igualdad de condiciones con los demás. Así, el modelo social integra una dimensión social al reconocer la existencia de barreras en la sociedad que limitan o impiden el ejercicio de derechos, a diferencia del modelo médico que considera a la persona con discapacidad como “anormal” y que por lo cual, debe rehabilitarse o quedar excluida.</w:t>
      </w:r>
      <w:r w:rsidRPr="00E72B02">
        <w:rPr>
          <w:rStyle w:val="Refdenotaalpie"/>
        </w:rPr>
        <w:footnoteReference w:id="264"/>
      </w:r>
    </w:p>
    <w:p w:rsidR="00F2036A" w:rsidRPr="00E72B02" w:rsidRDefault="00F2036A" w:rsidP="004551E9">
      <w:r w:rsidRPr="00E72B02">
        <w:t xml:space="preserve">Desde un riguroso análisis teórico, tal como destacan KEYESS &amp; FRENCH, lo señalado en el preámbulo inciso e) y en el artículo 1(2) de la CDPD  seguramente perpetúe, y quizás irrevocablemente incremente, la confusión conceptual entre la deficiencia y la discapacidad. La CDPD generalmente utiliza el término “personas con discapacidad” cuando conceptualmente parece estar refiriéndose a “personas con deficiencias”, lo que dificulta interpretar la CDPD estrictamente de conformidad con el modelo social. Según la CDPD su marco protector no se dispara por la existencia de una deficiencia, sino por una discapacidad, y esta última, en realidad, sería la barrera social. Desde este marco lógico, el artículo 14 cuando dice que “la existencia de una discapacidad no justifique en ningún caso una privación de la libertad”, entonces lo que habría que analizar, ante un potencial caso de discriminación, sería si la persona enfrenta barreras que el impiden ejercer sus derechos. Claramente, aquí la CDPD lo que intenta </w:t>
      </w:r>
      <w:r w:rsidRPr="00E72B02">
        <w:lastRenderedPageBreak/>
        <w:t>proteger es a las personas con deficiencias, independientemente de que dichas deficiencias “</w:t>
      </w:r>
      <w:r w:rsidRPr="00E72B02">
        <w:rPr>
          <w:rFonts w:eastAsia="Calibri"/>
          <w:i/>
        </w:rPr>
        <w:t xml:space="preserve">al interactuar con diversas barreras, puedan impedir su participación plena y efectiva en la sociedad”, </w:t>
      </w:r>
      <w:r w:rsidRPr="00E72B02">
        <w:rPr>
          <w:rFonts w:eastAsia="Calibri"/>
        </w:rPr>
        <w:t>o no.</w:t>
      </w:r>
      <w:r w:rsidRPr="00E72B02">
        <w:rPr>
          <w:rStyle w:val="Refdenotaalpie"/>
          <w:rFonts w:eastAsia="Calibri"/>
        </w:rPr>
        <w:footnoteReference w:id="265"/>
      </w:r>
    </w:p>
    <w:p w:rsidR="00F2036A" w:rsidRPr="00E72B02" w:rsidRDefault="00F2036A" w:rsidP="004551E9">
      <w:r w:rsidRPr="00E72B02">
        <w:t>Más allá del debate teórico señalado, lo cierto es que el concepto de “persona con discapacidad” de la CDPD está llamado a convertirse en un elemento crucial, y si se quiere controversial, en la incorporación de la misma en el derecho interno. Y ello por varias razones. En primer lugar porque la mayoría de los Estados contemplan en su derecho interno definiciones de “discapacidad” pero que en realidad lo que intentar regular, o lo que abordan, es la deficiencia.</w:t>
      </w:r>
      <w:r w:rsidRPr="00E72B02">
        <w:rPr>
          <w:rStyle w:val="Refdenotaalpie"/>
        </w:rPr>
        <w:footnoteReference w:id="266"/>
      </w:r>
      <w:r w:rsidRPr="00E72B02">
        <w:t xml:space="preserve"> En segundo lugar, porque la mayoría de dichas definiciones, se materializan en la práctica mediante un procedimiento administrativo que determina, y en algunos casos, gradúa la deficiencia, y generalmente sobre la base en la CIF-2001.</w:t>
      </w:r>
      <w:r w:rsidRPr="00E72B02">
        <w:rPr>
          <w:rStyle w:val="Refdenotaalpie"/>
        </w:rPr>
        <w:footnoteReference w:id="267"/>
      </w:r>
      <w:r w:rsidRPr="00E72B02">
        <w:t xml:space="preserve"> En tercer lugar, </w:t>
      </w:r>
      <w:r w:rsidRPr="00E72B02">
        <w:lastRenderedPageBreak/>
        <w:t>porque la mayoría de dichos Estados, definen “discapacidad/deficiencia” con el objeto proporcionar un marco regulatoria de tipo asistencialista (acceso a pensiones, tratamientos de rehabilitación, beneficios fiscales, beneficios para el trasporte público etc.). En último lugar, y como consecuencia del carácter asistencialista de los marcos regulatorios, porque la mayoría de dichos Estados, abordan algunos aspectos relacionados con los derechos civiles y políticos de las personas con discapacidad, en marcos jurídicos independientes, lo que supone la adopción explícita o implícita de otro concepto de discapacidad/deficiencia diferente (por ejemplo la regulación de la capacidad jurídica se aborda en el código civil bajo el concepto o noción de incapaz o demente, o la regulación de los internamientos forzosos se aborda en leyes especiales de salud mental bajo el concepto o noción de enfermos mentales).</w:t>
      </w:r>
      <w:r w:rsidRPr="00E72B02">
        <w:rPr>
          <w:rStyle w:val="Refdenotaalpie"/>
        </w:rPr>
        <w:footnoteReference w:id="268"/>
      </w:r>
      <w:r w:rsidRPr="00E72B02">
        <w:t xml:space="preserve"> </w:t>
      </w:r>
    </w:p>
    <w:p w:rsidR="00F2036A" w:rsidRPr="00E72B02" w:rsidRDefault="00F2036A" w:rsidP="004551E9">
      <w:r w:rsidRPr="00E72B02">
        <w:t xml:space="preserve">El caso de España es particularmente ilustrativo de lo </w:t>
      </w:r>
      <w:r w:rsidR="00267DBF">
        <w:t>señalado en el párrafo anterior, lo cual puede apreciarse por medio del proceso de evolución normativa en materia de derechos de las personas con discapacidad.</w:t>
      </w:r>
      <w:r w:rsidRPr="00E72B02">
        <w:t xml:space="preserve"> </w:t>
      </w:r>
      <w:r w:rsidR="00267DBF">
        <w:t xml:space="preserve">Hasta fines de 2013 </w:t>
      </w:r>
      <w:r w:rsidRPr="00E72B02">
        <w:t xml:space="preserve">España </w:t>
      </w:r>
      <w:r w:rsidR="00267DBF">
        <w:t xml:space="preserve">basaba todo la regulación de los derechos de las personas con discapacidad por medio de </w:t>
      </w:r>
      <w:r w:rsidRPr="00E72B02">
        <w:t>dos leyes de cabecera, esto es, la Ley 13/1982, de 7 de abril, de Integración Social de los Minusválidos (conocida como LISMI),</w:t>
      </w:r>
      <w:r w:rsidRPr="00E72B02">
        <w:rPr>
          <w:rStyle w:val="Refdenotaalpie"/>
        </w:rPr>
        <w:footnoteReference w:id="269"/>
      </w:r>
      <w:r w:rsidRPr="00E72B02">
        <w:t xml:space="preserve"> y la Ley 51/2003, de 2 de diciembre, de </w:t>
      </w:r>
      <w:r w:rsidRPr="00E72B02">
        <w:lastRenderedPageBreak/>
        <w:t>igualdad de oportunidades, no discriminación y accesibilidad universal de las personas con discapacidad (conocida como LIONDAU).</w:t>
      </w:r>
      <w:r w:rsidRPr="00E72B02">
        <w:rPr>
          <w:rStyle w:val="Refdenotaalpie"/>
        </w:rPr>
        <w:footnoteReference w:id="270"/>
      </w:r>
      <w:r w:rsidRPr="00E72B02">
        <w:t xml:space="preserve"> Mientras la LISMI </w:t>
      </w:r>
      <w:r w:rsidR="00267DBF">
        <w:t xml:space="preserve">se trataba de </w:t>
      </w:r>
      <w:r w:rsidRPr="00E72B02">
        <w:t xml:space="preserve">una ley de tipo asistencialista, la LIONDAU </w:t>
      </w:r>
      <w:r w:rsidR="00267DBF">
        <w:t xml:space="preserve">pretendía ser </w:t>
      </w:r>
      <w:r w:rsidRPr="00E72B02">
        <w:t>una verdadera norma antidiscriminatoria con sólidas bases en el modelo social.</w:t>
      </w:r>
      <w:r w:rsidRPr="00E72B02">
        <w:rPr>
          <w:rStyle w:val="Refdenotaalpie"/>
        </w:rPr>
        <w:footnoteReference w:id="271"/>
      </w:r>
      <w:r w:rsidRPr="00E72B02">
        <w:t xml:space="preserve"> A pesar de tratarse de una ley inserta en la filosofía del modelo social, la LIONDAU, hasta la entrada en vigor en España de la CDPD, recogía un concepto de persona con discapacidad, mediante referencia al concepto adoptado por la LISMI, el cual requería para considerar a una persona con discapacidad “</w:t>
      </w:r>
      <w:r w:rsidRPr="00267DBF">
        <w:rPr>
          <w:i/>
        </w:rPr>
        <w:t>aquellas a quienes se les haya reconocido un grado de minusvalía igual o superior al 33 por ciento</w:t>
      </w:r>
      <w:r w:rsidRPr="00E72B02">
        <w:t>” (Cfr. Artículo 1.2). Ello fue intensamente criticado por la doctrina</w:t>
      </w:r>
      <w:r w:rsidRPr="00E72B02">
        <w:rPr>
          <w:rStyle w:val="Refdenotaalpie"/>
        </w:rPr>
        <w:footnoteReference w:id="272"/>
      </w:r>
      <w:r w:rsidRPr="00E72B02">
        <w:t xml:space="preserve"> y por el movimiento asociativo español encabezado por el CERMI,</w:t>
      </w:r>
      <w:r w:rsidRPr="00E72B02">
        <w:rPr>
          <w:rStyle w:val="Refdenotaalpie"/>
        </w:rPr>
        <w:footnoteReference w:id="273"/>
      </w:r>
      <w:r w:rsidRPr="00E72B02">
        <w:t xml:space="preserve"> al entender que el concepto de persona con discapacidad de la LIONDAU se basaba en el modelo </w:t>
      </w:r>
      <w:r w:rsidRPr="00E72B02">
        <w:lastRenderedPageBreak/>
        <w:t>médico, generando por otro lado, la exclusión injustificada de todas aquellas personas que no llegasen al 33% legal pero que podrían ser objeto de discriminación.</w:t>
      </w:r>
      <w:r w:rsidRPr="00E72B02">
        <w:rPr>
          <w:rStyle w:val="Refdenotaalpie"/>
        </w:rPr>
        <w:footnoteReference w:id="274"/>
      </w:r>
    </w:p>
    <w:p w:rsidR="00F2036A" w:rsidRPr="00E72B02" w:rsidRDefault="00F2036A" w:rsidP="004551E9">
      <w:r w:rsidRPr="00E72B02">
        <w:t>Ley 26/2011, de 1 de agosto, de adaptación normativa a la Convención Internacional sobre los Derechos de las Personas con Discapacidad,</w:t>
      </w:r>
      <w:r w:rsidR="005E4280" w:rsidRPr="00E72B02">
        <w:t xml:space="preserve"> </w:t>
      </w:r>
      <w:r w:rsidR="002C6B28">
        <w:t>quiso</w:t>
      </w:r>
      <w:r w:rsidR="00267DBF">
        <w:t xml:space="preserve"> </w:t>
      </w:r>
      <w:r w:rsidRPr="00E72B02">
        <w:t>remediar la crítica señalada y compatibilizar el concepto de persona con discapacidad en España con lo estipulado en la CDPD para lo cual propone la modificación del Artículo 1(2) de la LIONDAU</w:t>
      </w:r>
      <w:r w:rsidR="005E4280" w:rsidRPr="00E72B02">
        <w:t>.</w:t>
      </w:r>
      <w:r w:rsidR="005E4280" w:rsidRPr="00E72B02">
        <w:rPr>
          <w:rStyle w:val="Refdenotaalpie"/>
        </w:rPr>
        <w:t xml:space="preserve"> </w:t>
      </w:r>
      <w:r w:rsidR="005E4280" w:rsidRPr="00E72B02">
        <w:rPr>
          <w:rStyle w:val="Refdenotaalpie"/>
        </w:rPr>
        <w:footnoteReference w:id="275"/>
      </w:r>
      <w:r w:rsidR="005E4280" w:rsidRPr="00E72B02">
        <w:t xml:space="preserve"> </w:t>
      </w:r>
      <w:r w:rsidRPr="00E72B02">
        <w:t xml:space="preserve"> </w:t>
      </w:r>
    </w:p>
    <w:p w:rsidR="00F2036A" w:rsidRDefault="00267DBF" w:rsidP="004551E9">
      <w:pPr>
        <w:rPr>
          <w:lang w:eastAsia="es-AR"/>
        </w:rPr>
      </w:pPr>
      <w:r>
        <w:t>No obstante, c</w:t>
      </w:r>
      <w:r w:rsidR="00F2036A" w:rsidRPr="00E72B02">
        <w:t xml:space="preserve">omo señala CUENCA GÓMEZ, esta redacción resulta sumamente </w:t>
      </w:r>
      <w:r w:rsidR="00F2036A" w:rsidRPr="00E72B02">
        <w:rPr>
          <w:lang w:eastAsia="es-AR"/>
        </w:rPr>
        <w:t>confusa, y, además, “si bien supone una mejora de la situación anterior, debe considerarse insuficiente en tanto las personas con discapacidad que no tengan un reconocimiento administrativo de un grado de discapacidad del 33% parecen no ser beneficiarias de las medidas contra la discriminaci</w:t>
      </w:r>
      <w:r w:rsidR="00F2036A" w:rsidRPr="00E72B02">
        <w:t>ó</w:t>
      </w:r>
      <w:r w:rsidR="00F2036A" w:rsidRPr="00E72B02">
        <w:rPr>
          <w:lang w:eastAsia="es-AR"/>
        </w:rPr>
        <w:t xml:space="preserve">n”, al igual que no aclara el panorama sobre “si las personas </w:t>
      </w:r>
      <w:r w:rsidR="00F2036A" w:rsidRPr="00E72B02">
        <w:rPr>
          <w:lang w:eastAsia="es-AR"/>
        </w:rPr>
        <w:lastRenderedPageBreak/>
        <w:t>que no son ellas mismas personas con discapacidad, pero que sufren una discriminación por motivos de discapacidad quedan amparadas por sus disposiciones”.</w:t>
      </w:r>
      <w:r w:rsidR="00F2036A" w:rsidRPr="00E72B02">
        <w:rPr>
          <w:rStyle w:val="Refdenotaalpie"/>
          <w:rFonts w:eastAsia="Calibri"/>
          <w:sz w:val="22"/>
          <w:lang w:eastAsia="es-AR"/>
        </w:rPr>
        <w:footnoteReference w:id="276"/>
      </w:r>
      <w:r w:rsidR="00F2036A" w:rsidRPr="00E72B02">
        <w:rPr>
          <w:lang w:eastAsia="es-AR"/>
        </w:rPr>
        <w:t xml:space="preserve"> Estas cuestiones has sido advertidas por el Comité de la CDPD al gobierno Español, por lo que queda claro la fórmula utilizada por el </w:t>
      </w:r>
      <w:r w:rsidR="0074119B" w:rsidRPr="00E72B02">
        <w:rPr>
          <w:lang w:eastAsia="es-AR"/>
        </w:rPr>
        <w:t>Estado Parte</w:t>
      </w:r>
      <w:r w:rsidR="00F2036A" w:rsidRPr="00E72B02">
        <w:rPr>
          <w:lang w:eastAsia="es-AR"/>
        </w:rPr>
        <w:t xml:space="preserve">, no </w:t>
      </w:r>
      <w:r>
        <w:rPr>
          <w:lang w:eastAsia="es-AR"/>
        </w:rPr>
        <w:t>se presentaba</w:t>
      </w:r>
      <w:r w:rsidR="00F2036A" w:rsidRPr="00E72B02">
        <w:rPr>
          <w:lang w:eastAsia="es-AR"/>
        </w:rPr>
        <w:t xml:space="preserve"> adecuada para la implementación de</w:t>
      </w:r>
      <w:r>
        <w:rPr>
          <w:lang w:eastAsia="es-AR"/>
        </w:rPr>
        <w:t>l</w:t>
      </w:r>
      <w:r w:rsidR="00F2036A" w:rsidRPr="00E72B02">
        <w:rPr>
          <w:lang w:eastAsia="es-AR"/>
        </w:rPr>
        <w:t xml:space="preserve"> tratado en el derecho interno.</w:t>
      </w:r>
      <w:r w:rsidR="00F2036A" w:rsidRPr="00E72B02">
        <w:rPr>
          <w:rStyle w:val="Refdenotaalpie"/>
          <w:rFonts w:eastAsia="Calibri"/>
          <w:sz w:val="22"/>
          <w:lang w:eastAsia="es-AR"/>
        </w:rPr>
        <w:footnoteReference w:id="277"/>
      </w:r>
      <w:r w:rsidR="00F2036A" w:rsidRPr="00E72B02">
        <w:rPr>
          <w:lang w:eastAsia="es-AR"/>
        </w:rPr>
        <w:t xml:space="preserve"> </w:t>
      </w:r>
    </w:p>
    <w:p w:rsidR="00993DE4" w:rsidRDefault="00267DBF" w:rsidP="004551E9">
      <w:pPr>
        <w:rPr>
          <w:lang w:eastAsia="es-AR"/>
        </w:rPr>
      </w:pPr>
      <w:r w:rsidRPr="002E0355">
        <w:rPr>
          <w:lang w:eastAsia="es-AR"/>
        </w:rPr>
        <w:t xml:space="preserve">A raíz de ello, hacia fines de 2013 el gobierno español sanciona una nueva norma con el objetivo de </w:t>
      </w:r>
      <w:r w:rsidR="002C6B28" w:rsidRPr="002E0355">
        <w:rPr>
          <w:lang w:eastAsia="es-AR"/>
        </w:rPr>
        <w:t>unificar</w:t>
      </w:r>
      <w:r w:rsidRPr="002E0355">
        <w:rPr>
          <w:lang w:eastAsia="es-AR"/>
        </w:rPr>
        <w:t xml:space="preserve"> y actualizar la normativa de cabecera en materia de </w:t>
      </w:r>
      <w:r w:rsidR="002C6B28" w:rsidRPr="002E0355">
        <w:rPr>
          <w:lang w:eastAsia="es-AR"/>
        </w:rPr>
        <w:t>discapacidad</w:t>
      </w:r>
      <w:r w:rsidRPr="002E0355">
        <w:rPr>
          <w:lang w:eastAsia="es-AR"/>
        </w:rPr>
        <w:t xml:space="preserve"> por medio del Decreto Real Decreto Legislativo 1/2013 por el que se aprueba el texto refundido de la Ley General de Derechos de las personas con discapacidad y de su inclusión social en </w:t>
      </w:r>
      <w:r w:rsidRPr="002E0355">
        <w:rPr>
          <w:lang w:eastAsia="es-AR"/>
        </w:rPr>
        <w:lastRenderedPageBreak/>
        <w:t>Consejo de Ministros</w:t>
      </w:r>
      <w:r w:rsidR="002C6B28" w:rsidRPr="002E0355">
        <w:rPr>
          <w:lang w:eastAsia="es-AR"/>
        </w:rPr>
        <w:t>.</w:t>
      </w:r>
      <w:r w:rsidR="002E0355" w:rsidRPr="002E0355">
        <w:rPr>
          <w:rStyle w:val="Refdenotaalpie"/>
          <w:lang w:eastAsia="es-AR"/>
        </w:rPr>
        <w:footnoteReference w:id="278"/>
      </w:r>
      <w:r w:rsidR="002C6B28" w:rsidRPr="002E0355">
        <w:rPr>
          <w:lang w:eastAsia="es-AR"/>
        </w:rPr>
        <w:t xml:space="preserve"> El artículo</w:t>
      </w:r>
      <w:r w:rsidR="002C6B28">
        <w:rPr>
          <w:lang w:eastAsia="es-AR"/>
        </w:rPr>
        <w:t xml:space="preserve"> </w:t>
      </w:r>
      <w:r w:rsidR="002E0355">
        <w:rPr>
          <w:lang w:eastAsia="es-AR"/>
        </w:rPr>
        <w:t>4 se aboca a regular jurídicamente el concepto de “persona con discapacidad” y lo hace por medio de una doble perspectiva. En primer lugar, por medio de un concepto amplio y flexible que prácticamente reproduce la definición de persona con discapacidad de la CDPD.</w:t>
      </w:r>
      <w:r w:rsidR="002E0355">
        <w:rPr>
          <w:rStyle w:val="Refdenotaalpie"/>
          <w:lang w:eastAsia="es-AR"/>
        </w:rPr>
        <w:footnoteReference w:id="279"/>
      </w:r>
      <w:r w:rsidR="002E0355">
        <w:rPr>
          <w:lang w:eastAsia="es-AR"/>
        </w:rPr>
        <w:t xml:space="preserve"> Pero en segundo lugar vuelve a reafirmar el criterio del 33% o más de minusvalía</w:t>
      </w:r>
      <w:r w:rsidR="002E0355">
        <w:rPr>
          <w:rStyle w:val="Refdenotaalpie"/>
          <w:lang w:eastAsia="es-AR"/>
        </w:rPr>
        <w:footnoteReference w:id="280"/>
      </w:r>
      <w:r w:rsidR="002E0355">
        <w:rPr>
          <w:lang w:eastAsia="es-AR"/>
        </w:rPr>
        <w:t xml:space="preserve"> aunque, en esta ocasión, la norma española parece aclarar (no en términos suficientemente claros) que dicha consideración se aplica exclusivamente respecto de prestaciones sociales o de medidas de acción positiva.</w:t>
      </w:r>
      <w:r w:rsidR="00993DE4">
        <w:rPr>
          <w:lang w:eastAsia="es-AR"/>
        </w:rPr>
        <w:t xml:space="preserve"> </w:t>
      </w:r>
    </w:p>
    <w:p w:rsidR="00267DBF" w:rsidRDefault="00993DE4" w:rsidP="004551E9">
      <w:pPr>
        <w:rPr>
          <w:lang w:eastAsia="es-AR"/>
        </w:rPr>
      </w:pPr>
      <w:r>
        <w:rPr>
          <w:lang w:eastAsia="es-AR"/>
        </w:rPr>
        <w:t>Esta doble perspectiva parece inevitable en tanto que los Estados Partes pueden alegar con cierta razonabilidad que el acceso a prestaciones o a medidas de acción positiva requiere de una tipificación jurídica restrictiva, mientras que el acceso a las medidas antidiscriminatorias requiere de una tipificación amplia y que cubra, como se ha señalado anteriormente, cualquier discriminación “por motivo” de discapacidad. Sin embargo dicha diferenciación se torna en la práctica altamente compleja y pude dar lugar a injusticias. Como destaca ASIS</w:t>
      </w:r>
      <w:r w:rsidR="00121735">
        <w:rPr>
          <w:lang w:eastAsia="es-AR"/>
        </w:rPr>
        <w:t xml:space="preserve"> ROIG</w:t>
      </w:r>
      <w:r>
        <w:rPr>
          <w:lang w:eastAsia="es-AR"/>
        </w:rPr>
        <w:t>, frente a la perspectiva adoptada por la normativa española “</w:t>
      </w:r>
      <w:r w:rsidRPr="00993DE4">
        <w:rPr>
          <w:i/>
          <w:lang w:eastAsia="es-AR"/>
        </w:rPr>
        <w:t xml:space="preserve">se puede alegar la necesidad de establecer criterios para el acceso a unas prestaciones y que de eso se trata cuando se plantea el 33 por ciento. Sin embargo, si es así no hay razón para incluirlo en la </w:t>
      </w:r>
      <w:r w:rsidRPr="00993DE4">
        <w:rPr>
          <w:i/>
          <w:lang w:eastAsia="es-AR"/>
        </w:rPr>
        <w:lastRenderedPageBreak/>
        <w:t>definición de persona con discapacidad (debiéndose llevar en todo caso al ámbito de las prestaciones concretas) y, además, como criterio para las prestaciones, debería adaptarse a las circunstancias concretas y a los diferentes contextos (la Ley sí que presta atención a las circunstancias concretas cuando se refiere a las medidas de acción positiva afirmando: “Las normas que regulen los beneficios o medidas de acción positiva podrán determinar los requisitos específicos para acceder a los mismos”)</w:t>
      </w:r>
      <w:r>
        <w:rPr>
          <w:lang w:eastAsia="es-AR"/>
        </w:rPr>
        <w:t>”.</w:t>
      </w:r>
      <w:r>
        <w:rPr>
          <w:rStyle w:val="Refdenotaalpie"/>
          <w:lang w:eastAsia="es-AR"/>
        </w:rPr>
        <w:footnoteReference w:id="281"/>
      </w:r>
      <w:r>
        <w:rPr>
          <w:lang w:eastAsia="es-AR"/>
        </w:rPr>
        <w:t xml:space="preserve">  </w:t>
      </w:r>
      <w:r w:rsidR="002E0355">
        <w:rPr>
          <w:lang w:eastAsia="es-AR"/>
        </w:rPr>
        <w:t xml:space="preserve"> </w:t>
      </w:r>
    </w:p>
    <w:p w:rsidR="00F2036A" w:rsidRPr="00E72B02" w:rsidRDefault="00F2036A" w:rsidP="004551E9">
      <w:pPr>
        <w:rPr>
          <w:lang w:val="es-ES_tradnl"/>
        </w:rPr>
      </w:pPr>
      <w:r w:rsidRPr="00E72B02">
        <w:rPr>
          <w:lang w:eastAsia="es-AR"/>
        </w:rPr>
        <w:t xml:space="preserve"> </w:t>
      </w:r>
    </w:p>
    <w:p w:rsidR="00F2036A" w:rsidRPr="00E52D11" w:rsidRDefault="00F2036A" w:rsidP="00E52D11">
      <w:pPr>
        <w:pStyle w:val="TITULO9"/>
        <w:rPr>
          <w:sz w:val="24"/>
        </w:rPr>
      </w:pPr>
      <w:r w:rsidRPr="00E52D11">
        <w:rPr>
          <w:sz w:val="24"/>
        </w:rPr>
        <w:t>3.4 El propósito de la Convención: La Igualdad y la no discriminación como columna vertebral del tratado</w:t>
      </w:r>
    </w:p>
    <w:p w:rsidR="00F2036A" w:rsidRPr="00E72B02" w:rsidRDefault="00F2036A" w:rsidP="004551E9">
      <w:pPr>
        <w:rPr>
          <w:lang w:val="es-ES_tradnl"/>
        </w:rPr>
      </w:pPr>
    </w:p>
    <w:p w:rsidR="00F2036A" w:rsidRPr="00E72B02" w:rsidRDefault="00F2036A" w:rsidP="004551E9">
      <w:r w:rsidRPr="00E72B02">
        <w:rPr>
          <w:lang w:val="es-ES_tradnl"/>
        </w:rPr>
        <w:t>El</w:t>
      </w:r>
      <w:r w:rsidRPr="00E72B02">
        <w:t xml:space="preserve"> propósito de la CDPD conforme lo señala el Artículo 1 es: “promover, proteger y asegurar el goce pleno y en condiciones de igualdad de todos los derechos humanos y libertades fundamentales por todas las personas con discapacidad, y promover el respeto de su dignidad inherente”.</w:t>
      </w:r>
    </w:p>
    <w:p w:rsidR="00F2036A" w:rsidRPr="00E72B02" w:rsidRDefault="00F2036A" w:rsidP="004551E9">
      <w:r w:rsidRPr="00E72B02">
        <w:t xml:space="preserve">En aplicación del principio de no discriminación, uno de los objetivos fundamentales de la CDPD ha sido </w:t>
      </w:r>
      <w:r w:rsidRPr="00E72B02">
        <w:rPr>
          <w:i/>
          <w:iCs/>
        </w:rPr>
        <w:t>adaptar</w:t>
      </w:r>
      <w:r w:rsidRPr="00E72B02">
        <w:t xml:space="preserve"> las normas pertinentes de los Tratados de derechos humanos existentes, al contexto específico de la discapacidad. Ello significa el establecimiento de los mecanismos para garantizar el ejercicio de dichos derechos, por parte de las personas con discapacidad, sin discriminación y en igualdad de oportunidades que el resto de personas.</w:t>
      </w:r>
      <w:r w:rsidRPr="00E72B02">
        <w:rPr>
          <w:rStyle w:val="Refdenotaalpie"/>
          <w:rFonts w:eastAsia="Calibri"/>
          <w:lang w:val="es-ES"/>
        </w:rPr>
        <w:footnoteReference w:id="282"/>
      </w:r>
      <w:r w:rsidRPr="00E72B02">
        <w:t xml:space="preserve"> </w:t>
      </w:r>
    </w:p>
    <w:p w:rsidR="00F2036A" w:rsidRPr="00E72B02" w:rsidRDefault="00F2036A" w:rsidP="004551E9">
      <w:r w:rsidRPr="00E72B02">
        <w:rPr>
          <w:lang w:val="es-ES"/>
        </w:rPr>
        <w:lastRenderedPageBreak/>
        <w:t xml:space="preserve">Pero ello fue objeto de intensos debates durante el proceso de negociación. </w:t>
      </w:r>
      <w:r w:rsidRPr="00E72B02">
        <w:t xml:space="preserve">Algunas Delegaciones y expertos entendían que, como el fin de este instrumento no era reconocer los derechos humanos de las personas con discapacidad, dado que ello ya se encontraba previamente reconocido en los Tratados de Derechos humanos anteriores, </w:t>
      </w:r>
      <w:smartTag w:uri="urn:schemas-microsoft-com:office:smarttags" w:element="PersonName">
        <w:smartTagPr>
          <w:attr w:name="ProductID" w:val="la Convenci￳n"/>
        </w:smartTagPr>
        <w:r w:rsidRPr="00E72B02">
          <w:t>la Convención</w:t>
        </w:r>
      </w:smartTag>
      <w:r w:rsidRPr="00E72B02">
        <w:t xml:space="preserve"> se debía limitar  a contener cláusulas generales de no discriminación.</w:t>
      </w:r>
      <w:r w:rsidRPr="00E72B02">
        <w:rPr>
          <w:rStyle w:val="Refdenotaalpie"/>
          <w:rFonts w:eastAsia="Calibri"/>
        </w:rPr>
        <w:footnoteReference w:id="283"/>
      </w:r>
      <w:r w:rsidRPr="00E72B02">
        <w:t xml:space="preserve"> Por otro lado, se entendía que la mera cláusula de no discriminación era insuficiente y se abogaba respecto de la necesidad de una Convención que contuviera derechos sustantivos.</w:t>
      </w:r>
      <w:r w:rsidRPr="00E72B02">
        <w:rPr>
          <w:rStyle w:val="Refdenotaalpie"/>
          <w:rFonts w:eastAsia="Calibri"/>
        </w:rPr>
        <w:footnoteReference w:id="284"/>
      </w:r>
      <w:r w:rsidRPr="00E72B02">
        <w:t xml:space="preserve"> Una tercera opinión consideraba necesario un enfoque mixto, que contuviera ambas estrategias.</w:t>
      </w:r>
      <w:r w:rsidRPr="00E72B02">
        <w:rPr>
          <w:rStyle w:val="Refdenotaalpie"/>
          <w:rFonts w:eastAsia="Calibri"/>
        </w:rPr>
        <w:footnoteReference w:id="285"/>
      </w:r>
      <w:r w:rsidRPr="00E72B02">
        <w:t xml:space="preserve"> </w:t>
      </w:r>
    </w:p>
    <w:p w:rsidR="00F2036A" w:rsidRPr="00E72B02" w:rsidRDefault="00F2036A" w:rsidP="004551E9">
      <w:r w:rsidRPr="00E72B02">
        <w:t xml:space="preserve">Finalmente, la fórmula adoptada por la CDPD fue mixta o integral. Un Tratado que aborda la protección contra la discriminación, pero que, </w:t>
      </w:r>
      <w:r w:rsidRPr="00E72B02">
        <w:lastRenderedPageBreak/>
        <w:t>asimismo, provee herramientas a fin de que el goce y ejercicio de derechos de las personas con discapacidad no se quede solo sobre el papel, y resulte aplicable en cada derecho o área particular. Así, el Tratado aborda una serie de derechos sustantivos, como el derecho a la educación, el derecho a la salud, el derecho al empleo, entre otros, pero dichos derechos son abordados desde la perspectiva y desde la fórmula de la no discriminación, utilizando las herramientas del derecho antidiscriminatorio. El objeto, por tanto, no fue crear nuevos derechos, sino asegurar el uso del principio de no discriminación en cada uno de los derechos, para que puedan ser ejercidos en igualdad de oportunidades por las personas con discapacidad. De este modo, se debió identificar, a la hora de regular cada derecho, cuáles eran las necesidades extra que debían garantizarse, para lograr adaptar dichos derechos al contexto específico de la discapacidad.</w:t>
      </w:r>
      <w:r w:rsidRPr="00E72B02">
        <w:rPr>
          <w:rStyle w:val="Refdenotaalpie"/>
        </w:rPr>
        <w:footnoteReference w:id="286"/>
      </w:r>
      <w:r w:rsidRPr="00E72B02">
        <w:t xml:space="preserve"> </w:t>
      </w:r>
    </w:p>
    <w:p w:rsidR="00F2036A" w:rsidRPr="00E72B02" w:rsidRDefault="00F2036A" w:rsidP="004551E9">
      <w:pPr>
        <w:rPr>
          <w:rFonts w:eastAsia="Calibri"/>
        </w:rPr>
      </w:pPr>
      <w:r w:rsidRPr="00E72B02">
        <w:t xml:space="preserve">Por ello, se pude afirmar que nos encontramos frente a una Convención comprensiva, que por un lado reafirma la titularidad de las personas con discapacidad en el disfrute de los derechos humanos y libertades fundamentales. Pero que asimismo establece ciertas herramientas y garantías específicas para el goce y ejercicio de estos derechos en igualdad de condiciones que el resto de personas. </w:t>
      </w:r>
      <w:r w:rsidRPr="00E72B02">
        <w:rPr>
          <w:rFonts w:eastAsia="Calibri"/>
        </w:rPr>
        <w:t xml:space="preserve">Así el principal reto en la redacción de los derechos amparados por la CDPD fue el de incluir en cada derecho específico la perspectiva de igualdad y no discriminación para lo cual fue preciso identificar respecto de cada uno de ellos, las medidas necesarias para que tal derecho pueda ser ejercido en la realidad por parte de cada persona con discapacidad. Ello nos obliga a analizar la CDPD desde la perspectiva de la igualdad y no discriminación. </w:t>
      </w:r>
      <w:r w:rsidRPr="00E72B02">
        <w:t xml:space="preserve">Antes de leer este </w:t>
      </w:r>
      <w:r w:rsidRPr="00E72B02">
        <w:lastRenderedPageBreak/>
        <w:t>instrumento, debemos ponernos las gafas de la no discriminación y ajustar esta visión a cada derecho en concreto.</w:t>
      </w:r>
      <w:r w:rsidRPr="00E72B02">
        <w:rPr>
          <w:rStyle w:val="Refdenotaalpie"/>
          <w:lang w:val="es-ES"/>
        </w:rPr>
        <w:footnoteReference w:id="287"/>
      </w:r>
    </w:p>
    <w:p w:rsidR="00F2036A" w:rsidRPr="00E72B02" w:rsidRDefault="00F2036A" w:rsidP="004A69C7">
      <w:pPr>
        <w:pStyle w:val="Ttulo2"/>
      </w:pPr>
    </w:p>
    <w:p w:rsidR="00F2036A" w:rsidRPr="00B14FA4" w:rsidRDefault="00F2036A" w:rsidP="00B14FA4">
      <w:pPr>
        <w:pStyle w:val="TTULO90"/>
      </w:pPr>
      <w:r w:rsidRPr="00B14FA4">
        <w:t xml:space="preserve">3.4.1 Las múltiples perspectivas del principio general de igualdad y no discriminación </w:t>
      </w:r>
    </w:p>
    <w:p w:rsidR="00F2036A" w:rsidRPr="00E72B02" w:rsidRDefault="00F2036A" w:rsidP="004551E9"/>
    <w:p w:rsidR="00F2036A" w:rsidRPr="00E72B02" w:rsidRDefault="00F2036A" w:rsidP="004551E9">
      <w:r w:rsidRPr="00E72B02">
        <w:t>El principio general de igualdad y no discriminación en la CDPD se construye a partir de la interpretación sistemática de ciertos artículos y puntos del Preámbulo.</w:t>
      </w:r>
    </w:p>
    <w:p w:rsidR="00F2036A" w:rsidRPr="00E72B02" w:rsidRDefault="00F2036A" w:rsidP="004551E9">
      <w:r w:rsidRPr="00E72B02">
        <w:t>El derecho a la igualdad constituye un pilar básico de la estructura de la Convención, y tiene, por tanto, una aplicación transversal en todos sus artículos. Asimismo, hace varias referencias en el Preámbulo (que si bien no tiene el mismo valor jurídico que el texto propiamente dicho, es de gran valía a la hora de interpretar y aplicar el Tratado).</w:t>
      </w:r>
    </w:p>
    <w:p w:rsidR="00F2036A" w:rsidRPr="00E72B02" w:rsidRDefault="00F2036A" w:rsidP="004551E9">
      <w:r w:rsidRPr="00E72B02">
        <w:t>Ahora bien, respecto de los artículos que específicamente aluden a la igualdad y la no discriminación y que conforman su contenido, podemos decir que la CDPD contiene este principio desde diversas perspectivas.</w:t>
      </w:r>
    </w:p>
    <w:p w:rsidR="00F2036A" w:rsidRPr="00E72B02" w:rsidRDefault="00F2036A" w:rsidP="00745BB8">
      <w:pPr>
        <w:pStyle w:val="titulo90"/>
      </w:pPr>
    </w:p>
    <w:p w:rsidR="00F2036A" w:rsidRPr="00E72B02" w:rsidRDefault="00F2036A" w:rsidP="00745BB8">
      <w:pPr>
        <w:pStyle w:val="titulo90"/>
      </w:pPr>
      <w:r w:rsidRPr="00E72B02">
        <w:t>3.4.1.1 Igualdad como propósito del instrumento</w:t>
      </w:r>
    </w:p>
    <w:p w:rsidR="00F2036A" w:rsidRPr="00E72B02" w:rsidRDefault="00F2036A" w:rsidP="004551E9">
      <w:r w:rsidRPr="00E72B02">
        <w:t>Según el artículo 1 su objeto es “</w:t>
      </w:r>
      <w:r w:rsidRPr="00E72B02">
        <w:rPr>
          <w:i/>
        </w:rPr>
        <w:t xml:space="preserve">promover, proteger y asegurar el goce pleno y en condiciones de igualdad de los derechos humanos y libertades </w:t>
      </w:r>
      <w:r w:rsidRPr="00E72B02">
        <w:rPr>
          <w:i/>
        </w:rPr>
        <w:lastRenderedPageBreak/>
        <w:t>fundamentales</w:t>
      </w:r>
      <w:r w:rsidRPr="00E72B02">
        <w:t xml:space="preserve">”. Con lo cual, la perspectiva de igualdad y no discriminación está llamada a convertirse en un elemento central al momento de interpretar el tratado conforme lo señala el artículo 31 de la CVDT. </w:t>
      </w:r>
    </w:p>
    <w:p w:rsidR="00F2036A" w:rsidRPr="00E72B02" w:rsidRDefault="00F2036A" w:rsidP="00745BB8">
      <w:pPr>
        <w:pStyle w:val="titulo90"/>
      </w:pPr>
    </w:p>
    <w:p w:rsidR="00F2036A" w:rsidRPr="00E72B02" w:rsidRDefault="00F2036A" w:rsidP="00745BB8">
      <w:pPr>
        <w:pStyle w:val="titulo90"/>
      </w:pPr>
      <w:r w:rsidRPr="00E72B02">
        <w:t>3.4.1.2 Igualdad como principio y como valor</w:t>
      </w:r>
    </w:p>
    <w:p w:rsidR="00F2036A" w:rsidRPr="00E72B02" w:rsidRDefault="00F2036A" w:rsidP="004551E9">
      <w:r w:rsidRPr="00E72B02">
        <w:t xml:space="preserve">Según el artículo 3, que prevé como principios la no discriminación, la igualdad de oportunidades, la participación e inclusión plena y efectiva en la sociedad, el respeto por la diferencia y la aceptación de las personas con discapacidad como parte de la diversidad y la condición humana, y la accesibilidad. </w:t>
      </w:r>
    </w:p>
    <w:p w:rsidR="00F2036A" w:rsidRPr="00E72B02" w:rsidRDefault="00F2036A" w:rsidP="004551E9">
      <w:r w:rsidRPr="00E72B02">
        <w:t>Todas estas son diferentes facetas del contenido del principio de igualdad que deben ser muy tenidas en cuenta a la hora de interpretar y aplicar la Convención.</w:t>
      </w:r>
    </w:p>
    <w:p w:rsidR="00F2036A" w:rsidRPr="00E72B02" w:rsidRDefault="00F2036A" w:rsidP="004551E9">
      <w:pPr>
        <w:pStyle w:val="Ttulo3"/>
      </w:pPr>
    </w:p>
    <w:p w:rsidR="00F2036A" w:rsidRPr="00E72B02" w:rsidRDefault="00F2036A" w:rsidP="00745BB8">
      <w:pPr>
        <w:pStyle w:val="titulo90"/>
      </w:pPr>
      <w:r w:rsidRPr="00E72B02">
        <w:t xml:space="preserve">3.4.1.3 Igualdad como obligación </w:t>
      </w:r>
    </w:p>
    <w:p w:rsidR="00F2036A" w:rsidRPr="00E72B02" w:rsidRDefault="00F2036A" w:rsidP="004551E9">
      <w:r w:rsidRPr="00E72B02">
        <w:t>Conforme al Artículo 4(1) los Estados “se comprometen a asegurar y promover el pleno ejercicio de todos los derechos humanos y libertades fundamentales de las personas con discapacidad sin discriminación alguna por motivo de discapacidad”.</w:t>
      </w:r>
    </w:p>
    <w:p w:rsidR="00F2036A" w:rsidRPr="00E72B02" w:rsidRDefault="00F2036A" w:rsidP="004551E9">
      <w:r w:rsidRPr="00E72B02">
        <w:t>Pero más allá de la obligación de general del Artículo 4(1), en los párrafos siguientes la CDPD precisa y detalla aún más el contenido de dicha obligación al comprometer a los Estados Partes a: “</w:t>
      </w:r>
      <w:r w:rsidRPr="00E72B02">
        <w:rPr>
          <w:i/>
        </w:rPr>
        <w:t>tomar todas las medidas pertinentes, incluidas medidas  legislativas, para modificar o derogar leyes, reglamentos, costumbres y prácticas existentes que constituyan discriminación contra las personas con discapacidad</w:t>
      </w:r>
      <w:r w:rsidRPr="00E72B02">
        <w:t>” (Cfr. Artículo 4(1)(b)), y a “</w:t>
      </w:r>
      <w:r w:rsidRPr="00E72B02">
        <w:rPr>
          <w:i/>
        </w:rPr>
        <w:t>tomar todas las medidas pertinentes para que ninguna persona, organización o empresa privada discrimine por motivo de discapacidad</w:t>
      </w:r>
      <w:r w:rsidRPr="00E72B02">
        <w:t>” (Cfr. Artículo 4(1)(e).</w:t>
      </w:r>
    </w:p>
    <w:p w:rsidR="00F2036A" w:rsidRPr="00E72B02" w:rsidRDefault="00F2036A" w:rsidP="00745BB8">
      <w:pPr>
        <w:pStyle w:val="titulo90"/>
      </w:pPr>
    </w:p>
    <w:p w:rsidR="00F2036A" w:rsidRPr="00E72B02" w:rsidRDefault="00F2036A" w:rsidP="00745BB8">
      <w:pPr>
        <w:pStyle w:val="titulo90"/>
      </w:pPr>
      <w:r w:rsidRPr="00E72B02">
        <w:t>3.4.1.4 Igualdad como derecho</w:t>
      </w:r>
    </w:p>
    <w:p w:rsidR="00F2036A" w:rsidRPr="00E72B02" w:rsidRDefault="00F2036A" w:rsidP="004551E9">
      <w:r w:rsidRPr="00E72B02">
        <w:lastRenderedPageBreak/>
        <w:t>El artículo 5 de la CDPD recoge en sus cuatro incisos las diferentes dimensiones del derecho a la igualdad y la no discriminación.</w:t>
      </w:r>
    </w:p>
    <w:p w:rsidR="00F2036A" w:rsidRPr="00E72B02" w:rsidRDefault="00F2036A" w:rsidP="004551E9">
      <w:r w:rsidRPr="00E72B02">
        <w:t xml:space="preserve">En primer lugar el inciso 1 establece el deber del </w:t>
      </w:r>
      <w:r w:rsidR="0074119B" w:rsidRPr="00E72B02">
        <w:t>Estado Parte</w:t>
      </w:r>
      <w:r w:rsidRPr="00E72B02">
        <w:t xml:space="preserve"> de reconocer “que todas las personas son iguales ante la ley y en virtud de ella, y que tienen derecho a igual protección legal y a beneficiarse de la ley en igual medida sin discriminación alguna”. Se trata de una fórmula general de igualdad formal pero que tiene importantes consecuencias en su implementación al derecho interno de los Estados, puesto que la CDPD reafirma y obliga a los Estados Partes a visibilizar la perspectiva de la discapacidad como un colectivo o categoría específica a la par de otros grupos como las mujeres, los niños, las personas mayores, las minorías raciales etc. </w:t>
      </w:r>
    </w:p>
    <w:p w:rsidR="00F2036A" w:rsidRPr="00E72B02" w:rsidRDefault="00F2036A" w:rsidP="004551E9">
      <w:r w:rsidRPr="00E72B02">
        <w:t xml:space="preserve">En segundo lugar, el inciso 2 establece la obligación de los Estados Partes de prohibir “toda discriminación por motivo de discapacidad, y de garantizar a las personas una protección legal igual y efectiva contra la discriminación por cualquier motivo”. Se trata de la fórmula de igualdad de oportunidades la cual debe ser leída en conjunto con la definición de “discriminación por motivo de discapacidad” recogida en el Artículo 2. </w:t>
      </w:r>
    </w:p>
    <w:p w:rsidR="00F2036A" w:rsidRPr="00E72B02" w:rsidRDefault="00F2036A" w:rsidP="004551E9">
      <w:r w:rsidRPr="00E72B02">
        <w:t>En tercer lugar, el inciso 3 establece la obligación de los Estados Partes de “</w:t>
      </w:r>
      <w:r w:rsidRPr="00E72B02">
        <w:rPr>
          <w:i/>
        </w:rPr>
        <w:t>tomar las medidas pertinentes para asegurar la realización de ajustes razonables</w:t>
      </w:r>
      <w:r w:rsidRPr="00E72B02">
        <w:t>” a fin de promover la igualdad y eliminar la discriminación. Se trata de la formula de igualdad de resultados la cual debe ser leída en conjunto con la definición de “ajustes razonables” recogido en el Artículo 2.</w:t>
      </w:r>
      <w:r w:rsidRPr="00E72B02">
        <w:rPr>
          <w:rStyle w:val="Refdenotaalpie"/>
        </w:rPr>
        <w:footnoteReference w:id="288"/>
      </w:r>
      <w:r w:rsidRPr="00E72B02">
        <w:t xml:space="preserve">   </w:t>
      </w:r>
    </w:p>
    <w:p w:rsidR="00F2036A" w:rsidRPr="00E72B02" w:rsidRDefault="00F2036A" w:rsidP="004551E9">
      <w:r w:rsidRPr="00E72B02">
        <w:lastRenderedPageBreak/>
        <w:t>Finalmente el inciso 4 aclara que las medidas especificas que sean necesarias para acelerar o lograr la igualdad de hecho de las personas no serán consideradas discriminatorias. Se trata de la fórmula de discriminación positiva y que reconoce la necesidad, y el deber de los Estados Partes de adoptar medidas de carácter específica destinadas a prevenir o compensar las desventajas o especiales dificultades que tienen las personas con discapacidad en la inclusión y participación plena en los ámbitos de la vida política, económica, cultural y social.</w:t>
      </w:r>
      <w:r w:rsidRPr="00E72B02">
        <w:rPr>
          <w:rStyle w:val="Refdenotaalpie"/>
        </w:rPr>
        <w:footnoteReference w:id="289"/>
      </w:r>
      <w:r w:rsidRPr="00E72B02">
        <w:t xml:space="preserve"> </w:t>
      </w:r>
    </w:p>
    <w:p w:rsidR="00F2036A" w:rsidRPr="00E72B02" w:rsidRDefault="00F2036A" w:rsidP="004551E9">
      <w:pPr>
        <w:pStyle w:val="Ttulo3"/>
      </w:pPr>
    </w:p>
    <w:p w:rsidR="00F2036A" w:rsidRPr="00E72B02" w:rsidRDefault="00F2036A" w:rsidP="00745BB8">
      <w:pPr>
        <w:pStyle w:val="titulo90"/>
      </w:pPr>
      <w:r w:rsidRPr="00E72B02">
        <w:t>3.4.1.5 Igualdad como garantía</w:t>
      </w:r>
    </w:p>
    <w:p w:rsidR="00F2036A" w:rsidRPr="00E72B02" w:rsidRDefault="00F2036A" w:rsidP="004551E9">
      <w:r w:rsidRPr="00E72B02">
        <w:t>La CDPD no sólo consagra el derecho a la igualdad y la no discriminación, sino que también define la discriminación por motivo de discapacidad como "</w:t>
      </w:r>
      <w:r w:rsidRPr="00E72B02">
        <w:rPr>
          <w:i/>
        </w:rPr>
        <w:t>cualquier distinción, exclusión o restricción por motivos de discapacidad que tenga el propósito o el efecto de obstaculizar o dejar sin efecto el reconocimiento, goce o ejercicio, en igualdad de condiciones, de todos los derechos humanos y libertades fundamentales en los ámbitos político, económico, social, cultural, civil o de otro tipo</w:t>
      </w:r>
      <w:r w:rsidRPr="00E72B02">
        <w:t>”. Está claro que las medidas para mejorar el disfrute de los derechos de las personas con discapacidad deben abordarse desde el uso de los mecanismos de lucha contra la discriminación.</w:t>
      </w:r>
    </w:p>
    <w:p w:rsidR="00F2036A" w:rsidRPr="00E72B02" w:rsidRDefault="00F2036A" w:rsidP="004551E9"/>
    <w:p w:rsidR="00F2036A" w:rsidRPr="00B14FA4" w:rsidRDefault="00F2036A" w:rsidP="00B14FA4">
      <w:pPr>
        <w:pStyle w:val="TTULO90"/>
      </w:pPr>
      <w:r w:rsidRPr="00B14FA4">
        <w:lastRenderedPageBreak/>
        <w:t>3.4.2. La garantía de no-discriminación por motivo de discapacidad: ¿una herramienta efectiva para promover un cambio real?</w:t>
      </w:r>
    </w:p>
    <w:p w:rsidR="00F2036A" w:rsidRPr="00E72B02" w:rsidRDefault="00F2036A" w:rsidP="004551E9"/>
    <w:p w:rsidR="00F2036A" w:rsidRPr="00E72B02" w:rsidRDefault="00F2036A" w:rsidP="004551E9">
      <w:pPr>
        <w:rPr>
          <w:lang w:val="es-MX"/>
        </w:rPr>
      </w:pPr>
      <w:r w:rsidRPr="00E72B02">
        <w:rPr>
          <w:lang w:val="es-MX"/>
        </w:rPr>
        <w:t xml:space="preserve">El concepto de “discriminación por motivo de discapacidad” probablemente sea la disposición de toda la CDPD que mayor impacto debería tener en las legislaciones antidiscriminatorias en materia de discapacidad en los derechos nacionales, debido a que incluye un concepto amplio y adecuado basado en el modelo social de la discapacidad. </w:t>
      </w:r>
    </w:p>
    <w:p w:rsidR="00F2036A" w:rsidRPr="00E72B02" w:rsidRDefault="00F2036A" w:rsidP="004551E9">
      <w:pPr>
        <w:rPr>
          <w:lang w:val="es-MX"/>
        </w:rPr>
      </w:pPr>
      <w:r w:rsidRPr="00E72B02">
        <w:rPr>
          <w:lang w:val="es-MX"/>
        </w:rPr>
        <w:t xml:space="preserve">La definición de discriminación en la CDPD tiene varias particularidades que representan grandes logros, probablemente la principal, la de servir de base interpretativa de todos derechos de las personas con discapacidad en el derecho interno de cada Estado.  </w:t>
      </w:r>
    </w:p>
    <w:p w:rsidR="00F2036A" w:rsidRPr="00E72B02" w:rsidRDefault="00F2036A" w:rsidP="004551E9">
      <w:r w:rsidRPr="00E72B02">
        <w:t xml:space="preserve">Con lo cual, podría afirmarse que el concepto de </w:t>
      </w:r>
      <w:r w:rsidRPr="00E72B02">
        <w:rPr>
          <w:lang w:val="es-MX"/>
        </w:rPr>
        <w:t>discriminación por motivo de discapacidad</w:t>
      </w:r>
      <w:r w:rsidRPr="00E72B02">
        <w:t xml:space="preserve"> recogido en la CDPD tiene las siguientes características:</w:t>
      </w:r>
      <w:r w:rsidRPr="00E72B02">
        <w:tab/>
      </w:r>
    </w:p>
    <w:p w:rsidR="00F2036A" w:rsidRPr="00E72B02" w:rsidRDefault="00F2036A" w:rsidP="004551E9">
      <w:pPr>
        <w:pStyle w:val="Ttulo3"/>
      </w:pPr>
    </w:p>
    <w:p w:rsidR="00F2036A" w:rsidRPr="00E72B02" w:rsidRDefault="00F2036A" w:rsidP="00745BB8">
      <w:pPr>
        <w:pStyle w:val="titulo90"/>
      </w:pPr>
      <w:r w:rsidRPr="00E72B02">
        <w:t xml:space="preserve">3.4.2.1 Se centra en el resultado discriminatorio y no en la voluntad de la persona </w:t>
      </w:r>
    </w:p>
    <w:p w:rsidR="00F2036A" w:rsidRPr="00E72B02" w:rsidRDefault="00F2036A" w:rsidP="004551E9">
      <w:r w:rsidRPr="00E72B02">
        <w:t xml:space="preserve">Cuando la CDPD utiliza la frase “que tenga el propósito o el efecto” claramente denota que no se exige intencionalidad, sino que se tienen en cuenta los efectos adversos de la norma, práctica o conducta. Con ello la CDPD se aleja de las concepciones clásicas y restrictivas de la discriminación en las cuales es preciso demostrar una suerte de dolo del sujeto discriminador o al menos que exista </w:t>
      </w:r>
      <w:r w:rsidRPr="00E72B02">
        <w:rPr>
          <w:lang w:val="es-ES_tradnl"/>
        </w:rPr>
        <w:t>acción u omisión que tenga como propósito denigrar, injuriar, u ofender a una persona que pertenezca a un grupo de especial vulnerabilidad social o que haya sido históricamente discriminado.</w:t>
      </w:r>
    </w:p>
    <w:p w:rsidR="00F2036A" w:rsidRPr="00E72B02" w:rsidRDefault="00F2036A" w:rsidP="004551E9">
      <w:r w:rsidRPr="00E72B02">
        <w:t xml:space="preserve">Por ello, </w:t>
      </w:r>
      <w:r w:rsidR="00121735">
        <w:t xml:space="preserve">esta </w:t>
      </w:r>
      <w:r w:rsidRPr="00E72B02">
        <w:t xml:space="preserve">perspectiva de la CDPD </w:t>
      </w:r>
      <w:r w:rsidR="00121735">
        <w:t>que pone foco en el resultado sin importar la intención (una especie de responsabilidad objetiva</w:t>
      </w:r>
      <w:r w:rsidR="00807CDF">
        <w:t>)</w:t>
      </w:r>
      <w:r w:rsidR="00121735">
        <w:t xml:space="preserve"> </w:t>
      </w:r>
      <w:r w:rsidRPr="00E72B02">
        <w:t xml:space="preserve">no solo </w:t>
      </w:r>
      <w:r w:rsidRPr="00E72B02">
        <w:lastRenderedPageBreak/>
        <w:t xml:space="preserve">incluye las acciones y omisiones, sino que también reconoce que el resultado discriminatorio puede provenir de una conducta o práctica (discriminación actitudinal) o de una norma (discriminación normativa). </w:t>
      </w:r>
    </w:p>
    <w:p w:rsidR="00F2036A" w:rsidRPr="00E72B02" w:rsidRDefault="00F2036A" w:rsidP="004551E9">
      <w:pPr>
        <w:pStyle w:val="Ttulo3"/>
      </w:pPr>
    </w:p>
    <w:p w:rsidR="00F2036A" w:rsidRPr="00E72B02" w:rsidRDefault="00F2036A" w:rsidP="00745BB8">
      <w:pPr>
        <w:pStyle w:val="titulo90"/>
      </w:pPr>
      <w:r w:rsidRPr="00E72B02">
        <w:t xml:space="preserve">3.4.2.2 Abarca todo tipo de discriminación </w:t>
      </w:r>
    </w:p>
    <w:p w:rsidR="00F2036A" w:rsidRPr="00E72B02" w:rsidRDefault="00F2036A" w:rsidP="004551E9">
      <w:r w:rsidRPr="00E72B02">
        <w:t>Es decir, comprende tanto la discriminación directa como indirecta, así como la discriminación estructural, entre otras. La CDPD no hace una distinción entre discriminación directa e indirecta, pero adopta una fórmula donde claramente incluye ambos tipos de discriminaciones. Asimismo, también deja abierto a otro tipo de discriminaciones cuando al final del artículo 5 dice “</w:t>
      </w:r>
      <w:r w:rsidRPr="00E72B02">
        <w:rPr>
          <w:i/>
        </w:rPr>
        <w:t>incluye todas las formas de discriminación</w:t>
      </w:r>
      <w:r w:rsidRPr="00E72B02">
        <w:t>” donde podríamos incluir a las “</w:t>
      </w:r>
      <w:r w:rsidRPr="00E72B02">
        <w:rPr>
          <w:i/>
        </w:rPr>
        <w:t>represalias</w:t>
      </w:r>
      <w:r w:rsidRPr="00E72B02">
        <w:t xml:space="preserve">”.  </w:t>
      </w:r>
    </w:p>
    <w:p w:rsidR="00F2036A" w:rsidRPr="00E72B02" w:rsidRDefault="00F2036A" w:rsidP="00745BB8">
      <w:pPr>
        <w:pStyle w:val="titulo90"/>
      </w:pPr>
    </w:p>
    <w:p w:rsidR="00F2036A" w:rsidRPr="00E72B02" w:rsidRDefault="00F2036A" w:rsidP="00745BB8">
      <w:pPr>
        <w:pStyle w:val="titulo90"/>
      </w:pPr>
      <w:r w:rsidRPr="00E72B02">
        <w:t>3.4.2.3 Comprende la discriminación no solo a la persona con discapacidad, sino “por motivo de discapacidad”</w:t>
      </w:r>
    </w:p>
    <w:p w:rsidR="00F2036A" w:rsidRPr="00E72B02" w:rsidRDefault="00F2036A" w:rsidP="004551E9">
      <w:r w:rsidRPr="00E72B02">
        <w:t xml:space="preserve">De este modo, lo que prohíbe la norma es la “discriminación” “por motivos de” discapacidad, por lo que podría sostenerse que dicha formulación pone el acento sobre el fenómeno de la discriminación más que en las peculiaridades de la persona. </w:t>
      </w:r>
    </w:p>
    <w:p w:rsidR="00F2036A" w:rsidRPr="00E72B02" w:rsidRDefault="00F2036A" w:rsidP="004551E9">
      <w:r w:rsidRPr="00E72B02">
        <w:t xml:space="preserve">Conforme a lo anterior, las personas pueden ser discriminadas “por motivo de” discapacidad, no teniendo ellas mismas una discapacidad. Y ello se puede generar en al menos tres situaciones determinadas: </w:t>
      </w:r>
    </w:p>
    <w:p w:rsidR="00F2036A" w:rsidRPr="00E72B02" w:rsidRDefault="00F2036A" w:rsidP="004551E9">
      <w:pPr>
        <w:pStyle w:val="Prrafodelista"/>
      </w:pPr>
      <w:r w:rsidRPr="00E72B02">
        <w:t>Personas percibidas socialmente como personas con discapacidad.</w:t>
      </w:r>
    </w:p>
    <w:p w:rsidR="00F2036A" w:rsidRPr="00E72B02" w:rsidRDefault="00F2036A" w:rsidP="004551E9">
      <w:r w:rsidRPr="00E72B02">
        <w:t xml:space="preserve">A nivel nacional, la mayoría de los Estados que poseen algún tipo de normativa específica sobre discapacidad, suelen “certificar” -generalmente por medio de un procedimiento administrativo-, cuando una persona puede ser considerada legalmente como “persona con discapacidad” y como consecuencia de ello, susceptible de acceder a las prestaciones o derechos que el ordenamiento positivo les confiere. La modalidad de certificar mediante un documento puede generar grandes injusticias respecto de </w:t>
      </w:r>
      <w:r w:rsidRPr="00E72B02">
        <w:lastRenderedPageBreak/>
        <w:t>aquellas personas con no reúnen los requisitos legales para ser consideradas como “personas con discapacidad” pero que, sin embargo, son percibidas y tratadas socialmente como personas con discapacidad. La CDPD amplia el marco de protección contra la discriminación por motivo de discapacidad para cubrir todos estos casos.</w:t>
      </w:r>
      <w:r w:rsidRPr="00E72B02">
        <w:rPr>
          <w:rStyle w:val="Refdenotaalpie"/>
        </w:rPr>
        <w:footnoteReference w:id="290"/>
      </w:r>
      <w:r w:rsidRPr="00E72B02">
        <w:t xml:space="preserve"> </w:t>
      </w:r>
    </w:p>
    <w:p w:rsidR="00F2036A" w:rsidRPr="00E72B02" w:rsidRDefault="00F2036A" w:rsidP="004551E9">
      <w:pPr>
        <w:pStyle w:val="Prrafodelista"/>
      </w:pPr>
      <w:r w:rsidRPr="00E72B02">
        <w:t>Personas que han tenido o pueden tener una discapacidad</w:t>
      </w:r>
    </w:p>
    <w:p w:rsidR="00F2036A" w:rsidRPr="00E72B02" w:rsidRDefault="00F2036A" w:rsidP="004551E9">
      <w:r w:rsidRPr="00E72B02">
        <w:t>Los avances tecnológicos nos permiten hoy día predecir con cierto rigor científico la posibilidad de que un feto pueda nacer con ciertas discapacidades, así como que una persona física pueda desarrollar discapacidades de origen congénito en cierto momento de su vida. La CDPD protege este tipo de situaciones donde la persona no tiene en rigor una discapacidad, bien porque no ha nacido, bien porque no la ha desarrollado, pero que es tratada de un modo discriminatorio por la eventualidad de su discapacidad futura. En este punto cabe destacar e</w:t>
      </w:r>
      <w:r w:rsidRPr="00E72B02">
        <w:rPr>
          <w:rFonts w:eastAsia="Calibri"/>
        </w:rPr>
        <w:t xml:space="preserve">l </w:t>
      </w:r>
      <w:r w:rsidRPr="00E72B02">
        <w:t>Artículo</w:t>
      </w:r>
      <w:r w:rsidRPr="00E72B02">
        <w:rPr>
          <w:rFonts w:eastAsia="Calibri"/>
        </w:rPr>
        <w:t xml:space="preserve"> 21(1) de </w:t>
      </w:r>
      <w:smartTag w:uri="urn:schemas-microsoft-com:office:smarttags" w:element="PersonName">
        <w:smartTagPr>
          <w:attr w:name="ProductID" w:val="la Carta Europea"/>
        </w:smartTagPr>
        <w:r w:rsidRPr="00E72B02">
          <w:rPr>
            <w:rFonts w:eastAsia="Calibri"/>
          </w:rPr>
          <w:t>la Carta Europea</w:t>
        </w:r>
      </w:smartTag>
      <w:r w:rsidRPr="00E72B02">
        <w:rPr>
          <w:rFonts w:eastAsia="Calibri"/>
        </w:rPr>
        <w:t xml:space="preserve"> de Derechos Fundamentales, que incluye </w:t>
      </w:r>
      <w:r w:rsidRPr="00E72B02">
        <w:t xml:space="preserve">a las </w:t>
      </w:r>
      <w:r w:rsidRPr="00E72B02">
        <w:rPr>
          <w:rFonts w:eastAsia="Calibri"/>
        </w:rPr>
        <w:t>“características genéticas” como uno de los campos prohibidos de discriminación.</w:t>
      </w:r>
      <w:r w:rsidRPr="00E72B02">
        <w:rPr>
          <w:rStyle w:val="Refdenotaalpie"/>
          <w:rFonts w:eastAsia="Calibri"/>
          <w:iCs/>
        </w:rPr>
        <w:footnoteReference w:id="291"/>
      </w:r>
      <w:r w:rsidRPr="00E72B02">
        <w:t xml:space="preserve"> También la CDPD protege contra la discriminación a personas que hayan tenido una discapacidad en el pasado, por ejemplo, una discapacidad psicosocial. </w:t>
      </w:r>
    </w:p>
    <w:p w:rsidR="00F2036A" w:rsidRPr="00E72B02" w:rsidRDefault="00F2036A" w:rsidP="004551E9">
      <w:pPr>
        <w:pStyle w:val="Prrafodelista"/>
      </w:pPr>
      <w:r w:rsidRPr="00E72B02">
        <w:t>Personas asociadas o familiares de personas con discapacidad</w:t>
      </w:r>
    </w:p>
    <w:p w:rsidR="00F2036A" w:rsidRPr="00E72B02" w:rsidRDefault="00F2036A" w:rsidP="004551E9">
      <w:r w:rsidRPr="00E72B02">
        <w:lastRenderedPageBreak/>
        <w:t xml:space="preserve">Finalmente la CDPD también incluye dentro del marco antidiscriminatorio a aquellas personas que se encuentran asociadas a una persona con discapacidad, -bien sea porque trabajan para dicha persona, o le brindan cuidados o porque tienen una relación de amistad-, así como aquellas personas que tengan una relación de parentesco con una persona con discapacidad, -generalmente ascendencia o descendencia directa-. No son pocos los casos de madres o padres que son despedidos de sus trabajos, o directamente no son contratados por tener un hijo/hija o padre/madre con discapacidad. </w:t>
      </w:r>
    </w:p>
    <w:p w:rsidR="00F2036A" w:rsidRPr="00E72B02" w:rsidRDefault="00F2036A" w:rsidP="00745BB8">
      <w:pPr>
        <w:pStyle w:val="titulo90"/>
      </w:pPr>
    </w:p>
    <w:p w:rsidR="00F2036A" w:rsidRPr="00E72B02" w:rsidRDefault="00F2036A" w:rsidP="00745BB8">
      <w:pPr>
        <w:pStyle w:val="titulo90"/>
      </w:pPr>
      <w:r w:rsidRPr="00E72B02">
        <w:t>3.4.2.4 Reconoce que la denegación de ajustes razonables es un tipo de discriminación</w:t>
      </w:r>
    </w:p>
    <w:p w:rsidR="00F2036A" w:rsidRPr="00E72B02" w:rsidRDefault="00F2036A" w:rsidP="004551E9">
      <w:r w:rsidRPr="00E72B02">
        <w:t xml:space="preserve">La obligación de realizar ajustes razonables, y la expresa consideración de su denegación como discriminación, es una herramienta muy valiosa a los fines de garantizar la igualdad de oportunidades y la no discriminación de las personas con discapacidad. </w:t>
      </w:r>
    </w:p>
    <w:p w:rsidR="00F2036A" w:rsidRPr="00E72B02" w:rsidRDefault="00F2036A" w:rsidP="004551E9">
      <w:r w:rsidRPr="00E72B02">
        <w:t xml:space="preserve">Pese a la resistencia y las dudas de muchos gobiernos, la CDPD logró incorporar en la misma definición de “discriminación por motivo de discapacidad” la denegación de ajustes razonables como un tipo de discriminación. Y esto supone un gran avance en materia de igualdad y no discriminación en el ámbito de la discapacidad. Por primera vez un instrumento internacional de derechos humanos y de carácter vinculante reconoce que existe un deber positivo de los Estados y de la sociedad en general de tomar medidas específicas para ajustar el entorno de las personas con discapacidad y permitirles estar verdaderamente en un pie de igualdad con los demás. </w:t>
      </w:r>
    </w:p>
    <w:p w:rsidR="00F2036A" w:rsidRPr="00E72B02" w:rsidRDefault="00F2036A" w:rsidP="004551E9">
      <w:r w:rsidRPr="00E72B02">
        <w:t xml:space="preserve">El Artículo 2 de la CDPD define a los “ajustes razonables” como  “las modificaciones y adaptaciones necesarias y adecuadas que no impongan una carga desproporcionada o indebida, cuando se requieran en un caso particular, para garantizar a las personas con discapacidad el goce o </w:t>
      </w:r>
      <w:r w:rsidRPr="00E72B02">
        <w:lastRenderedPageBreak/>
        <w:t>ejercicio, en igualdad de condiciones con las demás, de todos los derechos humanos y libertades fundamentales”.</w:t>
      </w:r>
    </w:p>
    <w:p w:rsidR="00F2036A" w:rsidRPr="00E72B02" w:rsidRDefault="00F2036A" w:rsidP="004551E9">
      <w:r w:rsidRPr="00E72B02">
        <w:t>Sin perjuicio de la importancia de incorporar a la denegación de ajustes razonables como un tipo de discriminación, la CDPD no logra aclarar, del mismo modo, la relación existente entre las exigencias de accesibilidad y el principio de no discriminación, máxime cuando la propia CDPD recoge un artículo específico sobre este pilar fundamental de los derechos de las personas con discapacidad. El Artículo 9 sobre “Accesibilidad” comienza por señalar que “</w:t>
      </w:r>
      <w:r w:rsidRPr="00E72B02">
        <w:rPr>
          <w:i/>
        </w:rPr>
        <w:t>A fin de que las personas con discapacidad puedan vivir en forma independiente y participar plenamente en todos los aspectos de la vida, los Estados Partes adoptarán medidas pertinentes para asegurar el acceso de las personas con discapacidad, en igualdad de condiciones con las demás, al entorno físico, el transporte, la información y las comunicaciones, incluidos los sistemas y las tecnologías de la información y las comunicaciones, y a otros servicios e instalaciones abiertos al público o de uso público, tanto en zonas urbanas como rurales</w:t>
      </w:r>
      <w:r w:rsidRPr="00E72B02">
        <w:t xml:space="preserve">…”.  </w:t>
      </w:r>
    </w:p>
    <w:p w:rsidR="00F2036A" w:rsidRPr="00E72B02" w:rsidRDefault="00F2036A" w:rsidP="004551E9">
      <w:r w:rsidRPr="00E72B02">
        <w:t>Puede entenderse que los ajustes razonables son unas medidas específicas que tienen como objeto o meta la accesibilidad en casos particulares, pero que se adoptan cuando ésta no es posible desde la previsión del diseño universal, teniendo en consideración las necesidades específicas de una persona. La propia CDPD define “diseño universal” como “</w:t>
      </w:r>
      <w:r w:rsidRPr="00E72B02">
        <w:rPr>
          <w:i/>
        </w:rPr>
        <w:t>el diseño de productos, entornos, programas y servicios que puedan utilizar todas las personas, en la mayor medida posible, sin necesidad de adaptación ni diseño especializado</w:t>
      </w:r>
      <w:r w:rsidRPr="00E72B02">
        <w:t xml:space="preserve">” (Cfr. Artículo 2). </w:t>
      </w:r>
    </w:p>
    <w:p w:rsidR="00F2036A" w:rsidRPr="00E72B02" w:rsidRDefault="00F2036A" w:rsidP="004551E9">
      <w:r w:rsidRPr="00E72B02">
        <w:t xml:space="preserve">Esto significa, en gran medida, que el ajuste razonable surge a partir de la expresión de la necesidad concreta de una persona con discapacidad, excluida o limitada por la inaccesibilidad del entorno, o por la imposición de pautas mayoritarias que dificultan su acceso a un bien o servicio. En otras palabras, la accesibilidad sería la situación a la que se aspira, el diseño universal una estrategia a nivel general para alcanzarla, y los ajustes </w:t>
      </w:r>
      <w:r w:rsidRPr="00E72B02">
        <w:lastRenderedPageBreak/>
        <w:t>razonables una estrategia a nivel particular, cuando no ha sido posible prever desde el diseño universal.</w:t>
      </w:r>
      <w:r w:rsidRPr="00E72B02">
        <w:rPr>
          <w:rStyle w:val="Refdenotaalpie"/>
        </w:rPr>
        <w:footnoteReference w:id="292"/>
      </w:r>
    </w:p>
    <w:p w:rsidR="00F2036A" w:rsidRPr="00E72B02" w:rsidRDefault="00F2036A" w:rsidP="004551E9">
      <w:r w:rsidRPr="00E72B02">
        <w:t xml:space="preserve">Mientras la CDPD parece dejar claro que la denegación de ajustes razonables habilita a la persona con discapacidad a reclamar su cumplimiento por vía del derecho antidiscriminatorio, no parece que la misma vía pueda seguida ante la inaccesibilidad del entorno, de los productos o de los servicios. Pareciera como si la CDPD hubiera dado el paso a reconocer el derecho subjetivo de toda persona con discapacidad a los ajustes razonables, pero no hiciera lo propio ante la falta de accesibilidad. </w:t>
      </w:r>
    </w:p>
    <w:p w:rsidR="00F2036A" w:rsidRPr="00E72B02" w:rsidRDefault="00F2036A" w:rsidP="004551E9">
      <w:r w:rsidRPr="00E72B02">
        <w:t>La Convención prevé la discriminación por ausencia de accesibilidad en la misma definición de discriminación por motivo de discapacidad (de manera implícita) y al momento de establecer que el incumplimiento de la obligación de realizar un ajuste razonable es discriminación (de manera expresa).</w:t>
      </w:r>
    </w:p>
    <w:p w:rsidR="00F2036A" w:rsidRPr="00E72B02" w:rsidRDefault="00F2036A" w:rsidP="004551E9">
      <w:r w:rsidRPr="00E72B02">
        <w:t>Por tanto, si una persona con discapacidad viera restringido, limitado o impedido el goce o ejercicio de cualquier derecho en igualdad de condiciones con el resto de ciudadanos, en razón de su discapacidad – por falta de accesibilidad-, podría acudir a los tribunales a través de dicha garantía. Es decir, por violación del derecho a la igualdad.</w:t>
      </w:r>
    </w:p>
    <w:p w:rsidR="00F2036A" w:rsidRPr="00E72B02" w:rsidRDefault="00F2036A" w:rsidP="004551E9">
      <w:r w:rsidRPr="00E72B02">
        <w:t xml:space="preserve">La distinción que se propone va más allá de una mera cuestión semántica ya que tiene importantes consecuencias jurídicas. </w:t>
      </w:r>
    </w:p>
    <w:p w:rsidR="00F2036A" w:rsidRPr="00E72B02" w:rsidRDefault="00F2036A" w:rsidP="004551E9">
      <w:r w:rsidRPr="00E72B02">
        <w:t xml:space="preserve">Cuando el Estado fija unas condiciones de accesibilidad, en dicho acto está evaluando la razonabilidad y la proporcionalidad de la exigencia. Por ello, una vez aprobado legalmente las condiciones no cabría en el obligado a </w:t>
      </w:r>
      <w:r w:rsidRPr="00E72B02">
        <w:lastRenderedPageBreak/>
        <w:t>cumplirlas excepción alguna basada en la razonabilidad o proporcionalidad (entre otras cuestiones, no podría alegar que la carga es desproporcionada o indebida)</w:t>
      </w:r>
    </w:p>
    <w:p w:rsidR="00F2036A" w:rsidRPr="00E72B02" w:rsidRDefault="00F2036A" w:rsidP="004551E9">
      <w:r w:rsidRPr="00E72B02">
        <w:t xml:space="preserve">En cambio, en materia de ajustes, al aplicarse a una persona particular y en un caso concreto, las consideraciones de razonabilidad y proporcionalidad pueden legalmente discutirse.  </w:t>
      </w:r>
    </w:p>
    <w:p w:rsidR="00F2036A" w:rsidRPr="00E72B02" w:rsidRDefault="00F2036A" w:rsidP="004551E9">
      <w:pPr>
        <w:pStyle w:val="Ttulo3"/>
      </w:pPr>
    </w:p>
    <w:p w:rsidR="00F2036A" w:rsidRPr="00E72B02" w:rsidRDefault="00F2036A" w:rsidP="00745BB8">
      <w:pPr>
        <w:pStyle w:val="titulo90"/>
      </w:pPr>
      <w:r w:rsidRPr="00E72B02">
        <w:t>3.4.2.5 La no discriminación exige una especificidad para su efectiva aplicación</w:t>
      </w:r>
    </w:p>
    <w:p w:rsidR="00F2036A" w:rsidRPr="00E72B02" w:rsidRDefault="00F2036A" w:rsidP="004551E9">
      <w:r w:rsidRPr="00E72B02">
        <w:t xml:space="preserve">El concepto amplio y comprensivo de no-discriminación de la CDPD demanda una especificidad al momento de que dicho concepto es aplicado en un ámbito concreto. Es decir, que requiere de una tarea positiva por parte del Estado de especificar las medidas necesarias a cada ámbito para lograr la igualdad. </w:t>
      </w:r>
    </w:p>
    <w:p w:rsidR="00F2036A" w:rsidRPr="00E72B02" w:rsidRDefault="00F2036A" w:rsidP="004551E9">
      <w:pPr>
        <w:rPr>
          <w:lang w:val="es-ES"/>
        </w:rPr>
      </w:pPr>
      <w:r w:rsidRPr="00E72B02">
        <w:t xml:space="preserve">Por ello, no basta con incluir una cláusula genérica de no-discriminación en cada ámbito de mayor influencia para la discapacidad como el empleo, la educación, la salud, el acceso a bienes y servicios, sino más bien especificar, como lo hace la CDPD, las medidas necesarias para equiparar las oportunidades. </w:t>
      </w:r>
    </w:p>
    <w:p w:rsidR="00F2036A" w:rsidRPr="00E72B02" w:rsidRDefault="00F2036A" w:rsidP="004551E9">
      <w:r w:rsidRPr="00E72B02">
        <w:t>De este modo y tomando en cuenta que “la discriminación contra cualquier persona por razón de su discapacidad constituye una vulneración de la dignidad y al valor inherentes del ser humano” la CDPD establece una serie de obligaciones internacionales hacia los Estados Partes tales como:</w:t>
      </w:r>
    </w:p>
    <w:p w:rsidR="00F2036A" w:rsidRPr="00E72B02" w:rsidRDefault="00F2036A" w:rsidP="004551E9">
      <w:pPr>
        <w:pStyle w:val="Prrafodelista"/>
      </w:pPr>
      <w:r w:rsidRPr="00E72B02">
        <w:t>Asegurar y promover el pleno ejercicio de todos los derechos humanos y las libertades fundamentales de las personas con discapacidad sin discriminación alguna por motivos de discapacidad</w:t>
      </w:r>
    </w:p>
    <w:p w:rsidR="00F2036A" w:rsidRPr="00E72B02" w:rsidRDefault="00F2036A" w:rsidP="004551E9">
      <w:pPr>
        <w:pStyle w:val="Prrafodelista"/>
      </w:pPr>
      <w:r w:rsidRPr="00E72B02">
        <w:t xml:space="preserve">Tomar todas las medidas pertinentes, incluidas medidas legislativas, para modificar o derogar leyes, reglamentos, costumbres y prácticas </w:t>
      </w:r>
      <w:r w:rsidRPr="00E72B02">
        <w:lastRenderedPageBreak/>
        <w:t>existentes que constituyan discriminación contra las personas con discapacidad;</w:t>
      </w:r>
    </w:p>
    <w:p w:rsidR="00F2036A" w:rsidRPr="00E72B02" w:rsidRDefault="00F2036A" w:rsidP="004551E9">
      <w:pPr>
        <w:pStyle w:val="Prrafodelista"/>
      </w:pPr>
      <w:r w:rsidRPr="00E72B02">
        <w:t>Reconocer que todas las personas son iguales ante la ley y en virtud de ella, y que tienen derecho a igual protección legal y a beneficiarse de la ley en igual medida sin discriminación alguna;</w:t>
      </w:r>
    </w:p>
    <w:p w:rsidR="00F2036A" w:rsidRPr="00E72B02" w:rsidRDefault="00F2036A" w:rsidP="004551E9">
      <w:pPr>
        <w:pStyle w:val="Prrafodelista"/>
      </w:pPr>
      <w:r w:rsidRPr="00E72B02">
        <w:t>Prohibir toda discriminación por motivos de discapacidad y garantizar a todas las personas con discapacidad protección legal igual y efectiva contra la discriminación por cualquier motivo;</w:t>
      </w:r>
    </w:p>
    <w:p w:rsidR="00F2036A" w:rsidRPr="00E72B02" w:rsidRDefault="00F2036A" w:rsidP="004551E9">
      <w:pPr>
        <w:pStyle w:val="Prrafodelista"/>
      </w:pPr>
      <w:r w:rsidRPr="00E72B02">
        <w:t>Adoptar todas las medidas pertinentes para asegurar la realización de ajustes razonables;</w:t>
      </w:r>
    </w:p>
    <w:p w:rsidR="00F2036A" w:rsidRPr="00E72B02" w:rsidRDefault="00F2036A" w:rsidP="004551E9">
      <w:pPr>
        <w:pStyle w:val="Prrafodelista"/>
      </w:pPr>
      <w:r w:rsidRPr="00E72B02">
        <w:t>No considerar discriminatorias las medidas específicas que sean necesarias para acelerar o lograr la igualdad de hecho de las personas con discapacidad;</w:t>
      </w:r>
    </w:p>
    <w:p w:rsidR="00F2036A" w:rsidRPr="00E72B02" w:rsidRDefault="00F2036A" w:rsidP="004551E9">
      <w:pPr>
        <w:pStyle w:val="Prrafodelista"/>
      </w:pPr>
      <w:r w:rsidRPr="00E72B02">
        <w:t xml:space="preserve">Adoptar medidas pertinentes para asegurar el acceso de las personas con discapacidad, en igualdad de condiciones con las demás, al entorno físico, el transporte, la información y las comunicaciones, incluidos los sistemas y las tecnologías de la información y las comunicaciones, y a otros servicios e instalaciones abiertos al público o de uso público, tanto en zonas urbanas como rurales. </w:t>
      </w:r>
    </w:p>
    <w:p w:rsidR="00F2036A" w:rsidRPr="00E72B02" w:rsidRDefault="00F2036A" w:rsidP="004551E9">
      <w:pPr>
        <w:pStyle w:val="Prrafodelista"/>
      </w:pPr>
      <w:r w:rsidRPr="00E72B02">
        <w:t>Luchar contra los estereotipos, los prejuicios y las prácticas nocivas respecto de las personas con discapacidad, incluidos los que se basan en el género o la edad, en todos los ámbitos de la vida.</w:t>
      </w:r>
    </w:p>
    <w:p w:rsidR="00F2036A" w:rsidRPr="00E72B02" w:rsidRDefault="00F2036A" w:rsidP="004551E9"/>
    <w:p w:rsidR="00F2036A" w:rsidRPr="00E52D11" w:rsidRDefault="002868F5" w:rsidP="00E52D11">
      <w:pPr>
        <w:pStyle w:val="TITULO9"/>
        <w:jc w:val="both"/>
        <w:rPr>
          <w:sz w:val="24"/>
        </w:rPr>
      </w:pPr>
      <w:r w:rsidRPr="00E52D11">
        <w:rPr>
          <w:sz w:val="24"/>
        </w:rPr>
        <w:t>3.5 Los p</w:t>
      </w:r>
      <w:r w:rsidR="00F2036A" w:rsidRPr="00E52D11">
        <w:rPr>
          <w:sz w:val="24"/>
        </w:rPr>
        <w:t>rincipios generales</w:t>
      </w:r>
    </w:p>
    <w:p w:rsidR="00F2036A" w:rsidRPr="00E72B02" w:rsidRDefault="00F2036A" w:rsidP="004551E9"/>
    <w:p w:rsidR="00F2036A" w:rsidRPr="00E72B02" w:rsidRDefault="00F2036A" w:rsidP="004551E9">
      <w:r w:rsidRPr="00E72B02">
        <w:lastRenderedPageBreak/>
        <w:t>Gerard QUINN señala metafóricamente que la CDPD nos proporciona una “brújula moral” para el cambio, y que los valores de dicha brújula, se encuentran recogidos en los principios generales del Artículo 3.</w:t>
      </w:r>
      <w:r w:rsidRPr="00E72B02">
        <w:rPr>
          <w:rStyle w:val="Refdenotaalpie"/>
          <w:lang w:val="es-ES"/>
        </w:rPr>
        <w:footnoteReference w:id="293"/>
      </w:r>
    </w:p>
    <w:p w:rsidR="00F2036A" w:rsidRPr="00E72B02" w:rsidRDefault="00F2036A" w:rsidP="004551E9">
      <w:r w:rsidRPr="00E72B02">
        <w:t xml:space="preserve">Lejos de ser una mera proclamación retórica los principios generales reflejan el cambio de paradigma de la CDPD hacia el modelo social, y sirven de base interpretativa para el resto de las disposiciones del tratado. Donde existan sombras o ambigüedades en la CDPD, las mismas deben ser resueltas a la luz de los principios generales. El artículo 12 es un claro ejemplo de cómo utilizar adecuadamente los principios para torcer la balanza hacia la interpretación más idónea con el modelo inspirador de la CDPD. </w:t>
      </w:r>
    </w:p>
    <w:p w:rsidR="00F2036A" w:rsidRPr="00E72B02" w:rsidRDefault="00F2036A" w:rsidP="004551E9">
      <w:r w:rsidRPr="00E72B02">
        <w:t>Y aunque no pueda sostenerse un orden de prioridad o jerarquía entre los principios, no resulta casual que en primer lugar la CDPD hable de la “dignidad inherente, la autonomía individual, incluida la libertad de tomar las propias decisiones, y la independencia de las personas” con discapacidad. Como observa MÉGRET, “la Convención hace del logro de la autonomía de las personas con discapacidad uno de sus principales objetivos”.</w:t>
      </w:r>
      <w:r w:rsidRPr="00E72B02">
        <w:rPr>
          <w:rStyle w:val="Refdenotaalpie"/>
          <w:lang w:val="es-ES"/>
        </w:rPr>
        <w:footnoteReference w:id="294"/>
      </w:r>
      <w:r w:rsidRPr="00E72B02">
        <w:t xml:space="preserve"> A pesar de que la autonomía es, esencialmente, la base desde donde se construye la lógica del discurso de los derechos, no es mencionada en ningún instrumento internacional de derechos humanos. Y la razón de ello, como bien apunta MÉGRET, es que de acuerdo con la clásica idea liberal, particularmente Kantiana, de los derechos, la autonomía se presume como el fundamento de dichos derechos, y por tanto, no es necesario especificarla.</w:t>
      </w:r>
      <w:r w:rsidRPr="00E72B02">
        <w:rPr>
          <w:rStyle w:val="Refdenotaalpie"/>
          <w:lang w:val="es-ES"/>
        </w:rPr>
        <w:footnoteReference w:id="295"/>
      </w:r>
      <w:r w:rsidRPr="00E72B02">
        <w:t xml:space="preserve"> </w:t>
      </w:r>
    </w:p>
    <w:p w:rsidR="00F2036A" w:rsidRPr="00E72B02" w:rsidRDefault="00F2036A" w:rsidP="004551E9">
      <w:r w:rsidRPr="00E72B02">
        <w:lastRenderedPageBreak/>
        <w:t>Sin embargo, la autonomía personal, ha sido históricamente, o al menos desde la ilustración, un bien negado y cercenado a las personas con discapacidad, en especial, a las personas con discapacidades intelectuales o mentales. Con lo cual construir un verdadero discurso de derechos, y que incluya a todas las personas con discapacidad, sin partir desde el reconocimiento de la autonomía, que por otro lado es lo que ha permitido construir la idea de dignidad humana desde Kant hasta muy reciente, no parece algo posible.</w:t>
      </w:r>
      <w:r w:rsidRPr="00E72B02">
        <w:rPr>
          <w:rStyle w:val="Refdenotaalpie"/>
          <w:lang w:val="es-ES"/>
        </w:rPr>
        <w:footnoteReference w:id="296"/>
      </w:r>
      <w:r w:rsidRPr="00E72B02">
        <w:t xml:space="preserve"> </w:t>
      </w:r>
    </w:p>
    <w:p w:rsidR="00F2036A" w:rsidRPr="00E72B02" w:rsidRDefault="00F2036A" w:rsidP="004551E9">
      <w:r w:rsidRPr="00E72B02">
        <w:t xml:space="preserve">Por ello, como sostiene DHANDA, la Convención reconoce la </w:t>
      </w:r>
      <w:r w:rsidR="00A12E2B">
        <w:t>autonomía moral</w:t>
      </w:r>
      <w:r w:rsidRPr="00E72B02">
        <w:t xml:space="preserve"> para que las personas con discapacidad puedan manejar sus propios asuntos. Y esta agencia no se encuentra basada en el paradigma de la independencia, sino en el de la interdependencia, el cual establece que capacidad y apoyos pueden coexistir. Este paradigma de la interdependencia que permite a la autonomía y los apoyos coexistir, supone un avance significativo que la Convención he realizado al momento de establecer un régimen de derechos para las personas con discapacidad.</w:t>
      </w:r>
      <w:r w:rsidRPr="00E72B02">
        <w:rPr>
          <w:rStyle w:val="Refdenotaalpie"/>
          <w:lang w:val="es-ES"/>
        </w:rPr>
        <w:footnoteReference w:id="297"/>
      </w:r>
      <w:r w:rsidRPr="00E72B02">
        <w:t xml:space="preserve">   </w:t>
      </w:r>
    </w:p>
    <w:p w:rsidR="00F2036A" w:rsidRPr="00E72B02" w:rsidRDefault="00F2036A" w:rsidP="004551E9">
      <w:r w:rsidRPr="00E72B02">
        <w:t xml:space="preserve">Más allá de las claras voces del Artículo 3, también es importante interpretar sus silencios. Ni en el Artículo 3, ni en el resto del tratado encontramos referencias hacia la idea de “protección” o de “mejor interés” de las personas con discapacidad. El Artículo 3 entiende que el mejor modo de </w:t>
      </w:r>
      <w:r w:rsidRPr="00E72B02">
        <w:lastRenderedPageBreak/>
        <w:t xml:space="preserve">mejorar la vida de las personas con discapacidad, no es “protegerlas”, sino “reconocer y garantizar” sus derechos. En otras palabras, existe sin duda alguna, un profundo mensaje en la Convención, esto es, que las personas con discapacidad no son “objetos” de cuidado, sino “sujetos” que gozan de derechos humanos en igualdad de condiciones con los demás.  </w:t>
      </w:r>
    </w:p>
    <w:p w:rsidR="00F2036A" w:rsidRPr="00E72B02" w:rsidRDefault="00F2036A" w:rsidP="004551E9">
      <w:r w:rsidRPr="00E72B02">
        <w:t xml:space="preserve">Por ello el valor fundamental de los principios como indicadores del cambio de paradigma. Si vemos el resto de los principios, los mismos parecen concatenarse entre sí, formando un circulo lógico y cerrado donde el objetivo final es muy claro: “la autonomía personal” más “los apoyos”. </w:t>
      </w:r>
    </w:p>
    <w:p w:rsidR="00F2036A" w:rsidRPr="00E72B02" w:rsidRDefault="00F2036A" w:rsidP="004551E9">
      <w:r w:rsidRPr="00E72B02">
        <w:t>Ahora bien, como destaca QUINN, hay que resistir "</w:t>
      </w:r>
      <w:r w:rsidRPr="00E72B02">
        <w:rPr>
          <w:i/>
        </w:rPr>
        <w:t>la tentación de la elegancia</w:t>
      </w:r>
      <w:r w:rsidRPr="00E72B02">
        <w:t>" o la suposición de que las palabras solas traerán el tipo de cambio que se necesita. No hay garantía de que los nuevos valores (valores muy viejos, pero nuevos en su aplicación a la discapacidad) que se receptan en el texto de la Convención serán  interiorizados y luego implementados. Habrá “resistencia”, sobre todo cuando los cambios necesarios se topen con las enraizadas formas de hacer las cosas.</w:t>
      </w:r>
      <w:r w:rsidRPr="00E72B02">
        <w:rPr>
          <w:rStyle w:val="Refdenotaalpie"/>
          <w:lang w:val="es-ES"/>
        </w:rPr>
        <w:footnoteReference w:id="298"/>
      </w:r>
    </w:p>
    <w:p w:rsidR="00F2036A" w:rsidRPr="00E72B02" w:rsidRDefault="00F2036A" w:rsidP="004551E9"/>
    <w:p w:rsidR="00F2036A" w:rsidRPr="00E52D11" w:rsidRDefault="00F2036A" w:rsidP="00E52D11">
      <w:pPr>
        <w:pStyle w:val="TITULO9"/>
        <w:jc w:val="both"/>
        <w:rPr>
          <w:sz w:val="24"/>
        </w:rPr>
      </w:pPr>
      <w:r w:rsidRPr="00E52D11">
        <w:rPr>
          <w:sz w:val="24"/>
        </w:rPr>
        <w:t>3.6 Obligaciones generales y transversales</w:t>
      </w:r>
    </w:p>
    <w:p w:rsidR="00F2036A" w:rsidRPr="00E72B02" w:rsidRDefault="00F2036A" w:rsidP="004551E9"/>
    <w:p w:rsidR="00F2036A" w:rsidRPr="00B14FA4" w:rsidRDefault="00F2036A" w:rsidP="00B14FA4">
      <w:pPr>
        <w:pStyle w:val="TTULO90"/>
      </w:pPr>
      <w:r w:rsidRPr="00B14FA4">
        <w:t>3.6.1 Obligaciones generales</w:t>
      </w:r>
    </w:p>
    <w:p w:rsidR="00F2036A" w:rsidRPr="00E72B02" w:rsidRDefault="00F2036A" w:rsidP="004551E9"/>
    <w:p w:rsidR="00F2036A" w:rsidRPr="00E72B02" w:rsidRDefault="00F2036A" w:rsidP="004551E9">
      <w:r w:rsidRPr="00E72B02">
        <w:t xml:space="preserve">A primera vista la inclusión del Artículo 4 sobre “obligaciones generales” en la CDPD parecería resultar contradictoria, o incluso contraproducente. </w:t>
      </w:r>
      <w:r w:rsidRPr="00E72B02">
        <w:lastRenderedPageBreak/>
        <w:t xml:space="preserve">¿Porqué si la CDPD recoge de forma pormenorizada, en incluso en muchos casos detallada, las obligaciones que los Estados Partes deben cumplir para garantizar los derechos de las personas con discapacidad resulta necesario un disposición como el Artículo 4? </w:t>
      </w:r>
    </w:p>
    <w:p w:rsidR="00F2036A" w:rsidRPr="00E72B02" w:rsidRDefault="00F2036A" w:rsidP="004551E9">
      <w:r w:rsidRPr="00E72B02">
        <w:t>Una primera respuesta podría ser que mientras el Artículo 4 recoge “obligaciones generales”, el resto de los artículos sobre derechos sustantivos recogen “obligaciones específicas”. Aunque esta respuesta es técnicamente acertada, no resuelve de forma práctica la necesidad de esta distinción. O incluso cabría cuestionarse sobre la diferencia jurídica existente entre una obligación general y una obligación específica a la luz del derecho internacional de los derechos humanos.</w:t>
      </w:r>
    </w:p>
    <w:p w:rsidR="00F2036A" w:rsidRPr="00E72B02" w:rsidRDefault="00F2036A" w:rsidP="004551E9">
      <w:r w:rsidRPr="00E72B02">
        <w:t>Como señala QUINN el Artículo 4 recoge obligaciones generales que están por encima, y más allá, de las obligaciones especificas contenidas en los artículos individuales.</w:t>
      </w:r>
      <w:r w:rsidRPr="00E72B02">
        <w:rPr>
          <w:rStyle w:val="Refdenotaalpie"/>
          <w:lang w:val="es-ES"/>
        </w:rPr>
        <w:footnoteReference w:id="299"/>
      </w:r>
      <w:r w:rsidRPr="00E72B02">
        <w:t xml:space="preserve"> En otras palabras, el Artículo 4 resume de un modo claro y preciso algunos aspectos fundamentales de la relación jurídica que la entrada en vigor del tratado genera respecto de cada </w:t>
      </w:r>
      <w:r w:rsidR="0074119B" w:rsidRPr="00E72B02">
        <w:t>Estado Parte</w:t>
      </w:r>
      <w:r w:rsidRPr="00E72B02">
        <w:t xml:space="preserve">, es decir, no pretende resumir el complejo listado de acciones u omisiones que cada Estado debe hacer, o no hacer, para dar cumplimiento con la CDPD, sino más bien, pretende aclarar algunas cuestiones jurídicas fundamentales que se presentan generalmente en el contexto del denominado “derecho internacional de los derechos humanos”. </w:t>
      </w:r>
    </w:p>
    <w:p w:rsidR="00F2036A" w:rsidRPr="00E72B02" w:rsidRDefault="00F2036A" w:rsidP="004551E9">
      <w:pPr>
        <w:rPr>
          <w:lang w:val="es-ES_tradnl" w:eastAsia="es-ES_tradnl"/>
        </w:rPr>
      </w:pPr>
      <w:r w:rsidRPr="00E72B02">
        <w:rPr>
          <w:lang w:val="es-ES_tradnl" w:eastAsia="es-ES_tradnl"/>
        </w:rPr>
        <w:t>En este sentido, el desarrollo de la jurisprudencia internacional en materia de derechos humanos,</w:t>
      </w:r>
      <w:r w:rsidRPr="00E72B02">
        <w:rPr>
          <w:rStyle w:val="Refdenotaalpie"/>
          <w:lang w:val="es-ES_tradnl" w:eastAsia="es-ES_tradnl"/>
        </w:rPr>
        <w:footnoteReference w:id="300"/>
      </w:r>
      <w:r w:rsidRPr="00E72B02">
        <w:rPr>
          <w:lang w:val="es-ES_tradnl" w:eastAsia="es-ES_tradnl"/>
        </w:rPr>
        <w:t xml:space="preserve"> la evolución de la doctrina,</w:t>
      </w:r>
      <w:r w:rsidRPr="00E72B02">
        <w:rPr>
          <w:rStyle w:val="Refdenotaalpie"/>
          <w:lang w:val="es-ES_tradnl" w:eastAsia="es-ES_tradnl"/>
        </w:rPr>
        <w:footnoteReference w:id="301"/>
      </w:r>
      <w:r w:rsidRPr="00E72B02">
        <w:rPr>
          <w:lang w:val="es-ES_tradnl" w:eastAsia="es-ES_tradnl"/>
        </w:rPr>
        <w:t xml:space="preserve"> y, sobre todo, en </w:t>
      </w:r>
      <w:r w:rsidRPr="00E72B02">
        <w:rPr>
          <w:lang w:val="es-ES_tradnl" w:eastAsia="es-ES_tradnl"/>
        </w:rPr>
        <w:lastRenderedPageBreak/>
        <w:t>virtud de la interdependencia, indivisibilidad y universalidad de los derechos humanos,</w:t>
      </w:r>
      <w:r w:rsidRPr="00E72B02">
        <w:rPr>
          <w:rStyle w:val="Refdenotaalpie"/>
          <w:lang w:val="es-ES_tradnl" w:eastAsia="es-ES_tradnl"/>
        </w:rPr>
        <w:footnoteReference w:id="302"/>
      </w:r>
      <w:r w:rsidRPr="00E72B02">
        <w:rPr>
          <w:lang w:val="es-ES_tradnl" w:eastAsia="es-ES_tradnl"/>
        </w:rPr>
        <w:t xml:space="preserve"> permite identificar tres tipos o niveles de obligaciones </w:t>
      </w:r>
      <w:r w:rsidRPr="00E72B02">
        <w:rPr>
          <w:lang w:val="es-ES_tradnl" w:eastAsia="es-ES_tradnl"/>
        </w:rPr>
        <w:lastRenderedPageBreak/>
        <w:t>internacionales en materia de derechos humanos, esto es, obligaciones de respeto, de protección y de realización.</w:t>
      </w:r>
      <w:r w:rsidR="00BD67D1" w:rsidRPr="00E72B02">
        <w:rPr>
          <w:rStyle w:val="Refdenotaalpie"/>
          <w:lang w:val="es-ES_tradnl" w:eastAsia="es-ES_tradnl"/>
        </w:rPr>
        <w:footnoteReference w:id="303"/>
      </w:r>
      <w:r w:rsidRPr="00E72B02">
        <w:rPr>
          <w:lang w:val="es-ES_tradnl" w:eastAsia="es-ES_tradnl"/>
        </w:rPr>
        <w:t xml:space="preserve">  </w:t>
      </w:r>
    </w:p>
    <w:p w:rsidR="00F2036A" w:rsidRPr="00E72B02" w:rsidRDefault="00F2036A" w:rsidP="004551E9">
      <w:pPr>
        <w:rPr>
          <w:lang w:val="es-ES_tradnl" w:eastAsia="es-ES_tradnl"/>
        </w:rPr>
      </w:pPr>
      <w:r w:rsidRPr="00E72B02">
        <w:rPr>
          <w:lang w:val="es-ES_tradnl" w:eastAsia="es-ES_tradnl"/>
        </w:rPr>
        <w:t>En primer lugar, la obligación del Estado de respetar los derechos respecto de los cuales se encuentra convencional o consuetudinariamente vinculado a reconocer. El carácter y contenido esencial de esta obligación ha sido aclarado por la jurisprudencia internacional,</w:t>
      </w:r>
      <w:r w:rsidRPr="00E72B02">
        <w:rPr>
          <w:rStyle w:val="Refdenotaalpie"/>
          <w:lang w:val="es-ES_tradnl" w:eastAsia="es-ES_tradnl"/>
        </w:rPr>
        <w:footnoteReference w:id="304"/>
      </w:r>
      <w:r w:rsidRPr="00E72B02">
        <w:rPr>
          <w:lang w:val="es-ES_tradnl" w:eastAsia="es-ES_tradnl"/>
        </w:rPr>
        <w:t xml:space="preserve"> y por órganos de control de derechos humanos.</w:t>
      </w:r>
      <w:r w:rsidRPr="00E72B02">
        <w:rPr>
          <w:rStyle w:val="Refdenotaalpie"/>
          <w:lang w:val="es-ES_tradnl" w:eastAsia="es-ES_tradnl"/>
        </w:rPr>
        <w:footnoteReference w:id="305"/>
      </w:r>
      <w:r w:rsidRPr="00E72B02">
        <w:rPr>
          <w:lang w:val="es-ES_tradnl" w:eastAsia="es-ES_tradnl"/>
        </w:rPr>
        <w:t xml:space="preserve"> En términos generales, se trata de una obligación de las llamadas de “</w:t>
      </w:r>
      <w:r w:rsidRPr="00E72B02">
        <w:rPr>
          <w:i/>
          <w:lang w:val="es-ES_tradnl" w:eastAsia="es-ES_tradnl"/>
        </w:rPr>
        <w:t>no-hacer</w:t>
      </w:r>
      <w:r w:rsidRPr="00E72B02">
        <w:rPr>
          <w:lang w:val="es-ES_tradnl" w:eastAsia="es-ES_tradnl"/>
        </w:rPr>
        <w:t xml:space="preserve">” ya que se exige del Estado principalmente una abstención en su accionar que pueda de algún modo menoscabar los derechos protegidos. Como destaca </w:t>
      </w:r>
      <w:r w:rsidRPr="00E72B02">
        <w:rPr>
          <w:caps/>
          <w:lang w:val="es-ES_tradnl" w:eastAsia="es-ES_tradnl"/>
        </w:rPr>
        <w:t>Dulitzky</w:t>
      </w:r>
      <w:r w:rsidRPr="00E72B02">
        <w:rPr>
          <w:lang w:val="es-ES_tradnl" w:eastAsia="es-ES_tradnl"/>
        </w:rPr>
        <w:t>, “</w:t>
      </w:r>
      <w:r w:rsidRPr="00E72B02">
        <w:rPr>
          <w:i/>
          <w:lang w:val="es-ES_tradnl" w:eastAsia="es-ES_tradnl"/>
        </w:rPr>
        <w:t>la obligación de respetar significa no violar por acción o por omisión alguno de los derechos reconocidos en las convenciones de derechos humanos</w:t>
      </w:r>
      <w:r w:rsidRPr="00E72B02">
        <w:rPr>
          <w:lang w:val="es-ES_tradnl" w:eastAsia="es-ES_tradnl"/>
        </w:rPr>
        <w:t>”.</w:t>
      </w:r>
      <w:r w:rsidRPr="00E72B02">
        <w:rPr>
          <w:rStyle w:val="Refdenotaalpie"/>
          <w:lang w:val="es-ES_tradnl" w:eastAsia="es-ES_tradnl"/>
        </w:rPr>
        <w:footnoteReference w:id="306"/>
      </w:r>
      <w:r w:rsidRPr="00E72B02">
        <w:rPr>
          <w:lang w:val="es-ES_tradnl" w:eastAsia="es-ES_tradnl"/>
        </w:rPr>
        <w:t xml:space="preserve"> La obligación de respetar los derechos reconocidos no debe asimilarse con la clásica división entre derechos civiles y derechos sociales, o derechos de primera y de segunda generación. Aunque, tradicionalmente se ha señalado al “</w:t>
      </w:r>
      <w:r w:rsidRPr="00E72B02">
        <w:rPr>
          <w:i/>
          <w:lang w:val="es-ES_tradnl" w:eastAsia="es-ES_tradnl"/>
        </w:rPr>
        <w:t>abstencionismo</w:t>
      </w:r>
      <w:r w:rsidRPr="00E72B02">
        <w:rPr>
          <w:lang w:val="es-ES_tradnl" w:eastAsia="es-ES_tradnl"/>
        </w:rPr>
        <w:t xml:space="preserve">” como un rasgo característico de los derechos civiles y </w:t>
      </w:r>
      <w:r w:rsidRPr="00E72B02">
        <w:rPr>
          <w:lang w:val="es-ES_tradnl" w:eastAsia="es-ES_tradnl"/>
        </w:rPr>
        <w:lastRenderedPageBreak/>
        <w:t xml:space="preserve">políticos, conforme destaca </w:t>
      </w:r>
      <w:r w:rsidRPr="00E72B02">
        <w:rPr>
          <w:caps/>
          <w:lang w:val="es-ES_tradnl" w:eastAsia="es-ES_tradnl"/>
        </w:rPr>
        <w:t>Higgins</w:t>
      </w:r>
      <w:r w:rsidRPr="00E72B02">
        <w:rPr>
          <w:lang w:val="es-ES_tradnl" w:eastAsia="es-ES_tradnl"/>
        </w:rPr>
        <w:t xml:space="preserve"> sobre la base una lectura más precisa de la jurisprudencia internacional, “</w:t>
      </w:r>
      <w:r w:rsidRPr="00E72B02">
        <w:rPr>
          <w:i/>
          <w:lang w:val="es-ES_tradnl" w:eastAsia="es-ES_tradnl"/>
        </w:rPr>
        <w:t>el concepto de obligaciones positivas forma, cada vez más frecuentemente, parte integrante de los requerimientos normativos de los derechos civiles y políticos</w:t>
      </w:r>
      <w:r w:rsidRPr="00E72B02">
        <w:rPr>
          <w:lang w:val="es-ES_tradnl" w:eastAsia="es-ES_tradnl"/>
        </w:rPr>
        <w:t>”.</w:t>
      </w:r>
      <w:r w:rsidRPr="00E72B02">
        <w:rPr>
          <w:rStyle w:val="Refdenotaalpie"/>
          <w:lang w:val="es-ES_tradnl" w:eastAsia="es-ES_tradnl"/>
        </w:rPr>
        <w:footnoteReference w:id="307"/>
      </w:r>
      <w:r w:rsidRPr="00E72B02">
        <w:rPr>
          <w:lang w:val="es-ES_tradnl" w:eastAsia="es-ES_tradnl"/>
        </w:rPr>
        <w:t xml:space="preserve">   </w:t>
      </w:r>
    </w:p>
    <w:p w:rsidR="00F2036A" w:rsidRPr="00E72B02" w:rsidRDefault="00F2036A" w:rsidP="004551E9">
      <w:pPr>
        <w:rPr>
          <w:lang w:val="es-ES_tradnl" w:eastAsia="es-ES_tradnl"/>
        </w:rPr>
      </w:pPr>
      <w:r w:rsidRPr="00E72B02">
        <w:rPr>
          <w:lang w:val="es-ES_tradnl" w:eastAsia="es-ES_tradnl"/>
        </w:rPr>
        <w:t>En segundo lugar, obligaciones del Estado de proteger el goce y pleno ejercicio de los derechos por parte de las personas que se encuentren bajo su jurisdicción.</w:t>
      </w:r>
      <w:r w:rsidRPr="00E72B02">
        <w:rPr>
          <w:rStyle w:val="Refdenotaalpie"/>
          <w:lang w:val="es-ES_tradnl" w:eastAsia="es-ES_tradnl"/>
        </w:rPr>
        <w:footnoteReference w:id="308"/>
      </w:r>
      <w:r w:rsidRPr="00E72B02">
        <w:rPr>
          <w:lang w:val="es-ES_tradnl" w:eastAsia="es-ES_tradnl"/>
        </w:rPr>
        <w:t xml:space="preserve"> La obligación de “</w:t>
      </w:r>
      <w:r w:rsidRPr="00E72B02">
        <w:rPr>
          <w:i/>
          <w:lang w:val="es-ES_tradnl" w:eastAsia="es-ES_tradnl"/>
        </w:rPr>
        <w:t>proteger</w:t>
      </w:r>
      <w:r w:rsidRPr="00E72B02">
        <w:rPr>
          <w:lang w:val="es-ES_tradnl" w:eastAsia="es-ES_tradnl"/>
        </w:rPr>
        <w:t>” sugiere que el Estado tiene la obligación de adoptar las medidas necesarias para asegurar el goce de los derechos humanos, lo que a su vez, interpretado a la luz de los disposiciones pertinentes de DIDH, supone una doble actuación. La primera de ellas, la obligación por parte del Estado de adoptar medidas preventivas tendentes a evitar la violación de derechos humanos,</w:t>
      </w:r>
      <w:r w:rsidRPr="00E72B02">
        <w:rPr>
          <w:rStyle w:val="Refdenotaalpie"/>
          <w:lang w:val="es-ES_tradnl" w:eastAsia="es-ES_tradnl"/>
        </w:rPr>
        <w:footnoteReference w:id="309"/>
      </w:r>
      <w:r w:rsidRPr="00E72B02">
        <w:rPr>
          <w:lang w:val="es-ES_tradnl" w:eastAsia="es-ES_tradnl"/>
        </w:rPr>
        <w:t xml:space="preserve"> y la segunda de ellas, la obligación de proveer remedios apropiados una vez que la violación ha </w:t>
      </w:r>
      <w:r w:rsidRPr="00E72B02">
        <w:rPr>
          <w:lang w:val="es-ES_tradnl" w:eastAsia="es-ES_tradnl"/>
        </w:rPr>
        <w:lastRenderedPageBreak/>
        <w:t>ocurrido.</w:t>
      </w:r>
      <w:r w:rsidRPr="00E72B02">
        <w:rPr>
          <w:rStyle w:val="Refdenotaalpie"/>
          <w:lang w:val="es-ES_tradnl" w:eastAsia="es-ES_tradnl"/>
        </w:rPr>
        <w:footnoteReference w:id="310"/>
      </w:r>
      <w:r w:rsidRPr="00E72B02">
        <w:rPr>
          <w:lang w:val="es-ES_tradnl" w:eastAsia="es-ES_tradnl"/>
        </w:rPr>
        <w:t xml:space="preserve"> En cuanto a la obligación preventiva los órganos de seguimiento de los Pactos de DIDH, han aclarado que no sólo se aplica respecto de derechos mínimos y básicos como la vida</w:t>
      </w:r>
      <w:r w:rsidRPr="00E72B02">
        <w:rPr>
          <w:rStyle w:val="Refdenotaalpie"/>
          <w:lang w:val="es-ES_tradnl" w:eastAsia="es-ES_tradnl"/>
        </w:rPr>
        <w:footnoteReference w:id="311"/>
      </w:r>
      <w:r w:rsidRPr="00E72B02">
        <w:rPr>
          <w:lang w:val="es-ES_tradnl" w:eastAsia="es-ES_tradnl"/>
        </w:rPr>
        <w:t xml:space="preserve"> o la integridad física o psíquica,</w:t>
      </w:r>
      <w:r w:rsidRPr="00E72B02">
        <w:rPr>
          <w:rStyle w:val="Refdenotaalpie"/>
          <w:lang w:val="es-ES_tradnl" w:eastAsia="es-ES_tradnl"/>
        </w:rPr>
        <w:footnoteReference w:id="312"/>
      </w:r>
      <w:r w:rsidRPr="00E72B02">
        <w:rPr>
          <w:lang w:val="es-ES_tradnl" w:eastAsia="es-ES_tradnl"/>
        </w:rPr>
        <w:t xml:space="preserve"> sino también respecto de derechos, tales como, el derecho a la intimidad,</w:t>
      </w:r>
      <w:r w:rsidRPr="00E72B02">
        <w:rPr>
          <w:rStyle w:val="Refdenotaalpie"/>
          <w:lang w:val="es-ES_tradnl" w:eastAsia="es-ES_tradnl"/>
        </w:rPr>
        <w:footnoteReference w:id="313"/>
      </w:r>
      <w:r w:rsidRPr="00E72B02">
        <w:rPr>
          <w:lang w:val="es-ES_tradnl" w:eastAsia="es-ES_tradnl"/>
        </w:rPr>
        <w:t xml:space="preserve"> al acceso a agua,</w:t>
      </w:r>
      <w:r w:rsidRPr="00E72B02">
        <w:rPr>
          <w:rStyle w:val="Refdenotaalpie"/>
          <w:lang w:val="es-ES_tradnl" w:eastAsia="es-ES_tradnl"/>
        </w:rPr>
        <w:footnoteReference w:id="314"/>
      </w:r>
      <w:r w:rsidRPr="00E72B02">
        <w:rPr>
          <w:lang w:val="es-ES_tradnl" w:eastAsia="es-ES_tradnl"/>
        </w:rPr>
        <w:t xml:space="preserve"> a la alimentación,</w:t>
      </w:r>
      <w:r w:rsidRPr="00E72B02">
        <w:rPr>
          <w:rStyle w:val="Refdenotaalpie"/>
          <w:lang w:val="es-ES_tradnl" w:eastAsia="es-ES_tradnl"/>
        </w:rPr>
        <w:footnoteReference w:id="315"/>
      </w:r>
      <w:r w:rsidRPr="00E72B02">
        <w:rPr>
          <w:lang w:val="es-ES_tradnl" w:eastAsia="es-ES_tradnl"/>
        </w:rPr>
        <w:t xml:space="preserve"> o a la salud.</w:t>
      </w:r>
      <w:r w:rsidRPr="00E72B02">
        <w:rPr>
          <w:rStyle w:val="Refdenotaalpie"/>
          <w:lang w:val="es-ES_tradnl" w:eastAsia="es-ES_tradnl"/>
        </w:rPr>
        <w:footnoteReference w:id="316"/>
      </w:r>
      <w:r w:rsidRPr="00E72B02">
        <w:rPr>
          <w:lang w:val="es-ES_tradnl" w:eastAsia="es-ES_tradnl"/>
        </w:rPr>
        <w:t xml:space="preserve"> En cuanto a la obligación de proveer remedios apropiados, se trata de una obligación que ha venido evolucionando gradualmente en los últimos tiempos desde una concepción restrictiva y de medios como lo es, la </w:t>
      </w:r>
      <w:r w:rsidRPr="00E72B02">
        <w:rPr>
          <w:lang w:val="es-ES_tradnl" w:eastAsia="es-ES_tradnl"/>
        </w:rPr>
        <w:lastRenderedPageBreak/>
        <w:t>garantía a una tutela judicial efectiva, a una concepción amplia, y de resultados, como lo es la garantía a una reparación plena.</w:t>
      </w:r>
      <w:r w:rsidRPr="00E72B02">
        <w:rPr>
          <w:rStyle w:val="Refdenotaalpie"/>
          <w:lang w:val="es-ES_tradnl" w:eastAsia="es-ES_tradnl"/>
        </w:rPr>
        <w:footnoteReference w:id="317"/>
      </w:r>
      <w:r w:rsidRPr="00E72B02">
        <w:rPr>
          <w:lang w:val="es-ES_tradnl" w:eastAsia="es-ES_tradnl"/>
        </w:rPr>
        <w:t xml:space="preserve">     </w:t>
      </w:r>
    </w:p>
    <w:p w:rsidR="00F2036A" w:rsidRPr="00E72B02" w:rsidRDefault="00F2036A" w:rsidP="004551E9">
      <w:pPr>
        <w:rPr>
          <w:lang w:val="es-ES_tradnl" w:eastAsia="es-ES_tradnl"/>
        </w:rPr>
      </w:pPr>
      <w:r w:rsidRPr="00E72B02">
        <w:rPr>
          <w:lang w:val="es-ES_tradnl" w:eastAsia="es-ES_tradnl"/>
        </w:rPr>
        <w:t>En tercer lugar, obligaciones del Estado de realizar los derechos reconocidos. Se trata de un expectativa positiva por parte del Estado de movilizar su maquinaria política hacia la realización de los derechos.  Esta realización supone un avance progresivo, lo que no implica, que los derechos reconocidos no sean exigibles, ya que los mismos parten de un estándar mínimo.</w:t>
      </w:r>
      <w:r w:rsidRPr="00E72B02">
        <w:rPr>
          <w:rStyle w:val="Refdenotaalpie"/>
          <w:lang w:val="es-ES_tradnl" w:eastAsia="es-ES_tradnl"/>
        </w:rPr>
        <w:footnoteReference w:id="318"/>
      </w:r>
      <w:r w:rsidRPr="00E72B02">
        <w:rPr>
          <w:lang w:val="es-ES_tradnl" w:eastAsia="es-ES_tradnl"/>
        </w:rPr>
        <w:t xml:space="preserve"> La satisfacción progresiva de los derechos humanos ha sido tradicionalmente vinculada a los derechos sociales, y ello se ha debido seguramente a la errónea idea de que sólo los derechos sociales requieren, para su satisfacción, de obligaciones positivas por parte del Estado.</w:t>
      </w:r>
      <w:r w:rsidRPr="00E72B02">
        <w:rPr>
          <w:rStyle w:val="Refdenotaalpie"/>
          <w:lang w:val="es-ES_tradnl" w:eastAsia="es-ES_tradnl"/>
        </w:rPr>
        <w:footnoteReference w:id="319"/>
      </w:r>
      <w:r w:rsidRPr="00E72B02">
        <w:rPr>
          <w:lang w:val="es-ES_tradnl" w:eastAsia="es-ES_tradnl"/>
        </w:rPr>
        <w:t xml:space="preserve">                                           </w:t>
      </w:r>
    </w:p>
    <w:p w:rsidR="00F2036A" w:rsidRPr="00E72B02" w:rsidRDefault="00F2036A" w:rsidP="004551E9">
      <w:pPr>
        <w:rPr>
          <w:lang w:val="es-ES_tradnl" w:eastAsia="es-ES_tradnl"/>
        </w:rPr>
      </w:pPr>
      <w:r w:rsidRPr="00E72B02">
        <w:rPr>
          <w:lang w:val="es-ES_tradnl" w:eastAsia="es-ES_tradnl"/>
        </w:rPr>
        <w:t>Mientras que por lo general la obligación de “respetar” tiene como principal cometido el evitar que sea el propio Estado el que viole los derechos humanos de las personas bajo su jurisdicción, las obligaciones de “proteger” y “satisfacer” tienen como principal cometido obligar al Es</w:t>
      </w:r>
      <w:r w:rsidR="003E789B" w:rsidRPr="00E72B02">
        <w:rPr>
          <w:lang w:val="es-ES_tradnl" w:eastAsia="es-ES_tradnl"/>
        </w:rPr>
        <w:t xml:space="preserve">tado a asumir un </w:t>
      </w:r>
      <w:r w:rsidR="003E789B" w:rsidRPr="00E72B02">
        <w:rPr>
          <w:lang w:val="es-ES_tradnl" w:eastAsia="es-ES_tradnl"/>
        </w:rPr>
        <w:lastRenderedPageBreak/>
        <w:t xml:space="preserve">papel activo, </w:t>
      </w:r>
      <w:r w:rsidRPr="00E72B02">
        <w:rPr>
          <w:lang w:val="es-ES_tradnl" w:eastAsia="es-ES_tradnl"/>
        </w:rPr>
        <w:t>bien sea para proteger a las personas bajo su jurisdicción para que las mismas no sean objeto de violaciones por parte de actores diferentes al propio Estado, o bien para que dichas personas alcancen un nivel de realización básico de sus derechos esenciales. El segundo y tercer nivel de obligaciones, a diferencia del primero, es de las llamadas de medios, es decir se exige una actuación diligente, pero no, un resultado concreto.</w:t>
      </w:r>
      <w:r w:rsidRPr="00E72B02">
        <w:rPr>
          <w:rStyle w:val="Refdenotaalpie"/>
          <w:lang w:val="es-ES_tradnl" w:eastAsia="es-ES_tradnl"/>
        </w:rPr>
        <w:footnoteReference w:id="320"/>
      </w:r>
      <w:r w:rsidRPr="00E72B02">
        <w:rPr>
          <w:lang w:val="es-ES_tradnl" w:eastAsia="es-ES_tradnl"/>
        </w:rPr>
        <w:t xml:space="preserve"> No obstante como destacan </w:t>
      </w:r>
      <w:r w:rsidRPr="00E72B02">
        <w:rPr>
          <w:caps/>
          <w:lang w:val="es-ES_tradnl" w:eastAsia="es-ES_tradnl"/>
        </w:rPr>
        <w:t>Abramovich y Courtis</w:t>
      </w:r>
      <w:r w:rsidRPr="00E72B02">
        <w:rPr>
          <w:lang w:val="es-ES_tradnl" w:eastAsia="es-ES_tradnl"/>
        </w:rPr>
        <w:t>, “</w:t>
      </w:r>
      <w:r w:rsidRPr="00E72B02">
        <w:rPr>
          <w:i/>
          <w:lang w:val="es-ES_tradnl" w:eastAsia="es-ES_tradnl"/>
        </w:rPr>
        <w:t>ninguno de estos niveles puede caracterizarse únicamente a través de las distinciones obligaciones positivas/obligaciones negativas, u obligaciones de resultado/obligaciones de medio, aunque ciertamente las obligaciones de respetar están fundamentalmente ligadas a obligaciones negativas o de abstención, y las obligaciones de proteger, asegurar y promover involucran un mayor activismo estatal, y por ende, un número mayor de obligaciones positivas o de conducta</w:t>
      </w:r>
      <w:r w:rsidRPr="00E72B02">
        <w:rPr>
          <w:lang w:val="es-ES_tradnl" w:eastAsia="es-ES_tradnl"/>
        </w:rPr>
        <w:t>”.</w:t>
      </w:r>
      <w:r w:rsidRPr="00E72B02">
        <w:rPr>
          <w:rStyle w:val="Refdenotaalpie"/>
          <w:lang w:val="es-ES_tradnl" w:eastAsia="es-ES_tradnl"/>
        </w:rPr>
        <w:footnoteReference w:id="321"/>
      </w:r>
      <w:r w:rsidRPr="00E72B02">
        <w:rPr>
          <w:lang w:val="es-ES_tradnl" w:eastAsia="es-ES_tradnl"/>
        </w:rPr>
        <w:t xml:space="preserve"> </w:t>
      </w:r>
    </w:p>
    <w:p w:rsidR="00F2036A" w:rsidRPr="00E72B02" w:rsidRDefault="00F2036A" w:rsidP="004551E9">
      <w:pPr>
        <w:rPr>
          <w:lang w:val="es-ES_tradnl" w:eastAsia="es-ES_tradnl"/>
        </w:rPr>
      </w:pPr>
      <w:r w:rsidRPr="00E72B02">
        <w:rPr>
          <w:lang w:val="es-ES_tradnl" w:eastAsia="es-ES_tradnl"/>
        </w:rPr>
        <w:t>Desde la perspectiva de las características propias y la tipología de la obligaciones internacional</w:t>
      </w:r>
      <w:r w:rsidR="00A12E2B">
        <w:rPr>
          <w:lang w:val="es-ES_tradnl" w:eastAsia="es-ES_tradnl"/>
        </w:rPr>
        <w:t>es</w:t>
      </w:r>
      <w:r w:rsidRPr="00E72B02">
        <w:rPr>
          <w:lang w:val="es-ES_tradnl" w:eastAsia="es-ES_tradnl"/>
        </w:rPr>
        <w:t xml:space="preserve"> en materia de derechos humanos, conforme lo señalado anteriormente, el Estado se nos presenta como un sujeto internacional obligado no sólo a abstenerse de violar derechos humanos, sino también obligado a actuar, y adoptar medidas necesarias para proteger a las personas que se encuentran bajo su jurisdicción de sufrir un menoscabo en sus derechos más esenciales, así como de adoptar medidas adecuadas para alcanzar un nivel mínimo de realización de los mismos, cuando ninguno de los dos niveles anteriores sea suficiente para dicho fin. Así, en el marco específico del DIDH y, sin perjuicio de las circunstancias del caso concreto, en sentido abstracto y como punto de partida el Estado será </w:t>
      </w:r>
      <w:r w:rsidRPr="00E72B02">
        <w:rPr>
          <w:lang w:val="es-ES_tradnl" w:eastAsia="es-ES_tradnl"/>
        </w:rPr>
        <w:lastRenderedPageBreak/>
        <w:t>responsable por violaciones de derechos humanos (independientemente de quien sea el autor) cuando no alcance a cumplir, de un modo satisfactorio, con los tres niveles de obligaciones impuestos por el mencionado marco jurídico.</w:t>
      </w:r>
    </w:p>
    <w:p w:rsidR="00F2036A" w:rsidRPr="00E72B02" w:rsidRDefault="00F2036A" w:rsidP="004551E9">
      <w:r w:rsidRPr="00E72B02">
        <w:t xml:space="preserve">Todo este desarrollo y evolución interpretativa de las obligaciones generales en materia de derechos humanos, nos sirve para entender mucho mejor el porqué del Artículo 4 de la CDPD, y mucho más aún, si tenemos en cuenta que el tratado recoge en un único cuerpo normativo y en un plano de igualdad, tanto derecho civiles y políticos, como económicos, sociales y culturales. </w:t>
      </w:r>
    </w:p>
    <w:p w:rsidR="00F2036A" w:rsidRPr="00E72B02" w:rsidRDefault="00F2036A" w:rsidP="004551E9">
      <w:r w:rsidRPr="00E72B02">
        <w:t xml:space="preserve">En primer lugar el inciso 1 reconoce que para “asegurar y promover el pleno ejercicio de todos los derechos humanos y las libertades fundamentales de las personas con discapacidad sin discriminación alguna por motivos de discapacidad”, lo Estados Partes se deben comprometer </w:t>
      </w:r>
      <w:r w:rsidR="00860880" w:rsidRPr="00E72B02">
        <w:t xml:space="preserve">adoptar una serie de medidas. </w:t>
      </w:r>
      <w:r w:rsidRPr="00E72B02">
        <w:t xml:space="preserve">Está claro que del listado que despliega el Artículo 4.1 se pueden identificar tanto obligaciones de respeto, como de protección y de realización.  </w:t>
      </w:r>
    </w:p>
    <w:p w:rsidR="00F2036A" w:rsidRPr="00E72B02" w:rsidRDefault="00F2036A" w:rsidP="004551E9">
      <w:r w:rsidRPr="00E72B02">
        <w:t xml:space="preserve">Ahora bien, el inciso 2 establece que con “…respecto a los derechos económicos, sociales y culturales, los Estados Partes se comprometen a adoptar medidas hasta el máximo de sus recursos disponibles y, cuando sea necesario, en el marco de la cooperación internacional, para lograr, de manera progresiva, el pleno ejercicio de estos derechos, sin perjuicio de las obligaciones previstas en la presente Convención que sean aplicables de inmediato en virtud del derecho internacional”. Se trata de una disposición que ha suscitado diferentes interpretaciones y que no parece aportar demasiadas pistas sobre cómo abordar la cláusula de realización progresiva de los derechos económicos, sociales y culturales recogidos en la CDPD.  </w:t>
      </w:r>
    </w:p>
    <w:p w:rsidR="00F2036A" w:rsidRPr="00E72B02" w:rsidRDefault="00F2036A" w:rsidP="004551E9">
      <w:r w:rsidRPr="00E72B02">
        <w:t xml:space="preserve">Una interpretación simplista nos llevaría a agrupar los derechos recogidos en los artículos 10 a 23 y artículo 20 como civiles y políticos y los derechos recogidos en los artículos 24 a 28 y artículo 30 como económicos, sociales y </w:t>
      </w:r>
      <w:r w:rsidRPr="00E72B02">
        <w:lastRenderedPageBreak/>
        <w:t xml:space="preserve">culturales, y consecuentemente asignarles el carácter de obligaciones inmediatas o progresivas respectivamente. No obstante, el modo en el cual se aborda dichos derechos en la CDPD, rápidamente nos evidencia la interrelación e interdependencia de cada uno de dichos derechos, y por ende, la imposibilidad de aplicar un criterio tan rígido y compartimentado. </w:t>
      </w:r>
    </w:p>
    <w:p w:rsidR="00F2036A" w:rsidRPr="00E72B02" w:rsidRDefault="00F2036A" w:rsidP="004551E9">
      <w:r w:rsidRPr="00E72B02">
        <w:t>La clave para comprender esta dinámica radica una vez más en la perspectiva de no discriminación que la CDPD adopta transversalmente en relación con todos los derechos reconocidos. Las medidas que los Estados deben adoptar para garantizar la igualdad de las personas con discapacidad no debieran concebirse como obligaciones de realización progresiva, incluso cuando las mismas requieran de una obligación de satisfacción y la asignación de recursos disponibles. Por ello DHANDA, señala que la CDPD ha dado lugar al nacimiento de derechos “</w:t>
      </w:r>
      <w:r w:rsidRPr="00E72B02">
        <w:rPr>
          <w:i/>
        </w:rPr>
        <w:t>híbridos</w:t>
      </w:r>
      <w:r w:rsidRPr="00E72B02">
        <w:t>” o mixtos, en tanto que tiene componentes de derechos civiles y políticos, como de derechos económicos, sociales y culturales.</w:t>
      </w:r>
      <w:r w:rsidRPr="00E72B02">
        <w:rPr>
          <w:rStyle w:val="Refdenotaalpie"/>
          <w:lang w:val="es-ES"/>
        </w:rPr>
        <w:footnoteReference w:id="322"/>
      </w:r>
      <w:r w:rsidRPr="00E72B02">
        <w:t xml:space="preserve"> Consecuentemente, para esta autora, cuando se tratan de derechos civiles y políticos, como por ejemplo, el derecho a la libertad de expresión y de opinión y se requieren de medios alternativos o aumentativos de comunicación, estas medidas quedan amparadas bajo el carácter de obligación inmediata </w:t>
      </w:r>
      <w:r w:rsidR="00A12E2B">
        <w:t xml:space="preserve">ya que se trata de parte </w:t>
      </w:r>
      <w:r w:rsidRPr="00E72B02">
        <w:t xml:space="preserve">del </w:t>
      </w:r>
      <w:r w:rsidR="00A12E2B">
        <w:t xml:space="preserve">contenido esencial del </w:t>
      </w:r>
      <w:r w:rsidRPr="00E72B02">
        <w:t>propio derecho. QUINN por su parte, reconoce que incluso las medidas tendentes a garantizar la igualdad en el ejercicio de derechos civiles y políticos pueden verse alcanzadas por la clausula de progresividad del Artículo 4.2.</w:t>
      </w:r>
      <w:r w:rsidRPr="00E72B02">
        <w:rPr>
          <w:rStyle w:val="Refdenotaalpie"/>
          <w:lang w:val="es-ES"/>
        </w:rPr>
        <w:footnoteReference w:id="323"/>
      </w:r>
    </w:p>
    <w:p w:rsidR="00F2036A" w:rsidRPr="00E72B02" w:rsidRDefault="00F2036A" w:rsidP="004551E9">
      <w:r w:rsidRPr="00E72B02">
        <w:t xml:space="preserve">El Comité de la CDPD no se ha pronunciado hasta ahora respecto del modo de interpretar el Artículo 4.2 aunque ha proporcionado algunas pautas </w:t>
      </w:r>
      <w:r w:rsidRPr="00E72B02">
        <w:lastRenderedPageBreak/>
        <w:t>generales en sus directrices para la presentación de informes.</w:t>
      </w:r>
      <w:r w:rsidRPr="00E72B02">
        <w:rPr>
          <w:rStyle w:val="Refdenotaalpie"/>
          <w:lang w:val="es-ES"/>
        </w:rPr>
        <w:footnoteReference w:id="324"/>
      </w:r>
      <w:r w:rsidRPr="00E72B02">
        <w:t xml:space="preserve"> Sin perjuicio de ello, lo cierto es que muchas de las medidas que la CDPD exige a los Estados Partes para garantizar la igualdad de las personas con discapacidad en el ejercicio de derechos civiles y políticos, suponen más bien cambios ideológicos o actitudinales que no tienen costos, o si los tienen resultan prácticamente irrelevantes en el marco de los presupuestos generales del Estado. Pero incluso cuando las medidas exigidas requieren de costos apreciables, muchas veces basta con cambiar el destino o el foco donde el Estado destina dichos fondos. Por ejemplo, la obligación del Estado de garantizar la vida independiente y en la comunidad de las personas con discapacidad mental, puede afrontarse perfectamente mediante la clausura de manicomios u hospitales psiquiátricos en pos de un modelo de tratamiento comunitario.</w:t>
      </w:r>
      <w:r w:rsidRPr="00E72B02">
        <w:rPr>
          <w:rStyle w:val="Refdenotaalpie"/>
          <w:lang w:val="es-ES"/>
        </w:rPr>
        <w:footnoteReference w:id="325"/>
      </w:r>
      <w:r w:rsidRPr="00E72B02">
        <w:t xml:space="preserve">  </w:t>
      </w:r>
    </w:p>
    <w:p w:rsidR="00F2036A" w:rsidRPr="00E72B02" w:rsidRDefault="00F2036A" w:rsidP="004551E9">
      <w:r w:rsidRPr="00E72B02">
        <w:lastRenderedPageBreak/>
        <w:t>El inciso 3 del Artículo 4 establece que “En la elaboración y aplicación de legislación y políticas para hacer efectiva la presente Convención, y en otros procesos de adopción de decisiones sobre cuestiones relacionadas con las personas con discapacidad, los Estados Partes celebrarán consultas estrechas y colaborarán activamente con las personas con discapacidad, incluidos los niños y las niñas con discapacidad, a través de las organizaciones que las representan”. Esta disposición recoge en clave de obligación jurídica internacional el deber de consulta por parte del Estado, los cual ha sido intensamente señalado por el Comité de la CDPD en sus Observaciones Finales a los informes de los Estados.</w:t>
      </w:r>
      <w:r w:rsidRPr="00E72B02">
        <w:rPr>
          <w:rStyle w:val="Refdenotaalpie"/>
          <w:lang w:val="es-ES"/>
        </w:rPr>
        <w:footnoteReference w:id="326"/>
      </w:r>
    </w:p>
    <w:p w:rsidR="00F2036A" w:rsidRPr="00E72B02" w:rsidRDefault="00F2036A" w:rsidP="004551E9">
      <w:r w:rsidRPr="00E72B02">
        <w:t xml:space="preserve">El inciso 4 del Artículo 4 señala que: “…Nada de lo dispuesto en la presente Convención afectará a las disposiciones que puedan facilitar, en mayor medida, el ejercicio de los derechos de las personas con discapacidad y que puedan figurar en la legislación de un </w:t>
      </w:r>
      <w:r w:rsidR="0074119B" w:rsidRPr="00E72B02">
        <w:t>Estado Parte</w:t>
      </w:r>
      <w:r w:rsidRPr="00E72B02">
        <w:t xml:space="preserve"> o en el derecho internacional en vigor en dicho Estado. No se restringirán ni derogarán ninguno de los derechos humanos y las libertades fundamentales reconocidos o existentes en los Estados Partes en la presente Convención de conformidad con la ley, las convenciones y los convenios, los reglamentos o la costumbre con el pretexto de que en la presente Convención no se reconocen esos derechos o libertades o se reconocen en menor medida”. Se trata de una disposición cuyo fin radica en reafirmar las complejas relaciones jurídicas que los tratados de derechos humanos generan respecto de otros</w:t>
      </w:r>
      <w:r w:rsidR="00A12E2B">
        <w:t xml:space="preserve"> ordenamientos jurídicos, sean é</w:t>
      </w:r>
      <w:r w:rsidRPr="00E72B02">
        <w:t xml:space="preserve">stos domésticos, regionales, o respecto del derecho internacional general, u otros subsistemas de derecho </w:t>
      </w:r>
      <w:r w:rsidRPr="00E72B02">
        <w:lastRenderedPageBreak/>
        <w:t>internacional especial, o incluso dentro del propio marco especial del derecho internacional de los derechos humanos.</w:t>
      </w:r>
      <w:r w:rsidRPr="00E72B02">
        <w:rPr>
          <w:rStyle w:val="Refdenotaalpie"/>
          <w:lang w:val="es-ES"/>
        </w:rPr>
        <w:footnoteReference w:id="327"/>
      </w:r>
    </w:p>
    <w:p w:rsidR="00F2036A" w:rsidRPr="00E72B02" w:rsidRDefault="00F2036A" w:rsidP="004551E9">
      <w:r w:rsidRPr="00E72B02">
        <w:t>Sin intención de profundizar las complejas relaciones jurídicas señaladas, las cuales han sido abordadas por la doctrina internacionalista,</w:t>
      </w:r>
      <w:r w:rsidRPr="00E72B02">
        <w:rPr>
          <w:rStyle w:val="Refdenotaalpie"/>
          <w:lang w:val="es-ES"/>
        </w:rPr>
        <w:footnoteReference w:id="328"/>
      </w:r>
      <w:r w:rsidRPr="00E72B02">
        <w:t xml:space="preserve"> lo cierto es que la CDPD pretende con esta disposición evidenciar que no siempre será la CDPD la norma a aplicar respecto de cada situación concreta. Se podría afirmar que el Artículo 4.4 en realidad está recogiendo como parte vinc</w:t>
      </w:r>
      <w:r w:rsidR="00A12E2B">
        <w:t xml:space="preserve">ulante </w:t>
      </w:r>
      <w:r w:rsidRPr="00E72B02">
        <w:t>de un tratado un principio general que se ha desarrollado en el marco del derecho internacional de los derechos humanos, esto es, el principio de interpretación “</w:t>
      </w:r>
      <w:r w:rsidRPr="00E72B02">
        <w:rPr>
          <w:i/>
        </w:rPr>
        <w:t>pro-persona</w:t>
      </w:r>
      <w:r w:rsidRPr="00E72B02">
        <w:t>”.</w:t>
      </w:r>
      <w:r w:rsidRPr="00E72B02">
        <w:rPr>
          <w:rStyle w:val="Refdenotaalpie"/>
          <w:lang w:val="es-ES"/>
        </w:rPr>
        <w:footnoteReference w:id="329"/>
      </w:r>
      <w:r w:rsidRPr="00E72B02">
        <w:t xml:space="preserve">   </w:t>
      </w:r>
    </w:p>
    <w:p w:rsidR="00F2036A" w:rsidRPr="00E72B02" w:rsidRDefault="00F2036A" w:rsidP="004551E9">
      <w:r w:rsidRPr="00E72B02">
        <w:t xml:space="preserve">Finalmente el inciso 5 señala que “Las disposiciones de la presente Convención se aplicarán a todas las partes de los Estados federales sin limitaciones ni excepciones”. Aquí también la CDPD parece incurrir en lo que se podría señalar como una “obviedad jurídica”, toda vez que los principios generales de derecho internacional señalan que los tratados </w:t>
      </w:r>
      <w:r w:rsidRPr="00E72B02">
        <w:lastRenderedPageBreak/>
        <w:t>internacionales resultan obligatorios “para cada una de las partes por lo que respecta a la totalidad de su territorio”.</w:t>
      </w:r>
      <w:r w:rsidRPr="00E72B02">
        <w:rPr>
          <w:rStyle w:val="Refdenotaalpie"/>
          <w:lang w:val="es-ES"/>
        </w:rPr>
        <w:footnoteReference w:id="330"/>
      </w:r>
      <w:r w:rsidRPr="00E72B02">
        <w:t xml:space="preserve"> Con lo cual la razón de ser de esta disposición habría que buscarla más bien desde lo simbólico que desde su valor jurídico innovador. </w:t>
      </w:r>
    </w:p>
    <w:p w:rsidR="00F2036A" w:rsidRPr="00E72B02" w:rsidRDefault="00F2036A" w:rsidP="004551E9">
      <w:r w:rsidRPr="00E72B02">
        <w:t>Sin perjuicio de lo señalado, el Artículo 4.5 tiene importantes derivaciones en al menos dos aspectos. El primero de ellos, la CDPD reconoce que en la realización de muchos de los derechos amparados, en especial derechos como la educación o la salud, son muy frecuentemente asumidos en el contexto de los Estados Partes por las autoridades descentralizadas (Estados, Provincias, Autonomías, Departamentos, Regiones, o Municipios). Con lo cual la inclusión de esta disposición en el marco de las obligaciones generales resulta de suma importancia. El segundo de ellos, la CDPD también se hace eco de una creciente tendencia en la práctica internacional, esto es, la posibilidad de que Organizaciones Internacionales de Integración Regional, puedan ser partes del tratado.</w:t>
      </w:r>
      <w:r w:rsidRPr="00E72B02">
        <w:rPr>
          <w:rStyle w:val="Refdenotaalpie"/>
          <w:lang w:val="es-ES"/>
        </w:rPr>
        <w:footnoteReference w:id="331"/>
      </w:r>
      <w:r w:rsidRPr="00E72B02">
        <w:t xml:space="preserve"> Un claro ejemplo de ello lo encontramos en la ratificación de la CDPD por parte de la Unión Europea.</w:t>
      </w:r>
      <w:r w:rsidRPr="00E72B02">
        <w:rPr>
          <w:rStyle w:val="Refdenotaalpie"/>
          <w:lang w:val="es-ES"/>
        </w:rPr>
        <w:footnoteReference w:id="332"/>
      </w:r>
      <w:r w:rsidRPr="00E72B02">
        <w:t xml:space="preserve"> </w:t>
      </w:r>
    </w:p>
    <w:p w:rsidR="00F2036A" w:rsidRPr="00E72B02" w:rsidRDefault="00F2036A" w:rsidP="004551E9">
      <w:r w:rsidRPr="00E72B02">
        <w:t xml:space="preserve"> </w:t>
      </w:r>
    </w:p>
    <w:p w:rsidR="00F2036A" w:rsidRPr="00B14FA4" w:rsidRDefault="00F2036A" w:rsidP="00B14FA4">
      <w:pPr>
        <w:pStyle w:val="TTULO90"/>
      </w:pPr>
      <w:r w:rsidRPr="00B14FA4">
        <w:t>3.6.2 Obligaciones transversales</w:t>
      </w:r>
    </w:p>
    <w:p w:rsidR="00F2036A" w:rsidRPr="00E72B02" w:rsidRDefault="00F2036A" w:rsidP="004551E9"/>
    <w:p w:rsidR="00F2036A" w:rsidRPr="00E72B02" w:rsidRDefault="00F2036A" w:rsidP="004551E9">
      <w:r w:rsidRPr="00E72B02">
        <w:lastRenderedPageBreak/>
        <w:t>Más allá de las obligaciones generales recogidas en el Artículo 4 de la CDPD, el tratado contiene una serie de “obligaciones transversales” las cuales se deben tener siempre en cuenta al momento de interpretar y aplicar cualquiera de los derechos específicos. Se trata probablemente de una modalidad novedosa en materia de tratados internacionales de derechos humanos, o al menos, en la magnitud y extensión buscada durante el proceso de negociación de la CDPD.</w:t>
      </w:r>
      <w:r w:rsidRPr="00E72B02">
        <w:rPr>
          <w:rStyle w:val="Refdenotaalpie"/>
          <w:lang w:val="es-ES"/>
        </w:rPr>
        <w:footnoteReference w:id="333"/>
      </w:r>
      <w:r w:rsidRPr="00E72B02">
        <w:t xml:space="preserve"> Aunque los Órganos de los Tratados han sostenido que, por ejemplo, la obligación general de no-discriminar recogida en los dos Pactos deben interpretarse y aplicarse de forma transversal a lo largo de todos los derechos humanos recogidos en dichos instrumentos, la CDPD expande dicho efecto respecto de otras obligaciones que se consideran fundamentales para el contexto específico de los derechos de las personas con discapacidad. </w:t>
      </w:r>
    </w:p>
    <w:p w:rsidR="00F2036A" w:rsidRPr="00E72B02" w:rsidRDefault="00F2036A" w:rsidP="004551E9">
      <w:r w:rsidRPr="00E72B02">
        <w:t>Aunque la noción de transversalidad no es exclusiva de discurso de los derechos humanos de las personas con discapacidad,</w:t>
      </w:r>
      <w:r w:rsidRPr="00E72B02">
        <w:rPr>
          <w:rStyle w:val="Refdenotaalpie"/>
          <w:lang w:val="es-ES"/>
        </w:rPr>
        <w:footnoteReference w:id="334"/>
      </w:r>
      <w:r w:rsidRPr="00E72B02">
        <w:t xml:space="preserve"> lo cierto es que desde la visión del modelo social surge como un componente natural y fundamental para lograr cambios reales y efectivos de cualquier política en discapacidad basada en los derechos humanos. Prueba de ello es que legislaciones nacion</w:t>
      </w:r>
      <w:r w:rsidR="00A12E2B">
        <w:t>al</w:t>
      </w:r>
      <w:r w:rsidRPr="00E72B02">
        <w:t>es basadas en el modelo social de discapacidad, recogen y definen este principio.</w:t>
      </w:r>
      <w:r w:rsidRPr="00E72B02">
        <w:rPr>
          <w:rStyle w:val="Refdenotaalpie"/>
          <w:lang w:val="es-ES"/>
        </w:rPr>
        <w:footnoteReference w:id="335"/>
      </w:r>
      <w:r w:rsidRPr="00E72B02">
        <w:t xml:space="preserve"> </w:t>
      </w:r>
    </w:p>
    <w:p w:rsidR="00F2036A" w:rsidRPr="00E72B02" w:rsidRDefault="00F2036A" w:rsidP="004551E9">
      <w:r w:rsidRPr="00E72B02">
        <w:lastRenderedPageBreak/>
        <w:t>Recogidos entre los artículos 1 a 9 de la CDPD se podrían identificar y agrupar las siguientes cuestiones transversales: i) Definiciones; ii) Principios; iii) Igualdad y no discriminación; iv) Género, v) Niñez, vi) Toma de conciencia; y vii) Accesibilidad.</w:t>
      </w:r>
    </w:p>
    <w:p w:rsidR="00F2036A" w:rsidRPr="00E72B02" w:rsidRDefault="00F2036A" w:rsidP="004551E9">
      <w:r w:rsidRPr="00E72B02">
        <w:t xml:space="preserve">Los ámbitos relativos a las definiciones, los principios generales, y el principio de igualdad y no discriminación, han sido abordados en detalle más arriba. Corresponde por tanto, analizar las cuestiones transversales restantes. </w:t>
      </w:r>
    </w:p>
    <w:p w:rsidR="00F2036A" w:rsidRPr="00E72B02" w:rsidRDefault="00F2036A" w:rsidP="004551E9"/>
    <w:p w:rsidR="00F2036A" w:rsidRPr="00E52D11" w:rsidRDefault="00F2036A" w:rsidP="00745BB8">
      <w:pPr>
        <w:pStyle w:val="titulo90"/>
        <w:rPr>
          <w:b/>
        </w:rPr>
      </w:pPr>
      <w:r w:rsidRPr="00E52D11">
        <w:rPr>
          <w:b/>
        </w:rPr>
        <w:t>3.6.2.1 Género y discapacidad</w:t>
      </w:r>
    </w:p>
    <w:p w:rsidR="00F2036A" w:rsidRPr="00E72B02" w:rsidRDefault="00F2036A" w:rsidP="004551E9"/>
    <w:p w:rsidR="00F2036A" w:rsidRPr="00E72B02" w:rsidRDefault="00F2036A" w:rsidP="004551E9">
      <w:r w:rsidRPr="00E72B02">
        <w:t xml:space="preserve">La CDPD adopta un doble enfoque en lo relativo a la situación de las mujeres con discapacidad. Por un lado, un artículo específico sobre la materia, y por otro la transversalidad de la perspectiva de género a lo largo de todo el instrumento. A través de un artículo específico </w:t>
      </w:r>
      <w:r w:rsidR="00860880" w:rsidRPr="00E72B02">
        <w:t xml:space="preserve">(artículo 6) </w:t>
      </w:r>
      <w:r w:rsidRPr="00E72B02">
        <w:t xml:space="preserve">se reconoce, entre otras cuestiones, la múltiple discriminación que sufren las mujeres con discapacidad, y la obligación de adoptar medidas a fin de garantizar el disfrute pleno y en igualdad de los derechos humanos y libertades fundamentales. </w:t>
      </w:r>
    </w:p>
    <w:p w:rsidR="00F2036A" w:rsidRPr="00E72B02" w:rsidRDefault="00F2036A" w:rsidP="004551E9">
      <w:r w:rsidRPr="00E72B02">
        <w:t xml:space="preserve">Más allá de la especificidad del Artículo 6, la CDPD recoge menciones expresas de la perspectiva de género tanto en el preámbulo (incisos q y s), como en el Artículo 3(g). </w:t>
      </w:r>
    </w:p>
    <w:p w:rsidR="00F2036A" w:rsidRPr="00E72B02" w:rsidRDefault="00F2036A" w:rsidP="004551E9">
      <w:r w:rsidRPr="00E72B02">
        <w:t xml:space="preserve">La doble discriminación de las mujeres con discapacidad no es producto de una suma de las necesidades que se plantean por discapacidad y género, sino que al conjugarse ambas variables, se produce una situación diferente y </w:t>
      </w:r>
      <w:r w:rsidRPr="00E72B02">
        <w:lastRenderedPageBreak/>
        <w:t xml:space="preserve">especial que es preciso conocer y reconocer con el fin de disponer de diferentes instrumentos legislativos, que permitan responder a las necesidades de esa situación específica, y así favorecer el acceso a la igualdad de oportunidades y el disfrute pleno de los derechos, de este colectivo de mujeres. </w:t>
      </w:r>
      <w:r w:rsidRPr="00E72B02">
        <w:rPr>
          <w:color w:val="000000"/>
          <w:sz w:val="23"/>
          <w:szCs w:val="23"/>
        </w:rPr>
        <w:t>Por lo tanto, la discapacidad no debe ser asumida desde la vulnerabilidad sino desde la necesidad de plantear un nuevo orden a través de la participación social, la visualización de las mujeres con discapacidad, y la posibilidad de participar de forma activa en la toma decisiones.</w:t>
      </w:r>
      <w:r w:rsidRPr="00E72B02">
        <w:rPr>
          <w:rStyle w:val="Refdenotaalpie"/>
        </w:rPr>
        <w:t xml:space="preserve"> </w:t>
      </w:r>
      <w:r w:rsidRPr="00E72B02">
        <w:rPr>
          <w:rStyle w:val="Refdenotaalpie"/>
        </w:rPr>
        <w:footnoteReference w:id="336"/>
      </w:r>
    </w:p>
    <w:p w:rsidR="00F2036A" w:rsidRPr="00E72B02" w:rsidRDefault="00F2036A" w:rsidP="004551E9">
      <w:r w:rsidRPr="00E72B02">
        <w:t xml:space="preserve">El doble enfoque de la CDPD se traduce en términos jurídicos en dos tipos de obligaciones, esto es, prohibición general de no-discriminación por motivo de género, y obligaciones específicas para abordar la discriminación de género en áreas especialmente sensibles. </w:t>
      </w:r>
    </w:p>
    <w:p w:rsidR="00F2036A" w:rsidRPr="00E72B02" w:rsidRDefault="00F2036A" w:rsidP="004551E9">
      <w:r w:rsidRPr="00E72B02">
        <w:t>La prohibición general de no-discriminar por motivo de género en el ámbito de la discapacidad no sólo se encuentra reconocida en el Artículo 6(1) sino también en el Artículo 3(g). Durante el proceso de negociación, algunas delegaciones y organizaciones defensoras de los derechos de las mujeres, abogaro</w:t>
      </w:r>
      <w:r w:rsidR="00270715" w:rsidRPr="00E72B02">
        <w:t>n</w:t>
      </w:r>
      <w:r w:rsidRPr="00E72B02">
        <w:t xml:space="preserve"> fuertemente por la inclusión de una disposición específica que estableciera el reconocimiento por parte de los Estados de las múltiples formas de discriminación a las que son objeto las mujeres y niñas con discapacidad, así como la inclusión de una prohibición general de discriminación por motivo de género. Sin perjuicio de que la prohibición general de discriminación por motivo de género estuviese implícita en lo señalado por el Artículo 5, los defensores de la inclusión de una disposición específica consideraban de suma importancia que un tratado internacional de derechos humanos de tipo vinculante estableciera expresamente esta </w:t>
      </w:r>
      <w:r w:rsidRPr="00E72B02">
        <w:lastRenderedPageBreak/>
        <w:t>prohibición, en especial, teniendo en cuenta que la CEFDM –principal documento de derechos humanos para abordar la discriminación por motivo de género-, no menciona expresamente a las mujeres con discapacidad.</w:t>
      </w:r>
      <w:r w:rsidRPr="00E72B02">
        <w:rPr>
          <w:rStyle w:val="Refdenotaalpie"/>
          <w:lang w:val="es-ES"/>
        </w:rPr>
        <w:footnoteReference w:id="337"/>
      </w:r>
      <w:r w:rsidRPr="00E72B02">
        <w:t xml:space="preserve"> </w:t>
      </w:r>
    </w:p>
    <w:p w:rsidR="00F2036A" w:rsidRPr="00E72B02" w:rsidRDefault="00F2036A" w:rsidP="004551E9">
      <w:r w:rsidRPr="00E72B02">
        <w:t>Más allá de su valor simbólico, la prohibición general de no discriminar por motivo de género a las mujeres con discapacidad ha supuesto una visibilidad evidente de la discriminación múltiple en el cumplimiento de las obligaciones impuestas en la CDPD, que como lo ha manifestado repetidamente el Comité de la CDPD, se traduce en una obligación internacional de tipo práctica y mesurable.</w:t>
      </w:r>
      <w:r w:rsidRPr="00E72B02">
        <w:rPr>
          <w:rStyle w:val="Refdenotaalpie"/>
          <w:lang w:val="es-ES"/>
        </w:rPr>
        <w:footnoteReference w:id="338"/>
      </w:r>
      <w:r w:rsidRPr="00E72B02">
        <w:t xml:space="preserve">      </w:t>
      </w:r>
    </w:p>
    <w:p w:rsidR="00F2036A" w:rsidRPr="00E72B02" w:rsidRDefault="00F2036A" w:rsidP="004551E9">
      <w:r w:rsidRPr="00E72B02">
        <w:t xml:space="preserve">Ahora bien, la CDPD no sólo que queda con la obligación general de no discriminar por motivo de género, sino que también recoge una serie de obligaciones específicas para abordar la discriminación de género en áreas especialmente sensibles. </w:t>
      </w:r>
    </w:p>
    <w:p w:rsidR="00F2036A" w:rsidRPr="00E72B02" w:rsidRDefault="00F2036A" w:rsidP="004551E9">
      <w:r w:rsidRPr="00E72B02">
        <w:t xml:space="preserve">El área o ámbito donde la CDPD considera más importante enfatizar y especificar la perspectiva de género, es en relación con la violencia y el abuso. El artículo 16(1) de la CDPD exige a los Estados "tomar todas las medidas legislativas, administrativas, sociales, educativas y de otra índole para proteger a las personas con discapacidad, tanto dentro como fuera del hogar, de todas las formas de explotación, violencia y abuso, incluidos sus aspectos de género". El artículo 16(2) de la CDPD exige a los Estados "tomar las medidas adecuadas para prevenir todas las formas de explotación, violencia y abuso asegurando, entre otras cosas, formas apropiadas de </w:t>
      </w:r>
      <w:r w:rsidRPr="00E72B02">
        <w:lastRenderedPageBreak/>
        <w:t xml:space="preserve">asistencia y apoyo de acuerdo al género y la edad para las personas con discapacidad y sus familiares y cuidadores, incluso proporcionando información y educación sobre la manera de prevenir, reconocer y denunciar los casos de explotación, violencia y abuso." Promoviendo aún más el deber del Estado de proteger y realizar, el artículo 16(5) de la CDPD establece que "Los Estados Partes adoptarán legislación y políticas efectivas, incluidas legislación y políticas centradas en la mujer y en la infancia, para asegurar que los casos de explotación, violencia y abuso contra personas con discapacidad sean detectados, investigados y, en su caso, juzgados." Por lo tanto, es un requisito de la CDPD que los Estados adopten medidas específicas sobre género con el fin de combatir la violencia y el abuso. </w:t>
      </w:r>
    </w:p>
    <w:p w:rsidR="00F2036A" w:rsidRPr="00E72B02" w:rsidRDefault="00F2036A" w:rsidP="004551E9">
      <w:r w:rsidRPr="00E72B02">
        <w:t>Adicionalmente la CDPD también establece obligaciones específicas en materia de género y discapacidad en relación con el Artículo 8 (obligación de los Estados de luchar contra “los estereotipos, los prejuicios y las prácticas nocivas respecto de las personas con discapacidad, incluidos los que se basan en el género o la edad, en todos los ámbitos de la vida”), el Artículo 25 (obligación de los Estados de adoptar “medidas pertinentes para asegurar el acceso de las personas con discapacidad a servicios de salud que tengan en cuenta las cuestiones de género, incluida la rehabilitación relacionada con la salud”), el Artículo 28 (obligación de los Estados de “asegurar el acceso de las personas con discapacidad, en particular las mujeres y niñas y las personas mayores con discapacidad, a programas de protección social y estrategias de reducción de la pobreza”), y el Artículo 23 (la obligación de los Estados de asegurar que “personas con discapacidad, incluidos los niños y las niñas, mantengan su fertilidad, en igualdad de condiciones con las demás”).</w:t>
      </w:r>
      <w:r w:rsidRPr="00E72B02">
        <w:rPr>
          <w:rStyle w:val="Refdenotaalpie"/>
          <w:lang w:val="es-ES"/>
        </w:rPr>
        <w:footnoteReference w:id="339"/>
      </w:r>
    </w:p>
    <w:p w:rsidR="00F2036A" w:rsidRPr="00E72B02" w:rsidRDefault="00F2036A" w:rsidP="004551E9">
      <w:r w:rsidRPr="00E72B02">
        <w:lastRenderedPageBreak/>
        <w:t>Como lo evidencian los informes y estadísticas internacionales, existen algunas áreas o ámbitos donde la mujeres y la niñas con discapacidad sufren mayormente discriminaciones múltiples, tales como, i) violencia de género, ii) acceso a la justicia, iii) acceso a servicios de rehabilitación, iv) acceso a asistencia sanitaria esencial, v) derecho a la salud sexual y reproductiva, vi) derecho a formar una familia y al matrimonio, vii) educación y alfabetización, viii) discriminación en el trabajo, y ix) nivel adecuado de vida.</w:t>
      </w:r>
      <w:r w:rsidRPr="00E72B02">
        <w:rPr>
          <w:rStyle w:val="Refdenotaalpie"/>
          <w:lang w:val="es-ES"/>
        </w:rPr>
        <w:footnoteReference w:id="340"/>
      </w:r>
    </w:p>
    <w:p w:rsidR="00F2036A" w:rsidRPr="00E72B02" w:rsidRDefault="00F2036A" w:rsidP="004551E9"/>
    <w:p w:rsidR="00F2036A" w:rsidRPr="00E52D11" w:rsidRDefault="00F2036A" w:rsidP="00745BB8">
      <w:pPr>
        <w:pStyle w:val="titulo90"/>
        <w:rPr>
          <w:b/>
        </w:rPr>
      </w:pPr>
      <w:r w:rsidRPr="00E52D11">
        <w:rPr>
          <w:b/>
        </w:rPr>
        <w:t>3.6.2.2 Niñez y discapacidad</w:t>
      </w:r>
    </w:p>
    <w:p w:rsidR="00F2036A" w:rsidRPr="00E72B02" w:rsidRDefault="00F2036A" w:rsidP="004551E9">
      <w:pPr>
        <w:rPr>
          <w:lang w:val="es-ES_tradnl"/>
        </w:rPr>
      </w:pPr>
    </w:p>
    <w:p w:rsidR="00F2036A" w:rsidRPr="00E72B02" w:rsidRDefault="00F2036A" w:rsidP="004551E9">
      <w:r w:rsidRPr="00E72B02">
        <w:rPr>
          <w:lang w:val="es-ES_tradnl"/>
        </w:rPr>
        <w:t xml:space="preserve">La CDPD también </w:t>
      </w:r>
      <w:r w:rsidRPr="00E72B02">
        <w:t>adopta un doble enfoque a la hora de proteger la situación de los niños y niñas con discapacidad. Por un lado, se dedica un artículo específico –para dar visibilidad a su situación-, y por otro, adopta una perspectiva de transversalidad a lo largo de tod</w:t>
      </w:r>
      <w:r w:rsidR="00A12E2B">
        <w:t>o su articulado</w:t>
      </w:r>
      <w:r w:rsidRPr="00E72B02">
        <w:t xml:space="preserve">. A través de este artículo se establece una protección específica,  mediante la cual los Estados Partes se comprometen a tomar todas las medidas necesarias para asegurar el pleno goce de los niños y niñas con discapacidad, de todos los derechos humanos y libertades fundamentales en igualdad de condiciones con los demás. Entre ellos, el derecho a expresar su opinión libremente sobre todas las cuestiones que les afectan, opinión que, obviamente, será considerado, como sucede siempre en el tema de la infancia, con arreglo a la edad y la madurez del niño o niña en cuestión. Por otro lado, el artículo consagra, al igual que lo hace </w:t>
      </w:r>
      <w:smartTag w:uri="urn:schemas-microsoft-com:office:smarttags" w:element="PersonName">
        <w:smartTagPr>
          <w:attr w:name="ProductID" w:val="la Convención"/>
        </w:smartTagPr>
        <w:r w:rsidRPr="00E72B02">
          <w:t>la Convención</w:t>
        </w:r>
      </w:smartTag>
      <w:r w:rsidRPr="00E72B02">
        <w:t xml:space="preserve"> de Derechos del Niño, el interés superior del niño o niña, principio muy desarrollado a nivel doctrinal </w:t>
      </w:r>
      <w:r w:rsidRPr="00E72B02">
        <w:lastRenderedPageBreak/>
        <w:t>y jurisprudencial, pero que podría resumirse en la idea de que siempre que se encuentre involucrado un niño o niña, a la hora de interpretar o aplicar una cláusula y/o de tomar una decisión que le involucre, lo que debe primar es la satisfacción de sus derechos y, el interés del niño o niña pasará a ser el interés que primará, sobre cualquier otro.</w:t>
      </w:r>
      <w:r w:rsidRPr="00E72B02">
        <w:rPr>
          <w:rStyle w:val="Refdenotaalpie"/>
          <w:rFonts w:eastAsia="Calibri"/>
        </w:rPr>
        <w:footnoteReference w:id="341"/>
      </w:r>
    </w:p>
    <w:p w:rsidR="00F2036A" w:rsidRPr="00E72B02" w:rsidRDefault="00F2036A" w:rsidP="004551E9">
      <w:r w:rsidRPr="00E72B02">
        <w:t>El Informe Mundial sobre la Discapacidad estima que hay entre 93 y 150 millones de niños y niñas con discapacidad en el mundo. De acuerdo con el informe, "</w:t>
      </w:r>
      <w:r w:rsidRPr="00A12E2B">
        <w:rPr>
          <w:i/>
        </w:rPr>
        <w:t>Los niños con discapacidad tienen menos probabilidades de concurrir a la escuela, con lo cual tendrán oportunidades limitadas para la formación de capital humano, accederán a menos oportunidades laborales y tendrán una productividad inferior durante la etapa adulta</w:t>
      </w:r>
      <w:r w:rsidRPr="00E72B02">
        <w:t>".</w:t>
      </w:r>
      <w:r w:rsidRPr="00E72B02">
        <w:rPr>
          <w:rStyle w:val="Refdenotaalpie"/>
        </w:rPr>
        <w:footnoteReference w:id="342"/>
      </w:r>
    </w:p>
    <w:p w:rsidR="00F2036A" w:rsidRPr="00E72B02" w:rsidRDefault="00F2036A" w:rsidP="004551E9">
      <w:r w:rsidRPr="00E72B02">
        <w:t xml:space="preserve">Los niños y niñas con discapacidad en todo el mundo son a menudo marginados y excluidos de la sociedad. Las principales modalidades de violaciones de derechos humanos contra niños y niñas con discapacidad incluyen: </w:t>
      </w:r>
      <w:r w:rsidRPr="00E72B02">
        <w:rPr>
          <w:i/>
        </w:rPr>
        <w:t>Antes del nacimiento:</w:t>
      </w:r>
      <w:r w:rsidR="00DB0BF3" w:rsidRPr="00E72B02">
        <w:t xml:space="preserve"> - </w:t>
      </w:r>
      <w:r w:rsidRPr="00E72B02">
        <w:t xml:space="preserve">La mala salud y nutrición materna; </w:t>
      </w:r>
      <w:r w:rsidR="00DB0BF3" w:rsidRPr="00E72B02">
        <w:t xml:space="preserve">- </w:t>
      </w:r>
      <w:r w:rsidRPr="00E72B02">
        <w:t xml:space="preserve"> Atención prenatal inadecuada, y </w:t>
      </w:r>
      <w:r w:rsidR="00DB0BF3" w:rsidRPr="00E72B02">
        <w:t>-</w:t>
      </w:r>
      <w:r w:rsidRPr="00E72B02">
        <w:t xml:space="preserve"> Examen prenatal e interrupción del embarazo por motivos de discapacidad; </w:t>
      </w:r>
      <w:r w:rsidRPr="00E72B02">
        <w:rPr>
          <w:i/>
        </w:rPr>
        <w:t>Al nacimiento</w:t>
      </w:r>
      <w:r w:rsidRPr="00E72B02">
        <w:t xml:space="preserve">: </w:t>
      </w:r>
      <w:r w:rsidR="00DB0BF3" w:rsidRPr="00E72B02">
        <w:t xml:space="preserve">- </w:t>
      </w:r>
      <w:r w:rsidRPr="00E72B02">
        <w:t xml:space="preserve">Eutanasia; </w:t>
      </w:r>
      <w:r w:rsidR="00DB0BF3" w:rsidRPr="00E72B02">
        <w:t xml:space="preserve">- </w:t>
      </w:r>
      <w:r w:rsidRPr="00E72B02">
        <w:t xml:space="preserve">Negación de alimentos y/o tratamientos médicos apropiados, y </w:t>
      </w:r>
      <w:r w:rsidR="00DB0BF3" w:rsidRPr="00E72B02">
        <w:t xml:space="preserve">- </w:t>
      </w:r>
      <w:r w:rsidRPr="00E72B02">
        <w:t xml:space="preserve">Riesgo de rechazo por parte de los padres; </w:t>
      </w:r>
      <w:r w:rsidRPr="00E72B02">
        <w:rPr>
          <w:i/>
        </w:rPr>
        <w:t>Después del nacimiento</w:t>
      </w:r>
      <w:r w:rsidRPr="00E72B02">
        <w:t xml:space="preserve">: </w:t>
      </w:r>
      <w:r w:rsidR="00DB0BF3" w:rsidRPr="00E72B02">
        <w:t>-</w:t>
      </w:r>
      <w:r w:rsidRPr="00E72B02">
        <w:t xml:space="preserve"> Institucionalización en un entorno segregado lejos de la familia; </w:t>
      </w:r>
      <w:r w:rsidR="00DB0BF3" w:rsidRPr="00E72B02">
        <w:t>-</w:t>
      </w:r>
      <w:r w:rsidRPr="00E72B02">
        <w:t xml:space="preserve"> Aislamiento en el hogar y aislamiento de la comunidad; </w:t>
      </w:r>
      <w:r w:rsidR="00DB0BF3" w:rsidRPr="00E72B02">
        <w:t>-</w:t>
      </w:r>
      <w:r w:rsidRPr="00E72B02">
        <w:t xml:space="preserve"> Negación del derecho a la educación, entre otros derechos humanos; </w:t>
      </w:r>
      <w:r w:rsidR="00DB0BF3" w:rsidRPr="00E72B02">
        <w:t>-</w:t>
      </w:r>
      <w:r w:rsidRPr="00E72B02">
        <w:t xml:space="preserve"> Riesgo de </w:t>
      </w:r>
      <w:r w:rsidRPr="00E72B02">
        <w:lastRenderedPageBreak/>
        <w:t xml:space="preserve">continuos tratamientos médicos, algunos dolorosas e innecesarios, y </w:t>
      </w:r>
      <w:r w:rsidR="00DB0BF3" w:rsidRPr="00E72B02">
        <w:t>-</w:t>
      </w:r>
      <w:r w:rsidRPr="00E72B02">
        <w:t xml:space="preserve"> Negación del derecho a participar en las decisiones que afectan sus vidas.</w:t>
      </w:r>
      <w:r w:rsidRPr="00E72B02">
        <w:rPr>
          <w:rStyle w:val="Refdenotaalpie"/>
        </w:rPr>
        <w:footnoteReference w:id="343"/>
      </w:r>
    </w:p>
    <w:p w:rsidR="00F2036A" w:rsidRPr="00E72B02" w:rsidRDefault="00F2036A" w:rsidP="004551E9">
      <w:r w:rsidRPr="00E72B02">
        <w:t xml:space="preserve">A diferencia de lo que sucedía con relación a la mujeres con discapacidad, en materia de niñez el principal instrumento internacional vinculante que recoge los derechos específicos de los niños y niñas, si recoge una disposición específica sobre “niños y niñas con discapacidad” (Artículo 23 de la CDN). No obstante, como se ha mencionado ya en el Capítulo 2 del presente trabajo, el abordaje o la perspectiva de la discapacidad en el marco de la CDN ha sido deficiente. </w:t>
      </w:r>
    </w:p>
    <w:p w:rsidR="00F2036A" w:rsidRPr="00E72B02" w:rsidRDefault="00F2036A" w:rsidP="004551E9">
      <w:r w:rsidRPr="00E72B02">
        <w:t>Ello no supone que la CDN no resulte de vital importancia para interpretar e implementar adecuadamente el Artículo 7 de la CDPD.</w:t>
      </w:r>
      <w:r w:rsidRPr="00E72B02">
        <w:rPr>
          <w:rStyle w:val="Refdenotaalpie"/>
        </w:rPr>
        <w:footnoteReference w:id="344"/>
      </w:r>
      <w:r w:rsidRPr="00E72B02">
        <w:t xml:space="preserve"> El propio preámbulo de la CDPD (inciso r) reconoce que “los niños y las niñas con discapacidad deben gozar plenamente de todos los derechos humanos y las libertades fundamentales en igualdad de condiciones con los demás niños y niñas, y recordando las obligaciones que a este respecto asumieron los Estados Partes en la Convención sobre los Derechos del Niño”. Más aún, el abordaje de los derechos de los niños y niñas con discapacidad en la CDPD se basa esencialmente en los cuatro pilares fundamentales de la CDN, esto es, i) la no discriminación; ii) la observancia del interés superior del niño; iii) el derecho a la supervivencia, a la vida y al desarrollo, y iv) el derecho a participar y a ser oído. </w:t>
      </w:r>
    </w:p>
    <w:p w:rsidR="00F2036A" w:rsidRPr="00E72B02" w:rsidRDefault="00F2036A" w:rsidP="004551E9">
      <w:r w:rsidRPr="00E72B02">
        <w:t xml:space="preserve">El artículo 7 sobre “niños y niñas con discapacidad”, expresa con gran detalle el modo en el cual todos los derechos humanos se deben aplican a los niños y niñas con discapacidad, más precisamente señala que: </w:t>
      </w:r>
    </w:p>
    <w:p w:rsidR="00F2036A" w:rsidRPr="00E72B02" w:rsidRDefault="00F2036A" w:rsidP="004551E9">
      <w:pPr>
        <w:pStyle w:val="Prrafodelista"/>
      </w:pPr>
      <w:r w:rsidRPr="00E72B02">
        <w:lastRenderedPageBreak/>
        <w:t>Los Estados Partes tomarán todas las medidas necesarias para asegurar que todos los niños y las niñas con discapacidad gocen plenamente de todos los derechos humanos y libertades fundamentales en igualdad de condiciones con los demás niños y niñas;</w:t>
      </w:r>
    </w:p>
    <w:p w:rsidR="00F2036A" w:rsidRPr="00E72B02" w:rsidRDefault="00F2036A" w:rsidP="004551E9">
      <w:pPr>
        <w:pStyle w:val="Prrafodelista"/>
      </w:pPr>
      <w:r w:rsidRPr="00E72B02">
        <w:t>El interés superior del niño sea la consideración primordial en los asuntos que afecten a los niños y niñas con discapacidad;</w:t>
      </w:r>
    </w:p>
    <w:p w:rsidR="00F2036A" w:rsidRPr="00E72B02" w:rsidRDefault="00F2036A" w:rsidP="004551E9">
      <w:pPr>
        <w:pStyle w:val="Prrafodelista"/>
      </w:pPr>
      <w:r w:rsidRPr="00E72B02">
        <w:t>Los niños y niñas con discapacidad tengan el derecho de expresar su opinión libremente en todos los asuntos que les afectan, opinión que recibirá la debida consideración teniendo en cuenta su edad y madurez, y</w:t>
      </w:r>
    </w:p>
    <w:p w:rsidR="00F2036A" w:rsidRPr="00E72B02" w:rsidRDefault="00F2036A" w:rsidP="004551E9">
      <w:pPr>
        <w:pStyle w:val="Prrafodelista"/>
      </w:pPr>
      <w:r w:rsidRPr="00E72B02">
        <w:t>Los niños y niñas con discapacidad deben recibir asistencia apropiada con arreglo a su discapacidad y edad para poder realizar sus derechos.</w:t>
      </w:r>
    </w:p>
    <w:p w:rsidR="00F2036A" w:rsidRPr="00E72B02" w:rsidRDefault="00F2036A" w:rsidP="004551E9">
      <w:r w:rsidRPr="00E72B02">
        <w:t xml:space="preserve">Mientras que el artículo 7 se aplica a toda la CDPD y exige que los niños y niñas con discapacidad sean tenidos en cuenta en todos los aspectos de la implementación de la CDPD, hay otros artículos que abordan cuestiones específicas de importancia para los niños y niñas con discapacidad y que añaden consideraciones relacionadas con la edad a ciertas obligaciones.  El artículo 6 subraya que las niñas con discapacidad suelen ser objeto de múltiples formas de discriminación y obliga a los Estados a tomar medidas para hacer frente a tal discriminación.  El artículo 8 destaca la obligación de los Estados de llevar a cabo actividades de concientización en el marco del sistema educativo, incluso respecto de niños y niñas en educación inicial. El artículo 16 exige que los Estados adopten leyes y políticas centradas en los niños y niñas, para asegurar que los casos de explotación, violencia y abuso sean detectados, investigados y, en su caso, juzgados. El artículo 18 plantea la cuestión de la inscripción de niños y niñas luego del nacimiento quienes muy a menudo son excluidos de los registros de nacimiento, lo que socava sus derechos a acceder a una gran variedad de servicios. El artículo 23 protege el derecho de los niños y niñas con discapacidad de conservar su </w:t>
      </w:r>
      <w:r w:rsidRPr="00E72B02">
        <w:lastRenderedPageBreak/>
        <w:t xml:space="preserve">fertilidad, en igualdad de condiciones con los demás, </w:t>
      </w:r>
      <w:r w:rsidR="00972713">
        <w:t xml:space="preserve">y </w:t>
      </w:r>
      <w:r w:rsidRPr="00E72B02">
        <w:t>requiere que los Estados aseguraren que los niños y las niñas no sean separados de sus padres contra su voluntad, salvo que de conformidad con los procedimientos legales, dicha separación sea necesaria en el interés superior del niño, y exige que en ningún caso un niño o niñas sea separado de sus padres en razón de su discapacidad, la de ambos padres o la de uno de ellos. En los casos de separación de niños y niñas con discapacidad de su familia, la CDPD establece que los Estados deben hacer todo lo posible por proporcionar atención alternativa dentro de la familia extensa y, de no ser esto posible, dentro de la comunidad en un entorno familiar. Finalmente, el artículo 24 establece que los niños y niñas con discapacidad no pueden ser excluidos de la enseñanza primaria gratuita y obligatoria ni de la enseñanza secundaria por motivo de discapacidad.</w:t>
      </w:r>
    </w:p>
    <w:p w:rsidR="00F2036A" w:rsidRPr="00E72B02" w:rsidRDefault="00F2036A" w:rsidP="004551E9">
      <w:r w:rsidRPr="00E72B02">
        <w:t>El Comité de la CDPD ha dedicado mucha atención a la perspectiva de niñez en la CDPD en el marco de sus Observaciones Finales a los Informes de los Estados. Ello no solo respecto del Artículo 7, sino también en relación con el Artículo 16 (violencia), o el Artículo 24 (educación), y en menor medida en relación con el Artículo 4 (participación), el Artículo 31 (datos y estadísticas), el Artículo 23 (derecho a la familia).</w:t>
      </w:r>
      <w:r w:rsidRPr="00E72B02">
        <w:rPr>
          <w:rStyle w:val="Refdenotaalpie"/>
        </w:rPr>
        <w:footnoteReference w:id="345"/>
      </w:r>
      <w:r w:rsidRPr="00E72B02">
        <w:t xml:space="preserve"> </w:t>
      </w:r>
    </w:p>
    <w:p w:rsidR="00F2036A" w:rsidRPr="00E52D11" w:rsidRDefault="00F2036A" w:rsidP="004551E9">
      <w:pPr>
        <w:rPr>
          <w:b/>
        </w:rPr>
      </w:pPr>
    </w:p>
    <w:p w:rsidR="00F2036A" w:rsidRPr="00E52D11" w:rsidRDefault="003A0ADB" w:rsidP="00745BB8">
      <w:pPr>
        <w:pStyle w:val="titulo90"/>
        <w:rPr>
          <w:b/>
        </w:rPr>
      </w:pPr>
      <w:r w:rsidRPr="00E52D11">
        <w:rPr>
          <w:b/>
        </w:rPr>
        <w:t xml:space="preserve">3.6.2.3 </w:t>
      </w:r>
      <w:r w:rsidR="00F2036A" w:rsidRPr="00E52D11">
        <w:rPr>
          <w:b/>
        </w:rPr>
        <w:t xml:space="preserve">Toma de conciencia </w:t>
      </w:r>
    </w:p>
    <w:p w:rsidR="00F2036A" w:rsidRPr="00E72B02" w:rsidRDefault="00F2036A" w:rsidP="004551E9"/>
    <w:p w:rsidR="00F2036A" w:rsidRPr="00E72B02" w:rsidRDefault="00F2036A" w:rsidP="004551E9">
      <w:r w:rsidRPr="00E72B02">
        <w:lastRenderedPageBreak/>
        <w:t xml:space="preserve">Otra disposición de aplicación transversal y de suma importancia práctica hacia la plena realización de los derechos amparados en la CDPD es el Artículo 8 sobre toma de conciencia. Se trata de una disposición inusual en tratados de derechos humanos, al menos en el formato de una disposición específica e individual que impone obligaciones precisas y mesurables a los Estados Partes. </w:t>
      </w:r>
    </w:p>
    <w:p w:rsidR="00F2036A" w:rsidRPr="00E72B02" w:rsidRDefault="00F2036A" w:rsidP="004551E9">
      <w:r w:rsidRPr="00E72B02">
        <w:t>Teniendo en cuenta que aún las sociedades se encuentran fuertemente influenciadas por el modelo médico de la discapacidad lo que lleva, en muchos casos, a la asunción de conductas o respuestas basadas en estereotipos y mitos falsos sobre la discapacidad, así como siendo conscientes de que la fuerza de la ley se debilita hasta desvanecerse en tanto no exista un convencimiento de que los postulados de la CDPD resultan justos y basados en un discurso de derechos humanos, el Artículo 8 llama a los Estados a asumir un papel activo en inmediato para generar una mayor toma de conciencia en el reconocimiento y el respeto de los derechos y la dignidad de las personas con discapacidad.</w:t>
      </w:r>
      <w:r w:rsidRPr="00E72B02">
        <w:rPr>
          <w:rStyle w:val="Refdenotaalpie"/>
        </w:rPr>
        <w:footnoteReference w:id="346"/>
      </w:r>
      <w:r w:rsidRPr="00E72B02">
        <w:t xml:space="preserve"> </w:t>
      </w:r>
    </w:p>
    <w:p w:rsidR="00F2036A" w:rsidRPr="00E72B02" w:rsidRDefault="00F2036A" w:rsidP="004551E9">
      <w:r w:rsidRPr="00E72B02">
        <w:t>El sistema de valores, creencias, tradiciones y la imagen social de la discapacidad que se construye a nivel individual, comunitario y mediático sienta las bases y la esencia de cualquier cambio posible. Por lo tanto, es motor de transformaciones que contribuyen a la concreta inclusión social.</w:t>
      </w:r>
    </w:p>
    <w:p w:rsidR="00F2036A" w:rsidRPr="00E72B02" w:rsidRDefault="00F2036A" w:rsidP="004551E9">
      <w:r w:rsidRPr="00E72B02">
        <w:t xml:space="preserve">El inciso 1) del Artículo 8 recoge la estructura y el contenido esencial de la obligación general impuesta a los Estados Partes. En primer lugar establece el deber de los Estados Partes de adoptar “medidas inmediatas, efectivas y pertinentes”. Es decir, no se trata de una obligación de aplicación progresiva, y además tampoco parece ser una obligación de medios sino </w:t>
      </w:r>
      <w:r w:rsidRPr="00E72B02">
        <w:lastRenderedPageBreak/>
        <w:t>más bien de resultados (efectivos y pertinentes). En segundo lugar, el Artículo 8(1) establece tres ámbitos donde se proyecta la obligación general, esto es, i) sensibilización social y familiar sobre las personas con discapacidad y sus derechos y dignidad; ii) lucha contra estereotipos, prejuicios y prácticas nocivas; iii) promoción de las capacidades y aportaciones de las personas con discapacidad.</w:t>
      </w:r>
    </w:p>
    <w:p w:rsidR="00F2036A" w:rsidRPr="00E72B02" w:rsidRDefault="00F2036A" w:rsidP="004551E9">
      <w:r w:rsidRPr="00E72B02">
        <w:t>El inciso 2) del Artículo 8 se limita a enumerar, de un modo no taxativo, algunos ejemplos de medidas que se pueden adoptar para dar cumplimiento de lo señalado en el inciso 1). En primer lugar el Artículo 8 menciona campañas de sensibilización pública que tengan por objetivo: i) fomentar actitudes receptivas respecto de los derechos de las personas con discapacidad; ii) promover percepciones positivas y una mayor conciencia social respecto de las personas con discapacidad; y iii) promover el reconocimiento de las capacidades, los méritos y las habilidades de las personas con discapacidad y de sus aportaciones en relación con el lugar de trabajo y el mercado laboral. En segundo lugar, el Artículo 8 se centra en la importancia de la toma de conciencia en el ámbito educativo, en especial del derecho reconocido en el Artículo 24. En tercer lugar menciona la necesidad de alentar a los medios de comunicación para que difundan una imagen de las personas con discapacidad que sea compatible con el propósito de la CDPD.</w:t>
      </w:r>
      <w:r w:rsidRPr="00E72B02">
        <w:rPr>
          <w:rStyle w:val="Refdenotaalpie"/>
        </w:rPr>
        <w:footnoteReference w:id="347"/>
      </w:r>
      <w:r w:rsidRPr="00E72B02">
        <w:t xml:space="preserve"> En cuarto y último lugar, el Artículo 8 enfatiza en la necesidad de promover programas de formación sobre sensibilización que tengan en cuenta a las personas con discapacidad y los derechos de estas personas. </w:t>
      </w:r>
    </w:p>
    <w:p w:rsidR="00F2036A" w:rsidRPr="00E72B02" w:rsidRDefault="00F2036A" w:rsidP="004551E9"/>
    <w:p w:rsidR="00F2036A" w:rsidRPr="00E52D11" w:rsidRDefault="00F2036A" w:rsidP="00745BB8">
      <w:pPr>
        <w:pStyle w:val="titulo90"/>
        <w:rPr>
          <w:b/>
        </w:rPr>
      </w:pPr>
      <w:r w:rsidRPr="00E52D11">
        <w:rPr>
          <w:b/>
          <w:lang w:val="es-ES"/>
        </w:rPr>
        <w:t xml:space="preserve">3.6.2.4 </w:t>
      </w:r>
      <w:r w:rsidRPr="00E52D11">
        <w:rPr>
          <w:b/>
        </w:rPr>
        <w:t>Accesibilidad y discapacidad</w:t>
      </w:r>
    </w:p>
    <w:p w:rsidR="00F2036A" w:rsidRPr="00E72B02" w:rsidRDefault="00F2036A" w:rsidP="004551E9">
      <w:r w:rsidRPr="00E72B02">
        <w:t xml:space="preserve"> </w:t>
      </w:r>
    </w:p>
    <w:p w:rsidR="00F2036A" w:rsidRPr="00E72B02" w:rsidRDefault="00F2036A" w:rsidP="004551E9">
      <w:r w:rsidRPr="00E72B02">
        <w:lastRenderedPageBreak/>
        <w:t>La CDPD reconoce la necesidad de que los Estados Partes garanticen un entorno accesible, y lo que es mucho más importante, reconoce que la incumplimiento de la obligación de ajustar el entorno a las necesidades de las personas con discapacidad puede constituir una forma de discriminación.</w:t>
      </w:r>
      <w:r w:rsidRPr="00E72B02">
        <w:rPr>
          <w:rStyle w:val="Refdenotaalpie"/>
          <w:rFonts w:eastAsia="Calibri"/>
        </w:rPr>
        <w:footnoteReference w:id="348"/>
      </w:r>
      <w:r w:rsidRPr="00E72B02">
        <w:t xml:space="preserve"> Entendida en un sentido amplio, la accesibilidad es una herramienta imprescindible para lograr la igualdad real de las personas con discapacidad. En la medida en que se garantice un entorno accesible, las personas con discapacidad podrán gozar y ejercer sus derechos fundamentales en igualdad de condiciones con los demás.</w:t>
      </w:r>
    </w:p>
    <w:p w:rsidR="00F2036A" w:rsidRPr="00E72B02" w:rsidRDefault="00F2036A" w:rsidP="004551E9">
      <w:r w:rsidRPr="00E72B02">
        <w:t xml:space="preserve">Se podría decir que en materia de accesibilidad la CDPD da pasos firmes en cuanto dotar a la misma de un contenido sustantivo, así como en cuenta a reconocer su importancia para la realización de todos los derechos humanos reconocidos en el tratado, pero da pasos titubeantes o confusos en cuanto al reconocimiento de la accesibilidad como un derecho y de sus efectos ante la falta de cumplimiento. </w:t>
      </w:r>
    </w:p>
    <w:p w:rsidR="00F2036A" w:rsidRPr="00E72B02" w:rsidRDefault="00F2036A" w:rsidP="004551E9">
      <w:r w:rsidRPr="00E72B02">
        <w:t>El contenido sustantivo de la noción de accesibilidad y su interrelación con los derechos amparados en la CDPD</w:t>
      </w:r>
    </w:p>
    <w:p w:rsidR="00F2036A" w:rsidRPr="00E72B02" w:rsidRDefault="00F2036A" w:rsidP="004551E9">
      <w:r w:rsidRPr="00E72B02">
        <w:t xml:space="preserve">Si la discapacidad es un concepto que evoluciona y que resulta de la interacción entre las personas con deficiencias y las barreras debidas a la actitud y al entorno que evitan su participación plena y efectiva en la sociedad, en igualdad de condiciones con las demás, entonces la accesibilidad podría ser vista como las condiciones generales que permiten a las personas con discapacidad igualarse en oportunidades respecto del resto de las personas. </w:t>
      </w:r>
    </w:p>
    <w:p w:rsidR="00F2036A" w:rsidRPr="00E72B02" w:rsidRDefault="00F2036A" w:rsidP="004551E9">
      <w:r w:rsidRPr="00E72B02">
        <w:t xml:space="preserve">El Artículo 9 adopta una perspectiva un poco más restringida de la noción de accesibilidad, y la define como “el acceso de las personas con </w:t>
      </w:r>
      <w:r w:rsidRPr="00E72B02">
        <w:lastRenderedPageBreak/>
        <w:t>discapacidad, en igualdad de condiciones con las demás, al entorno físico, el transporte, la información y las comunicaciones, incluidos los sistemas y las tecnologías de la información y las comunicaciones, y a otros servicios e instalaciones abiertos al público o de uso público”. Es decir, la lectura del Artículo 9 parece dar a entender que para la CDPD la accesibilidad es básicamente acceso físico (edificios, transporte, escuelas, viviendas, instalaciones médicas, y lugares de trabajo) y comunicacional (servicios de información, comunicaciones y de otro tipo, incluidos los servicios electrónicos y de emergencia).</w:t>
      </w:r>
      <w:r w:rsidRPr="00E72B02">
        <w:rPr>
          <w:rStyle w:val="Refdenotaalpie"/>
        </w:rPr>
        <w:footnoteReference w:id="349"/>
      </w:r>
    </w:p>
    <w:p w:rsidR="00F2036A" w:rsidRPr="00E72B02" w:rsidRDefault="00F2036A" w:rsidP="004551E9">
      <w:r w:rsidRPr="00E72B02">
        <w:t xml:space="preserve">Para lograr la accesibilidad, el Artículo 9 requiere a los Estados que identifiquen y eliminen los obstáculos y las barreras en la accesibilidad. Las disposiciones que establecen las medidas específicas que deben tomarse son muy detalladas e incluyen:  i) desarrollar y monitorear la implementación de estándares mínimos y directrices sobre accesibilidad; ii) proporcionar capacitación en materia de accesibilidad para los interesados; iii) promover el diseño, desarrollo, producción y distribución de tecnologías de información y comunicación que aborden la accesibilidad de forma previa a su desarrollo y que se proporcionen a un costo mínimo; iv) promover el acceso a las nuevas tecnologías de información y comunicación y sistemas, “incluido Internet”; v) proporcionar señalización para el público en Braille y en otros formatos de fácil comprensión y lectura; vi) proporcionar asistencia humana (tales como guías, lectores e intérpretes en lengua de señas); vii) </w:t>
      </w:r>
      <w:r w:rsidRPr="00E72B02">
        <w:lastRenderedPageBreak/>
        <w:t>promover otros “formatos apropiados de asistencia y apoyo” para asegurar el acceso a la información.</w:t>
      </w:r>
    </w:p>
    <w:p w:rsidR="00F2036A" w:rsidRPr="00E72B02" w:rsidRDefault="00F2036A" w:rsidP="004551E9">
      <w:r w:rsidRPr="00E72B02">
        <w:t xml:space="preserve">El alcance del Artículo 9 no se limita a los actores Estatales, tales como los gobiernos locales y nacionales o agencias gubernamentales. El Artículo 9 también incluye a los actores privados, requiriendo a los Estados a que “las entidades privadas que proporcionan instalaciones y servicios abiertos al público o de uso público tengan en cuenta todos los aspectos de su accesibilidad para las personas con discapacidad.” En otras palabras, a pesar de que la CDPD no resulta jurídicamente vinculante de forma directa sobre los actores privados (ya que solo los Estados están vinculados por los tratados internacionales), obliga a los Estados a </w:t>
      </w:r>
      <w:r w:rsidR="00972713">
        <w:t>exigir</w:t>
      </w:r>
      <w:r w:rsidRPr="00E72B02">
        <w:t xml:space="preserve"> que las entidades privadas abiertas al público en general cumplan con el Artículo 9.</w:t>
      </w:r>
      <w:r w:rsidRPr="00E72B02">
        <w:rPr>
          <w:rStyle w:val="Refdenotaalpie"/>
        </w:rPr>
        <w:footnoteReference w:id="350"/>
      </w:r>
      <w:r w:rsidRPr="00E72B02">
        <w:t xml:space="preserve">  </w:t>
      </w:r>
    </w:p>
    <w:p w:rsidR="00F2036A" w:rsidRPr="00E72B02" w:rsidRDefault="00F2036A" w:rsidP="004551E9">
      <w:r w:rsidRPr="00E72B02">
        <w:t>Ahora bien, más allá de lo señalado por el Artículo 9, la CDPD recoge de forma directa o indirecta referencias hacia la accesibilidad en varias disposiciones claves, tales como, Artículo 4 (obligaciones generales), Artículo 12 (capacidad jurídica), Artículo 13 (acceso a la justicia), Artículo 19 (vida independiente), Artículo 20 (movilidad personal), Artículo 21 (acceso a información), Artículo 23 (familia), Artículo 24 (educación), Artículo 25 (salud), Artículo 27 (empleo), Artículo 28 (nivel adecuado de vida), Artículo 29 (participación política), Artículo 30 (vida cultural y deporte), Artículo 31 (estadísticas), y Artículo 32 (cooperación internacional).</w:t>
      </w:r>
    </w:p>
    <w:p w:rsidR="00F2036A" w:rsidRPr="00E72B02" w:rsidRDefault="00F2036A" w:rsidP="004551E9">
      <w:r w:rsidRPr="00E72B02">
        <w:t>El carácter jurídico de la accesibilidad y sus efectos ante la falta de cumplimiento</w:t>
      </w:r>
    </w:p>
    <w:p w:rsidR="00F2036A" w:rsidRPr="00E72B02" w:rsidRDefault="00F2036A" w:rsidP="004551E9">
      <w:r w:rsidRPr="00E72B02">
        <w:t xml:space="preserve">Como se ha mencionado ya, la CDPD no logra aclarar la relación existente entre las exigencias de accesibilidad y el principio de no discriminación. </w:t>
      </w:r>
      <w:r w:rsidRPr="00E72B02">
        <w:lastRenderedPageBreak/>
        <w:t xml:space="preserve">Mientras la CDPD parece dejar claro que la denegación de ajustes razonables habilita a la persona con discapacidad a reclamar su cumplimiento por vía del derecho antidiscriminatorio, no parece que la misma vía pueda seguida ante la inaccesibilidad del entorno, de los productos o de los servicios. Pareciera como si la CDPD hubiera dado el paso a reconocer el derecho subjetivo de toda persona con discapacidad a los ajustes razonables, pero no hiciera lo propio ante la falta de accesibilidad. </w:t>
      </w:r>
    </w:p>
    <w:p w:rsidR="00F2036A" w:rsidRPr="00E72B02" w:rsidRDefault="00F2036A" w:rsidP="004551E9">
      <w:r w:rsidRPr="00E72B02">
        <w:t>La Convención prevé la discriminación por ausencia de accesibilidad en la misma definición de discriminación por motivo de discapacidad (de manera implícita) y al momento de establecer que el incumplimiento de la obligación de realizar un ajuste razonable es discriminación (de manera expresa).</w:t>
      </w:r>
    </w:p>
    <w:p w:rsidR="00F2036A" w:rsidRPr="00E72B02" w:rsidRDefault="00F2036A" w:rsidP="004551E9">
      <w:r w:rsidRPr="00E72B02">
        <w:t>Por tanto, si una persona con discapacidad viera restringido, limitado o impedido el goce o ejercicio de cualquier derecho en igualdad de condiciones con el resto de ciudadanos, en razón de su discapacidad – por falta de accesibilidad-, podría acudir a los tribunales a través de dicha garantía. Es decir, por violación del derecho a la igualdad.</w:t>
      </w:r>
    </w:p>
    <w:p w:rsidR="00F2036A" w:rsidRPr="00E72B02" w:rsidRDefault="00F2036A" w:rsidP="004551E9">
      <w:r w:rsidRPr="00E72B02">
        <w:t xml:space="preserve">La distinción que se propone va más allá de una mera cuestión semántica ya que tiene importantes consecuencias jurídicas. </w:t>
      </w:r>
    </w:p>
    <w:p w:rsidR="00F2036A" w:rsidRPr="00E72B02" w:rsidRDefault="00F2036A" w:rsidP="004551E9">
      <w:r w:rsidRPr="00E72B02">
        <w:t>Cuando el Estado fija unas condiciones de accesibilidad, en dicho acto está evaluando la razonabilidad y la proporcionalidad de la exigencia. Por ello, una vez aprobado legalmente las condiciones no cabría en el obligado a cumplirlas excepción alguna basada en la razonabilidad o proporcionalidad (entre otras cuestiones, no podría alegar que la carga es desproporcionada o indebida)</w:t>
      </w:r>
    </w:p>
    <w:p w:rsidR="00F2036A" w:rsidRPr="00E72B02" w:rsidRDefault="00F2036A" w:rsidP="004551E9">
      <w:r w:rsidRPr="00E72B02">
        <w:t xml:space="preserve">En cambio, en materia de ajustes, al aplicarse a una persona particular y en un caso concreto, las consideraciones de razonabilidad y proporcionalidad pueden legalmente discutirse.  </w:t>
      </w:r>
    </w:p>
    <w:p w:rsidR="00F2036A" w:rsidRPr="00E72B02" w:rsidRDefault="00F2036A" w:rsidP="004551E9">
      <w:r w:rsidRPr="00E72B02">
        <w:lastRenderedPageBreak/>
        <w:t xml:space="preserve"> </w:t>
      </w:r>
    </w:p>
    <w:p w:rsidR="00F2036A" w:rsidRPr="00E52D11" w:rsidRDefault="00F2036A" w:rsidP="00E52D11">
      <w:pPr>
        <w:pStyle w:val="TITULO9"/>
        <w:jc w:val="both"/>
        <w:rPr>
          <w:sz w:val="24"/>
        </w:rPr>
      </w:pPr>
      <w:r w:rsidRPr="00E52D11">
        <w:rPr>
          <w:sz w:val="24"/>
        </w:rPr>
        <w:t>3.7 las obligaciones específicas: Los derechos sustantivos y las medidas necesarias</w:t>
      </w:r>
    </w:p>
    <w:p w:rsidR="00F2036A" w:rsidRPr="00E72B02" w:rsidRDefault="00F2036A" w:rsidP="004551E9"/>
    <w:p w:rsidR="00F2036A" w:rsidRPr="00E72B02" w:rsidRDefault="00F2036A" w:rsidP="004551E9">
      <w:r w:rsidRPr="00E72B02">
        <w:t xml:space="preserve">Más allá de las obligaciones generales y multidimensionales de no discriminar, la CDPD establece una serie de derechos sustantivos, los cuales también deben ser leídos desde la perspectiva de la no discriminación. </w:t>
      </w:r>
    </w:p>
    <w:p w:rsidR="00F2036A" w:rsidRPr="00E72B02" w:rsidRDefault="00F2036A" w:rsidP="004551E9">
      <w:r w:rsidRPr="00E72B02">
        <w:t xml:space="preserve">A los efectos de sistematizar y facilitar la lectura y el análisis de las diferentes disposiciones, se procederá a agrupar algunos artículos según el siguiente criterio: a) respeto por la vida (Arts. 10 y 11); b) igualdad ante la ley y acceso a la justicia (arts. 12 y 13); c) respeto por la libertad (Arts. 14, 18 y 20); d) respeto de la integridad personal (Arts. 15, 16 y 17); e) respeto por la privacidad y la familia (Arts. 22 y 23); f) participación en la vida pública (Arts. 21, 29 y 30); g) vida independiente y con dignidad (Arts. 19, 26, 28);  h) derechos sociales básicos (arts. 24, 25 y 27). </w:t>
      </w:r>
    </w:p>
    <w:p w:rsidR="00F2036A" w:rsidRPr="00E72B02" w:rsidRDefault="00F2036A" w:rsidP="004551E9"/>
    <w:p w:rsidR="00F2036A" w:rsidRPr="00E72B02" w:rsidRDefault="00F2036A" w:rsidP="00745BB8">
      <w:pPr>
        <w:pStyle w:val="TTULO90"/>
      </w:pPr>
      <w:r w:rsidRPr="00E72B02">
        <w:t>3.7.1 El respeto por la vida de las personas con discapacidad</w:t>
      </w:r>
    </w:p>
    <w:p w:rsidR="00F2036A" w:rsidRPr="00E72B02" w:rsidRDefault="00F2036A" w:rsidP="004551E9"/>
    <w:p w:rsidR="00F2036A" w:rsidRPr="00E72B02" w:rsidRDefault="00F2036A" w:rsidP="004551E9">
      <w:r w:rsidRPr="00E72B02">
        <w:t xml:space="preserve">El artículo 10 reafirma que “el derecho inherente a la vida de todos los seres humanos” y que los Estados Partes deberán “adoptarán todas las medidas necesarias para garantizar el goce efectivo de ese derecho por las personas con discapacidad en igualdad de condiciones con las demás”. A primera vista, esta disposición no parece añadir nada nuevo a un derecho plenamente reconocido por el marco general del derecho internacional de los derechos </w:t>
      </w:r>
      <w:r w:rsidRPr="00E72B02">
        <w:lastRenderedPageBreak/>
        <w:t>humanos.</w:t>
      </w:r>
      <w:r w:rsidRPr="00E72B02">
        <w:rPr>
          <w:rStyle w:val="Refdenotaalpie"/>
          <w:rFonts w:eastAsia="Calibri"/>
          <w:lang w:val="es-ES"/>
        </w:rPr>
        <w:footnoteReference w:id="351"/>
      </w:r>
      <w:r w:rsidRPr="00E72B02">
        <w:t xml:space="preserve"> Sin embargo, cuando se observa esta disposición desde el prisma de la no discriminación, y más aún, desde el modelo social de discapacidad, su impacto y aplicación práctica se hace visible y fundamental.</w:t>
      </w:r>
      <w:r w:rsidRPr="00E72B02">
        <w:rPr>
          <w:rStyle w:val="Refdenotaalpie"/>
          <w:rFonts w:eastAsia="Calibri"/>
          <w:lang w:val="es-ES"/>
        </w:rPr>
        <w:footnoteReference w:id="352"/>
      </w:r>
      <w:r w:rsidRPr="00E72B02">
        <w:t xml:space="preserve"> </w:t>
      </w:r>
    </w:p>
    <w:p w:rsidR="00F2036A" w:rsidRPr="00E72B02" w:rsidRDefault="00F2036A" w:rsidP="004551E9">
      <w:r w:rsidRPr="00E72B02">
        <w:t>A pesar de la primera reacción de incredulidad que toda persona ajena al estudio, defensa o promoción de los derechos de las personas con discapacidad pueda naturalmente expresar, lo cierto es que el derecho a la vida no se encuentra debidamente protegido en relación con las personas con discapacidad y su vulneración es desafortunadamente una realidad de nuestros días, y no necesariamente en relación exclusiva a regiones pobres o menos desarrolladas del mundo. El artículo 10 no pretende proteger a las personas con discapacidad de aquellas causales más usuales de muertes en el mundo como las guerras, las hambrunas o las enfermedades (en cierta manera ello se contempla en el artículo 11), sino más bien, respecto de causales mucho más cercanas y habituales, que en muchos casos, se encuentran amparadas por la legislación, o por prácticas sociales muy arraigadas.</w:t>
      </w:r>
    </w:p>
    <w:p w:rsidR="00F2036A" w:rsidRPr="00E72B02" w:rsidRDefault="00F2036A" w:rsidP="004551E9">
      <w:r w:rsidRPr="00E72B02">
        <w:t>En rigor el Artículo 10 pretende combatir un prejuicio social con profundas raíces históricas provenientes del modelo de prescindencia (véase Capítulo 1), y que tiende a considerar que la vida de las personas con discapacidad no tiene el mismo valor que el resto de las personas, o incluso, en ciertas situaciones, no merece ser vivida.</w:t>
      </w:r>
    </w:p>
    <w:p w:rsidR="00F2036A" w:rsidRPr="00E72B02" w:rsidRDefault="00F2036A" w:rsidP="004551E9">
      <w:r w:rsidRPr="00E72B02">
        <w:lastRenderedPageBreak/>
        <w:t>Las amenazas respecto del goce efectivo del derecho a la vida de las personas con discapacidad pueden considerarse en las tres etapas cruciales de la existencia humana, esto es, el comienzo, el desarrollo y el fin de la vida.</w:t>
      </w:r>
      <w:r w:rsidRPr="00E72B02">
        <w:rPr>
          <w:rStyle w:val="Refdenotaalpie"/>
          <w:rFonts w:eastAsia="Calibri"/>
          <w:lang w:val="es-ES"/>
        </w:rPr>
        <w:footnoteReference w:id="353"/>
      </w:r>
      <w:r w:rsidRPr="00E72B02">
        <w:t xml:space="preserve"> </w:t>
      </w:r>
    </w:p>
    <w:p w:rsidR="00F2036A" w:rsidRPr="00E72B02" w:rsidRDefault="00F2036A" w:rsidP="004551E9">
      <w:r w:rsidRPr="00E72B02">
        <w:t>En relación con el comienzo de la vida, el derecho internacional de los derechos humanos, pese a reconocer el derecho humano a la vida de forma universal, no ofrece una definición clara sobre el momento en el cual se debe considerar que este derecho comienza a existir, lo que desde un punto de vista jurídico se traduce en la consideración de persona. La DUDH en su artículo 1 señala que “</w:t>
      </w:r>
      <w:r w:rsidRPr="00E72B02">
        <w:rPr>
          <w:i/>
        </w:rPr>
        <w:t>Todos los seres humanos nacen libres e iguales en dignidad y derechos</w:t>
      </w:r>
      <w:r w:rsidRPr="00E72B02">
        <w:t>”, y la CDN también en su artículo 1 “</w:t>
      </w:r>
      <w:r w:rsidRPr="00E72B02">
        <w:rPr>
          <w:i/>
        </w:rPr>
        <w:t>entiende por niño todo ser humano menor de dieciocho años de edad</w:t>
      </w:r>
      <w:r w:rsidRPr="00E72B02">
        <w:t>”. Con lo cual, pareciera que para el DIDH la consideración de persona comienza con el nacimiento. No obstante, ello no ha impedido que muchas legislaciones nacionales, y algunos movimientos de derecho</w:t>
      </w:r>
      <w:r w:rsidR="00972713">
        <w:t>s</w:t>
      </w:r>
      <w:r w:rsidRPr="00E72B02">
        <w:t xml:space="preserve"> humanos internacionales, consideren que la vida comienza con la concepción, y por ende, debe quedar amparada por la protección legal del marco universal de los derecho humanos. Más aún, la CADH establece en su artículo 4.1 que “</w:t>
      </w:r>
      <w:r w:rsidRPr="00E72B02">
        <w:rPr>
          <w:i/>
        </w:rPr>
        <w:t>Este derecho estará protegido por la ley y, en general, a partir del momento de la concepción</w:t>
      </w:r>
      <w:r w:rsidRPr="00E72B02">
        <w:t>”.</w:t>
      </w:r>
    </w:p>
    <w:p w:rsidR="00F2036A" w:rsidRPr="00E72B02" w:rsidRDefault="00F2036A" w:rsidP="004551E9">
      <w:r w:rsidRPr="00E72B02">
        <w:t xml:space="preserve">Más allá de la discusión jurídica, religiosa o bioética que esta cuestión genera, la cual quedaría fuera del objeto del presente trabajo, la CDPD exige el respeto estricto del principio de no discriminación, lo que supone no otorgar un trato diferente a las personas con discapacidad, o personas que presumiblemente puedan tener una discapacidad. La práctica demuestra que en muchos países se permite, o incluso de exige que los fetos que presentan </w:t>
      </w:r>
      <w:r w:rsidRPr="00E72B02">
        <w:lastRenderedPageBreak/>
        <w:t xml:space="preserve">ciertas anomalías genéticas o se consideran médicamente defectuosos, sean abortados, cuando al mismo tiempo de prohíbe el aborto en cualquier otra circunstancia. O por ejemplo se prohíbe el aborto pero se autoriza cuando la madre tiene una discapacidad mental y el embarazo ha sido fruto de una violación. </w:t>
      </w:r>
    </w:p>
    <w:p w:rsidR="00F2036A" w:rsidRPr="00E72B02" w:rsidRDefault="00F2036A" w:rsidP="004551E9">
      <w:r w:rsidRPr="00E72B02">
        <w:t>El Comité de la CDPD ha manifestado su preocupación sobre este tipo de leyes o prácticas, aunque no lo ha hecho en relación con el artículo 10 sino a la luz de los principios y obligaciones generales.</w:t>
      </w:r>
      <w:r w:rsidRPr="00E72B02">
        <w:rPr>
          <w:rStyle w:val="Refdenotaalpie"/>
          <w:rFonts w:eastAsia="Calibri"/>
          <w:lang w:val="es-ES"/>
        </w:rPr>
        <w:footnoteReference w:id="354"/>
      </w:r>
      <w:r w:rsidRPr="00E72B02">
        <w:t xml:space="preserve"> Esto puede ser una forma interesante de incidir sobre prácticas o normas basadas en modelos médicos o de ingeniería genética que supongan un tratamiento discriminatorio respecto de fetos con y sin discapacidad, sin necesidad de enfrentar las dificultades o limitaciones del derecho humano a la vida a la luz de derecho y la jurisprudencia internacional.</w:t>
      </w:r>
      <w:r w:rsidRPr="00E72B02">
        <w:rPr>
          <w:rStyle w:val="Refdenotaalpie"/>
          <w:rFonts w:eastAsia="Calibri"/>
          <w:lang w:val="es-ES"/>
        </w:rPr>
        <w:footnoteReference w:id="355"/>
      </w:r>
      <w:r w:rsidRPr="00E72B02">
        <w:t xml:space="preserve"> No obstante, es importante destacar que el derecho a la vida, al menos en la etapa desde la concepción hasta el nacimiento, también guarda estrecha relación con la noción de “personalidad jurídica” que se constituye como un pilar fundamental del marco universal de los derechos humanos.</w:t>
      </w:r>
      <w:r w:rsidRPr="00E72B02">
        <w:rPr>
          <w:rStyle w:val="Refdenotaalpie"/>
          <w:rFonts w:eastAsia="Calibri"/>
          <w:lang w:val="es-ES"/>
        </w:rPr>
        <w:footnoteReference w:id="356"/>
      </w:r>
    </w:p>
    <w:p w:rsidR="00F2036A" w:rsidRPr="00E72B02" w:rsidRDefault="00F2036A" w:rsidP="004551E9">
      <w:r w:rsidRPr="00E72B02">
        <w:lastRenderedPageBreak/>
        <w:t>En relación con el desarrollo de la vida, esto es, el trascurso de vida de todo ser humano desde el nacimiento hasta la muerte, el derecho a la vida de las personas con discapacidad suele verse amenazado por condiciones o condicionantes que pueden definir entre la vida o la muerte. Así las prácticas más habituales, suelen consistir en no brindar a personas con discapacidad de elementos básicos de subsistencia como alimentación, agua, refugio, o medicinas,</w:t>
      </w:r>
      <w:r w:rsidRPr="00E72B02">
        <w:rPr>
          <w:rStyle w:val="Refdenotaalpie"/>
          <w:rFonts w:eastAsia="Calibri"/>
          <w:lang w:val="es-ES"/>
        </w:rPr>
        <w:t xml:space="preserve"> </w:t>
      </w:r>
      <w:r w:rsidRPr="00E72B02">
        <w:rPr>
          <w:rStyle w:val="Refdenotaalpie"/>
          <w:rFonts w:eastAsia="Calibri"/>
          <w:lang w:val="es-ES"/>
        </w:rPr>
        <w:footnoteReference w:id="357"/>
      </w:r>
      <w:r w:rsidRPr="00E72B02">
        <w:t xml:space="preserve">  o a veces se traducen en prácticas más sutiles como rehusar un tratamiento médico para salvar la vida, o rehusar recibir una transferencia de órganos.</w:t>
      </w:r>
      <w:r w:rsidRPr="00E72B02">
        <w:rPr>
          <w:rStyle w:val="Refdenotaalpie"/>
          <w:rFonts w:eastAsia="Calibri"/>
          <w:lang w:val="es-ES"/>
        </w:rPr>
        <w:footnoteReference w:id="358"/>
      </w:r>
      <w:r w:rsidRPr="00E72B02">
        <w:t xml:space="preserve"> </w:t>
      </w:r>
    </w:p>
    <w:p w:rsidR="00F2036A" w:rsidRPr="00E72B02" w:rsidRDefault="00F2036A" w:rsidP="004551E9">
      <w:r w:rsidRPr="00E72B02">
        <w:t>Finalmente, y en relación con la terminación de la vida, la discapacidad suele utilizarse como motivo o justificativo para autorizar prácticas de eutanasia, bajo la consideración que la vida de ciertas personas con discapacidad no merece seguir siendo vivida.</w:t>
      </w:r>
      <w:r w:rsidRPr="00E72B02">
        <w:rPr>
          <w:rStyle w:val="Refdenotaalpie"/>
          <w:rFonts w:eastAsia="Calibri"/>
          <w:lang w:val="es-ES"/>
        </w:rPr>
        <w:footnoteReference w:id="359"/>
      </w:r>
      <w:r w:rsidRPr="00E72B02">
        <w:t xml:space="preserve"> Así numerosos casos de gran impacto social y que han sido incluso abordados por tribunales internacionales, han puesto en análisis la relación entre la discapacidad y el derecho a morir, por ejemplo, mediante el suicidio asistido, el retiro de respiración artificial, mediante órdenes de no resucitar etc.</w:t>
      </w:r>
      <w:r w:rsidRPr="00E72B02">
        <w:rPr>
          <w:rStyle w:val="Refdenotaalpie"/>
          <w:rFonts w:eastAsia="Calibri"/>
          <w:lang w:val="es-ES"/>
        </w:rPr>
        <w:footnoteReference w:id="360"/>
      </w:r>
      <w:r w:rsidRPr="00E72B02">
        <w:t xml:space="preserve"> </w:t>
      </w:r>
    </w:p>
    <w:p w:rsidR="00F2036A" w:rsidRPr="00E72B02" w:rsidRDefault="00F2036A" w:rsidP="004551E9">
      <w:r w:rsidRPr="00E72B02">
        <w:lastRenderedPageBreak/>
        <w:t xml:space="preserve">  En resumen</w:t>
      </w:r>
      <w:r w:rsidR="00972713">
        <w:t>,</w:t>
      </w:r>
      <w:r w:rsidRPr="00E72B02">
        <w:t xml:space="preserve"> el artículo 10 requiere reflexionar y analizar si el ordenamiento jurídico, o las prácticas en los Estados Partes permiten o alientas algún tipo de distinción entre personas con discapacidad y personas sin discapacidad en relación con el derecho a la vida.</w:t>
      </w:r>
      <w:r w:rsidRPr="00E72B02">
        <w:rPr>
          <w:rStyle w:val="Refdenotaalpie"/>
          <w:rFonts w:eastAsia="Calibri"/>
          <w:lang w:val="es-ES"/>
        </w:rPr>
        <w:footnoteReference w:id="361"/>
      </w:r>
      <w:r w:rsidRPr="00E72B02">
        <w:t xml:space="preserve"> </w:t>
      </w:r>
    </w:p>
    <w:p w:rsidR="00F2036A" w:rsidRPr="00E72B02" w:rsidRDefault="00F2036A" w:rsidP="004551E9">
      <w:r w:rsidRPr="00E72B02">
        <w:t>El artículo 11 de la CDPD</w:t>
      </w:r>
      <w:r w:rsidR="00336E41" w:rsidRPr="00E72B02">
        <w:t>, por su p</w:t>
      </w:r>
      <w:r w:rsidR="00972713">
        <w:t>a</w:t>
      </w:r>
      <w:r w:rsidR="00336E41" w:rsidRPr="00E72B02">
        <w:t xml:space="preserve">rte se aboca a regular la protección de las personas con discapacidad en situaciones de riesgo y emergencias humanitarias. </w:t>
      </w:r>
      <w:r w:rsidRPr="00E72B02">
        <w:t>Esta disposición guarda una estrecha relación con el artículo 10, puesto que su principal, aunque no único objetivo, consiste en resguardar el derecho a la vida. Mientras el artículo 10 está previsto más bien para situaciones de paz u ordinarias, el artículo 11 intenta dar cuenta de situaciones extraordinarias como conflictos armados, emergencias humanitarias y desastres naturales.</w:t>
      </w:r>
    </w:p>
    <w:p w:rsidR="00F2036A" w:rsidRPr="00E72B02" w:rsidRDefault="00F2036A" w:rsidP="004551E9">
      <w:r w:rsidRPr="00E72B02">
        <w:t>El artículo 11 de la CDPD evidencia algo que el Tribunal Internacional de Justicia (TIJ) ha aclarado en varias ocasiones, esto es, que los subsistemas de derecho internacional aplicables a tiempos de paz (DIDH) y situaciones de conflictos armados (DIH), no son excluyentes dado que “</w:t>
      </w:r>
      <w:r w:rsidRPr="00E72B02">
        <w:rPr>
          <w:i/>
        </w:rPr>
        <w:t>pueden presentarse tres situaciones: algunos derechos pueden estar contemplados exclusivamente en el derecho internacional humanitario, otros pueden estar contemplados exclusivamente en el derecho de los derechos humanos, y otros pueden estar contemplados en ambas ramas del derecho internacional</w:t>
      </w:r>
      <w:r w:rsidRPr="00E72B02">
        <w:t>”.</w:t>
      </w:r>
      <w:r w:rsidRPr="00E72B02">
        <w:rPr>
          <w:rStyle w:val="Refdenotaalpie"/>
          <w:rFonts w:eastAsia="Calibri"/>
          <w:lang w:val="es-ES"/>
        </w:rPr>
        <w:footnoteReference w:id="362"/>
      </w:r>
      <w:r w:rsidRPr="00E72B02">
        <w:t xml:space="preserve"> Ello queda plenamente reflejado en el texto del artículo 11 de la CDPD, que impone una obligación especial a los Estados Parte, la </w:t>
      </w:r>
      <w:r w:rsidRPr="00E72B02">
        <w:lastRenderedPageBreak/>
        <w:t>cual se debe reinterpretar a la luz de las normas aplicables al caso concreto “</w:t>
      </w:r>
      <w:r w:rsidRPr="00E72B02">
        <w:rPr>
          <w:i/>
        </w:rPr>
        <w:t>con arreglo al derecho internacional, y en concreto el derecho internacional humanitario y el derecho internacional de los derechos humanos</w:t>
      </w:r>
      <w:r w:rsidRPr="00E72B02">
        <w:t xml:space="preserve">”. </w:t>
      </w:r>
    </w:p>
    <w:p w:rsidR="00F2036A" w:rsidRPr="00E72B02" w:rsidRDefault="00F2036A" w:rsidP="004551E9">
      <w:r w:rsidRPr="00E72B02">
        <w:t xml:space="preserve">El Artículo 11 cobra vigencia ante situaciones que se podrían agrupar en tres según la lectura literal de la disposición, esto es, conflictos armados, emergencias humanitarias y desastres naturales. A ello habría que añadir aquellas </w:t>
      </w:r>
      <w:r w:rsidR="00972713">
        <w:t>situaciones</w:t>
      </w:r>
      <w:r w:rsidRPr="00E72B02">
        <w:t xml:space="preserve"> menos graves pero que requieren de actuaciones extraordinarias y de emergencias como incendios, apagones, o estados de sitio. Con lo cual, el Artículo 11 tiene aplicación frente a la actuación del Estado al interior y al exterior de su territorio, así como respecto de las fuerzas armadas o fuerzas de seguridad interior.</w:t>
      </w:r>
    </w:p>
    <w:p w:rsidR="00F2036A" w:rsidRPr="00E72B02" w:rsidRDefault="00F2036A" w:rsidP="004551E9">
      <w:r w:rsidRPr="00E72B02">
        <w:t>La razón de ser del Artículo 11 surge, una vez más, a raíz de la triste realidad que las personas con discapacidad enfrentan en relación con situaciones de riesgo y emergencia humanitaria. Por ejemplo, el paso del tsunami en Asia en 2007,</w:t>
      </w:r>
      <w:r w:rsidRPr="00E72B02">
        <w:rPr>
          <w:rStyle w:val="Refdenotaalpie"/>
          <w:rFonts w:eastAsia="Calibri"/>
          <w:lang w:val="es-ES"/>
        </w:rPr>
        <w:footnoteReference w:id="363"/>
      </w:r>
      <w:r w:rsidRPr="00E72B02">
        <w:t xml:space="preserve"> y varias crisis que resultaron en conflictos armados, como Afganistán, Irak y Uganda del Norte, - revelaron la falla de grandes operaciones humanitarias en responder apropiadamente a las necesidades de los beneficiarios con discapacidad.</w:t>
      </w:r>
      <w:r w:rsidRPr="00E72B02">
        <w:rPr>
          <w:rStyle w:val="Refdenotaalpie"/>
          <w:rFonts w:eastAsia="Calibri"/>
          <w:lang w:val="es-ES"/>
        </w:rPr>
        <w:footnoteReference w:id="364"/>
      </w:r>
      <w:r w:rsidRPr="00E72B02">
        <w:t xml:space="preserve"> Los huracanes Katrina y Rita en los Estados Unidos revelaron la falla de la preparación para </w:t>
      </w:r>
      <w:r w:rsidRPr="00E72B02">
        <w:lastRenderedPageBreak/>
        <w:t>desastres a nivel federal de los EE.UU. para atender las necesidades de las personas con discapacidad.</w:t>
      </w:r>
      <w:r w:rsidRPr="00E72B02">
        <w:rPr>
          <w:rStyle w:val="Refdenotaalpie"/>
          <w:lang w:val="es-ES"/>
        </w:rPr>
        <w:footnoteReference w:id="365"/>
      </w:r>
    </w:p>
    <w:p w:rsidR="00F2036A" w:rsidRPr="00E72B02" w:rsidRDefault="00F2036A" w:rsidP="004551E9">
      <w:r w:rsidRPr="00E72B02">
        <w:t>Si nos introducimos en el ámbito del DIH,</w:t>
      </w:r>
      <w:r w:rsidR="00DB735C">
        <w:rPr>
          <w:rStyle w:val="Refdenotaalpie"/>
          <w:rFonts w:eastAsia="Calibri"/>
          <w:lang w:val="es-ES"/>
        </w:rPr>
        <w:footnoteReference w:id="366"/>
      </w:r>
      <w:r w:rsidRPr="00E72B02">
        <w:t xml:space="preserve"> tanto de carácter consuetudinario como convencional, podremos apreciar y detectar un tratamiento de la discapacidad desde un modelo predominantemente médico o rehabilitador y que, como consecuencia de ello, se centra en la protección de la persona desde una mirada asistencialista. Un claro ejemplo de ello lo encontramos en la Norma 110 de Derecho Internacional Humanitario Consuetudinario la cual establece que “</w:t>
      </w:r>
      <w:r w:rsidRPr="00E72B02">
        <w:rPr>
          <w:i/>
        </w:rPr>
        <w:t>los heridos, los enfermos y los náufragos recibirán cuanto antes, en la medida de lo posible, los cuidados médicos que exija su estado. No se hará entre ellos ninguna distinción que no esté basada en criterios médicos</w:t>
      </w:r>
      <w:r w:rsidRPr="00E72B02">
        <w:t>”, así como en la Norma 113 que establece que “</w:t>
      </w:r>
      <w:r w:rsidRPr="00E72B02">
        <w:rPr>
          <w:i/>
        </w:rPr>
        <w:t>los ancianos, los inválidos y los enfermos mentales afectados por los conflictos armados tienen derecho a un respeto y protección especiales</w:t>
      </w:r>
      <w:r w:rsidRPr="00E72B02">
        <w:t>”. En este sentido, y dentro de la importantísima tarea que lleva adelante el Comité Internacional de la Cruz Roja (CICR) en las áreas afectadas por los conflictos armados, el servicio de rehabilitación física cumple un papel fundamental.</w:t>
      </w:r>
      <w:r w:rsidRPr="00E72B02">
        <w:rPr>
          <w:rStyle w:val="Refdenotaalpie"/>
          <w:rFonts w:eastAsia="Calibri"/>
          <w:lang w:val="es-ES"/>
        </w:rPr>
        <w:footnoteReference w:id="367"/>
      </w:r>
      <w:r w:rsidRPr="00E72B02">
        <w:t xml:space="preserve"> </w:t>
      </w:r>
    </w:p>
    <w:p w:rsidR="00F2036A" w:rsidRPr="00E72B02" w:rsidRDefault="00F2036A" w:rsidP="004551E9">
      <w:r w:rsidRPr="00E72B02">
        <w:t xml:space="preserve">Quizás el principal inconveniente frente a la perspectiva de protección especial del DIH hacia las personas con discapacidad radique en la </w:t>
      </w:r>
      <w:r w:rsidRPr="00E72B02">
        <w:lastRenderedPageBreak/>
        <w:t>confusión, o asimilación entre los heridos y enfermos, y las personas con discapacidad. Es cierto que los conflictos armados generan discapacidades, pero también es preciso tener presente que los conflictos armados o las situaciones de emergencia humanitaria pueden afectar a personas que ya tienen una discapacidad, y frente a ellas, la CDPD exige un abordaje mucho más amplio y comprensivo que la protección asistencialista que recoge el DIH.</w:t>
      </w:r>
      <w:r w:rsidRPr="00E72B02">
        <w:rPr>
          <w:rStyle w:val="Refdenotaalpie"/>
          <w:rFonts w:eastAsia="Calibri"/>
          <w:lang w:val="es-ES"/>
        </w:rPr>
        <w:footnoteReference w:id="368"/>
      </w:r>
    </w:p>
    <w:p w:rsidR="00F2036A" w:rsidRPr="00E72B02" w:rsidRDefault="00F2036A" w:rsidP="004551E9">
      <w:r w:rsidRPr="00E72B02">
        <w:t>El artículo 11 debe ser leído e interpretado de forma conjunta con todas las normas de la CDPD y, al mismo tiempo, debe servir de base para la reinterpretación del derecho de protección especial que establece el DIH. Desde este punto de vista el derecho de protección se debe centrar en los derechos de las personas con discapacidad, y como consecuencia de ello, en el contenido normativo que la CDPD establece frente de derechos básicos como la vida (art. 10), la integridad física y personal (art.17),  la libertad y seguridad personal (Art. 14), la protección contra la tortura (Art. 14),  la libertad de desplazamiento (art. 18), la movilidad personal (art. 20), y el derecho a la comunicación y a la información (arts. 2 y 21).</w:t>
      </w:r>
    </w:p>
    <w:p w:rsidR="00F2036A" w:rsidRPr="00E72B02" w:rsidRDefault="00F2036A" w:rsidP="004551E9">
      <w:r w:rsidRPr="00E72B02">
        <w:t xml:space="preserve">Así, la actuación de las Fuerzas Armadas, o cualquier otra grupo organizado como Defensa Civil, Cruz Roja, Insurgentes, Bomberos, Policía, etc., en la realización del deber de protección especial de las personas con discapacidad no se debiera reducir a garantizar la protección contra la hostilidades y a la atención médica, sino que debiera además incluir medidas como la disponibilidad de medios alternativos de comunicación, de accesibilidad y ajustes razonables, de protección contra los abusos, de autonomía personal y movilidad, de tecnología de la información y de la </w:t>
      </w:r>
      <w:r w:rsidRPr="00E72B02">
        <w:lastRenderedPageBreak/>
        <w:t>comunicación, de perspectiva de género y de edad y de acceso a la información.</w:t>
      </w:r>
      <w:r w:rsidRPr="00E72B02">
        <w:rPr>
          <w:rStyle w:val="Refdenotaalpie"/>
          <w:lang w:val="es-ES"/>
        </w:rPr>
        <w:footnoteReference w:id="369"/>
      </w:r>
    </w:p>
    <w:p w:rsidR="00F2036A" w:rsidRPr="00E72B02" w:rsidRDefault="00F2036A" w:rsidP="004551E9"/>
    <w:p w:rsidR="00F2036A" w:rsidRPr="00E52D11" w:rsidRDefault="00F2036A" w:rsidP="00E52D11">
      <w:pPr>
        <w:pStyle w:val="TITULO9"/>
        <w:jc w:val="both"/>
        <w:rPr>
          <w:b w:val="0"/>
          <w:sz w:val="24"/>
        </w:rPr>
      </w:pPr>
      <w:r w:rsidRPr="00E52D11">
        <w:rPr>
          <w:b w:val="0"/>
          <w:sz w:val="24"/>
        </w:rPr>
        <w:t>3.7.2 Igual</w:t>
      </w:r>
      <w:r w:rsidR="00972713" w:rsidRPr="00E52D11">
        <w:rPr>
          <w:b w:val="0"/>
          <w:sz w:val="24"/>
        </w:rPr>
        <w:t>DAd</w:t>
      </w:r>
      <w:r w:rsidRPr="00E52D11">
        <w:rPr>
          <w:b w:val="0"/>
          <w:sz w:val="24"/>
        </w:rPr>
        <w:t xml:space="preserve"> ante la ley y acceso efectivo a la justicia por parte de las personas con discapacidad</w:t>
      </w:r>
    </w:p>
    <w:p w:rsidR="00F2036A" w:rsidRPr="00E72B02" w:rsidRDefault="00F2036A" w:rsidP="004551E9"/>
    <w:p w:rsidR="00F2036A" w:rsidRPr="00E72B02" w:rsidRDefault="00F2036A" w:rsidP="004551E9">
      <w:r w:rsidRPr="00E72B02">
        <w:t xml:space="preserve">Como se ha señalado ya, el artículo 12 recoge un cambio de paradigma en el modo de entender y de regular el ejercicio de la capacidad jurídica de las personas con discapacidad. Dado que dicha disposición constituye en objeto principal del presente trabajo, el contenido del citado artículo 12 será desarrollado y analizado en detalle en el Capítulo 5. </w:t>
      </w:r>
    </w:p>
    <w:p w:rsidR="00F2036A" w:rsidRPr="00E72B02" w:rsidRDefault="00F2036A" w:rsidP="004551E9">
      <w:r w:rsidRPr="00E72B02">
        <w:t xml:space="preserve">Más allá de la importancia del reconocimiento de la personalidad y la capacidad jurídica de las personas con discapacidad que regula el artículo, el Artículo 13 aborda otro aspecto fundamental para la igualdad ante la ley, el acceso real y efectivo a la justicia. Cuando nos referimos al acceso a la justicia lo podemos hacer desde una noción amplia o bien desde una visión restringida. Desde una visión restringida, el acceso a la justicia se lo suele asociar con la noción de “tutela judicial efectiva”, y que en rigor supone el compromiso del Estado de Derecho de garantizar a todas las personas la intervención de la justicia ante cualquier conflicto de intereses tutelados por el ordenamiento jurídico. Si el Estado asume el monopolio de la fuerza y priva a las personas del uso de la autocomposición, es lógico que, a cambio, garantice el acceso a un tercero imparcial para la resolución de los conflictos. Desde una visión más amplia el acceso a la justicia, comprende </w:t>
      </w:r>
      <w:r w:rsidRPr="00E72B02">
        <w:lastRenderedPageBreak/>
        <w:t>obviamente al derecho a la tutela judicial efectiva, pero amplia su alcance a todas aquellas circunstancias sociales, económicas, personales, y de cualquier otro tipo que pudieran, en la práctica, dificultar o impedir a la personas acceder al amparo de la justicia. En otras palabras, mientras la visión restringida el acceso a la justicia está planteada en términos de igualdad formal, la visión amplia de la misma, se plantea en términos de igualdad material, o incluso, de igualdad de oportunidades.</w:t>
      </w:r>
      <w:r w:rsidRPr="00E72B02">
        <w:rPr>
          <w:rStyle w:val="Refdenotaalpie"/>
          <w:lang w:val="es-ES"/>
        </w:rPr>
        <w:footnoteReference w:id="370"/>
      </w:r>
      <w:r w:rsidRPr="00E72B02">
        <w:t xml:space="preserve"> </w:t>
      </w:r>
    </w:p>
    <w:p w:rsidR="00F2036A" w:rsidRPr="00E72B02" w:rsidRDefault="00F2036A" w:rsidP="004551E9">
      <w:r w:rsidRPr="00E72B02">
        <w:t xml:space="preserve">Podría afirmarse entonces, que el derecho a la justicia es, además de un derecho autónomo, un derecho instrumental para la realización de los demás derechos (civiles, políticos, económicos, sociales y culturales). Como expresa </w:t>
      </w:r>
      <w:r w:rsidRPr="00E72B02">
        <w:rPr>
          <w:caps/>
        </w:rPr>
        <w:t>Lawson</w:t>
      </w:r>
      <w:r w:rsidRPr="00E72B02">
        <w:t>, cuando el derecho a la justicia es denegado, el resultado es la “muerte civil” de la persona.</w:t>
      </w:r>
      <w:r w:rsidRPr="00E72B02">
        <w:rPr>
          <w:rStyle w:val="Refdenotaalpie"/>
        </w:rPr>
        <w:footnoteReference w:id="371"/>
      </w:r>
      <w:r w:rsidRPr="00E72B02">
        <w:t xml:space="preserve"> </w:t>
      </w:r>
    </w:p>
    <w:p w:rsidR="00F2036A" w:rsidRPr="00E72B02" w:rsidRDefault="00F2036A" w:rsidP="004551E9">
      <w:r w:rsidRPr="00E72B02">
        <w:t>Este derecho, en su doble vertiente (autónomo e instrumental), es un derecho humano fundamental, cuyo contenido esencial engloba el acceso efectivo de las personas “a los sistemas, procedimientos, información y lugares utilizados por la administración de justicia”.</w:t>
      </w:r>
      <w:r w:rsidRPr="00E72B02">
        <w:rPr>
          <w:rStyle w:val="Refdenotaalpie"/>
        </w:rPr>
        <w:footnoteReference w:id="372"/>
      </w:r>
      <w:r w:rsidRPr="00E72B02">
        <w:t xml:space="preserve"> </w:t>
      </w:r>
    </w:p>
    <w:p w:rsidR="00F2036A" w:rsidRPr="00E72B02" w:rsidRDefault="00F2036A" w:rsidP="004551E9">
      <w:r w:rsidRPr="00E72B02">
        <w:t xml:space="preserve">Dicho acceso efectivo no solo se refiere a la persona en su carácter de administrado, sino también para formar parte de dicha administración. Históricamente, las personas con discapacidad han encontrado denegado su acceso a la justicia y al igual tratamiento por parte de Cortes, Tribunales, operadores jurídicos, sistema penitenciario, y demás cuerpos involucrados en la administración de justicia. Ello no solo a la hora de querer acceder a la justicia buscando reparación, sino también a la hora de aspirar a posiciones </w:t>
      </w:r>
      <w:r w:rsidRPr="00E72B02">
        <w:lastRenderedPageBreak/>
        <w:t xml:space="preserve">tales como jueces y demás actores en el ámbito de la administración de justicia.  De este modo, diferentes barreras no solo limitan la posibilidad de utilizar el sistema de justicia por parte de las personas con discapacidad, sino que también limitan y/o impiden su posibilidad de contribuir a la administración de justicia, a la sociedad y a la comunidad. </w:t>
      </w:r>
    </w:p>
    <w:p w:rsidR="00F2036A" w:rsidRPr="00E72B02" w:rsidRDefault="00F2036A" w:rsidP="004551E9">
      <w:r w:rsidRPr="00E72B02">
        <w:t xml:space="preserve">Como señala </w:t>
      </w:r>
      <w:r w:rsidRPr="00E72B02">
        <w:rPr>
          <w:caps/>
        </w:rPr>
        <w:t>Cisternas</w:t>
      </w:r>
      <w:r w:rsidRPr="00E72B02">
        <w:t>,</w:t>
      </w:r>
      <w:r w:rsidRPr="00E72B02">
        <w:rPr>
          <w:rStyle w:val="Refdenotaalpie"/>
        </w:rPr>
        <w:footnoteReference w:id="373"/>
      </w:r>
      <w:r w:rsidRPr="00E72B02">
        <w:t xml:space="preserve"> el verbo rector utilizado es “asegurar”, lo que implica que la garantía obliga a los Estados Partes a realizar todo lo necesario para que el sujeto de derecho pueda acceder a las distintas fases de conocimiento, consideración y juzgamiento que envuelve un proceso judicial. Por un lado esta prescripción impera particularmente a la aplicación del principio de accesibilidad y sus disposiciones de implementación. Ello obliga tanto a la eliminación de barreras como al diseño de políticas y medidas que den cobertura a tal Mandato, significando Tribunales cuya infraestructura, distribución de sus espacios, mobiliarios, instalaciones y señalizaciones estén acordes a la exigencia actual, de igual modo que la información, las comunicaciones, la tecnología y también el transporte a través del cual se llega a los recintos judiciales y policiales. También se hace aplicable la asistencia humana o animal e intermediarios, incluidos guías, lectores e intérpretes profesionales de la lengua de señas, para facilitar el acceso a los Juzgados y Cortes. </w:t>
      </w:r>
    </w:p>
    <w:p w:rsidR="00F2036A" w:rsidRPr="00E72B02" w:rsidRDefault="00F2036A" w:rsidP="004551E9">
      <w:r w:rsidRPr="00E72B02">
        <w:t>Por ello, se podría afirmar que la noción de acceso a la justicia del artículo 13 de la CDPD se proyecta en al menos tres dimensiones, esto es, legal, física, y comunicacional.</w:t>
      </w:r>
      <w:r w:rsidRPr="00E72B02">
        <w:rPr>
          <w:rStyle w:val="Refdenotaalpie"/>
        </w:rPr>
        <w:footnoteReference w:id="374"/>
      </w:r>
      <w:r w:rsidRPr="00E72B02">
        <w:t xml:space="preserve"> En lo que respecta a la dimensión legal, los Estados Partes deben asegurar que todas las personas con discapacidad </w:t>
      </w:r>
      <w:r w:rsidRPr="00E72B02">
        <w:lastRenderedPageBreak/>
        <w:t>tengan legitimación activa y pasiva para acceder efectivamente a los procedimientos judiciales en nombre propio.</w:t>
      </w:r>
      <w:r w:rsidRPr="00E72B02">
        <w:rPr>
          <w:rStyle w:val="Refdenotaalpie"/>
          <w:lang w:val="es-ES"/>
        </w:rPr>
        <w:footnoteReference w:id="375"/>
      </w:r>
      <w:r w:rsidRPr="00E72B02">
        <w:t xml:space="preserve"> Esto se vincula directamente con el artículo 12 sobre la igualdad en el ejercicio de la capacidad jurídica.</w:t>
      </w:r>
      <w:r w:rsidRPr="00E72B02">
        <w:rPr>
          <w:rStyle w:val="Refdenotaalpie"/>
        </w:rPr>
        <w:footnoteReference w:id="376"/>
      </w:r>
      <w:r w:rsidRPr="00E72B02">
        <w:t xml:space="preserve"> En la dimensión física, los Estados Partes deberán asegurar que las instalaciones judiciales o las oficinas públicas de reclamación de derechos, sea accesibles a las personas con discapacidad. Esto se vincula directamente con el artículo 9 sobre accesibilidad. Finalmente en lo que respecta a la dimensión comunicacional, los Estados Partes deberán asegurar que toda la información relevante que se provea en el curso de un proceso judicial sea accesible para las personas con discapacidad en formatos alternativos de comunicación. Esto se vincula directamente con los artículos 2 y 21.</w:t>
      </w:r>
      <w:r w:rsidRPr="00E72B02">
        <w:rPr>
          <w:rStyle w:val="Refdenotaalpie"/>
        </w:rPr>
        <w:footnoteReference w:id="377"/>
      </w:r>
      <w:r w:rsidRPr="00E72B02">
        <w:t xml:space="preserve"> </w:t>
      </w:r>
    </w:p>
    <w:p w:rsidR="00F2036A" w:rsidRPr="00E72B02" w:rsidRDefault="00F2036A" w:rsidP="004551E9">
      <w:pPr>
        <w:rPr>
          <w:shd w:val="clear" w:color="auto" w:fill="FF0000"/>
        </w:rPr>
      </w:pPr>
      <w:r w:rsidRPr="00E72B02">
        <w:t>De este modo como señala Cisternas,</w:t>
      </w:r>
      <w:r w:rsidRPr="00E72B02">
        <w:rPr>
          <w:rStyle w:val="Refdenotaalpie"/>
        </w:rPr>
        <w:footnoteReference w:id="378"/>
      </w:r>
      <w:r w:rsidRPr="00E72B02">
        <w:t xml:space="preserve"> los ajustes en el campo del acceso a la justicia, pueden ser de variada índole.</w:t>
      </w:r>
    </w:p>
    <w:p w:rsidR="00F2036A" w:rsidRPr="00E72B02" w:rsidRDefault="00F2036A" w:rsidP="004551E9">
      <w:r w:rsidRPr="00E72B02">
        <w:t xml:space="preserve">b. “…Facilitar el desempeño de las funciones efectivas de las personas con discapacidad…”: Se trata de no restringir a la persona con discapacidad a una participación procesal meramente formal. Vale decir que, además de poder desarrollar cualquier rol en un proceso, éste no sea sólo nominal sino </w:t>
      </w:r>
      <w:r w:rsidRPr="00E72B02">
        <w:lastRenderedPageBreak/>
        <w:t>con reales alternativas de eficacia en su gestión jurídica. Nuevamente, el centro de este segmento de la garantía, nos sitúa frente a una persona con discapacidad que expresa su pensamiento, opiniones y apreciaciones, de una manera adecuada a su diversidad y que ello sea convenientemente recogido en un proceso judicial.</w:t>
      </w:r>
    </w:p>
    <w:p w:rsidR="00F2036A" w:rsidRPr="00E72B02" w:rsidRDefault="00F2036A" w:rsidP="004551E9">
      <w:r w:rsidRPr="00E72B02">
        <w:t>c.- “…Como participantes directos o indirectos, incluida la declaración como testigos…”: Con esto se quiere enfatizar la garantía a la participación más amplia que una persona pueda desarrollar en un proceso; demandante, demandado, querellante, querellado, denunciante, denunciado, apelante, apelado, recurrente, recurrido, solicitante, peticionario, coadyuvante, tercerista o testigo, entre otros.</w:t>
      </w:r>
    </w:p>
    <w:p w:rsidR="00F2036A" w:rsidRPr="00E72B02" w:rsidRDefault="00F2036A" w:rsidP="004551E9">
      <w:r w:rsidRPr="00E72B02">
        <w:t>d. “…En todos los procedimientos judiciales, incluida la etapa de investigación…”: La garantía excede el marco de los procesos penales y civiles a que se refiere el PIDCP. El artículo 13 de la CDPD, se hace extensible a todo otro procedimiento contemplado en las legislaciones nacionales; de familia, comerciales, tributarios, laborales, aduaneros, administrativos, arbitrales y de mediación, entre otros.</w:t>
      </w:r>
    </w:p>
    <w:p w:rsidR="00F2036A" w:rsidRPr="00E72B02" w:rsidRDefault="00F2036A" w:rsidP="004551E9">
      <w:r w:rsidRPr="00E72B02">
        <w:t>Además involucra a los procedimientos que se desarrollan en diversos tipos de tribunales, partiendo desde la base de la pirámide jurisdiccional, llegando a las más altas Cortes, pasando también por Tribunales ad-hoc sí estos fueren contemplados en las legislaciones nacionales.</w:t>
      </w:r>
    </w:p>
    <w:p w:rsidR="00F2036A" w:rsidRPr="00E72B02" w:rsidRDefault="00F2036A" w:rsidP="004551E9">
      <w:r w:rsidRPr="00E72B02">
        <w:t>e.- “…y otras etapas preliminares”: Con esta enunciación, la garantía se extiende a etapas anteriores a la existencia de un proceso judicial, incluyendo las diligencias policiales iniciales y otras medidas prejudiciales.</w:t>
      </w:r>
    </w:p>
    <w:p w:rsidR="00F2036A" w:rsidRPr="00E72B02" w:rsidRDefault="00F2036A" w:rsidP="004551E9">
      <w:r w:rsidRPr="00E72B02">
        <w:t xml:space="preserve">f.- “A fin de asegurar que las personas con discapacidad tengan acceso efectivo a la justicia, los Estados Partes promoverán la capacitación adecuada de los que trabajan en la administración de justicia, incluido el personal policial y penitenciario”: Esta prescripción es de vital significación, ya que dichos agentes especializados deberán aplicar ajustes </w:t>
      </w:r>
      <w:r w:rsidRPr="00E72B02">
        <w:lastRenderedPageBreak/>
        <w:t xml:space="preserve">de procedimiento contemplados en la ley y en las regulaciones del poder judicial, incluyendo sistemas de apoyo y salvaguardias con base en el principio de la justicia, entendida como dar a cada cual lo que le corresponde o lo que merece. Será relevante que los funcionarios aludidos, profundicen en el sentido intrínseco de la CDPD, su propósito, principios, obligaciones, derechos y libertades que aborda, de tal manera de otorgar una correcta atención a las personas con discapacidad que se presentan ante la judicatura, comprendiendo que, dentro de la garantía del acceso a la justicia, resultará indispensable la correcta aplicación del artículo 12 de la CDPD. </w:t>
      </w:r>
    </w:p>
    <w:p w:rsidR="00F2036A" w:rsidRPr="00E72B02" w:rsidRDefault="00F2036A" w:rsidP="004551E9">
      <w:r w:rsidRPr="00E72B02">
        <w:t xml:space="preserve">Finalmente, el artículo 13 también reconoce que todas estas adaptaciones no podrán ocurrir de un día para otro, con lo cual, establece en su apartado 2 que a “fin de asegurar que las personas con discapacidad tengan acceso efectivo a la justicia, los Estados Partes promoverán la capacitación adecuada de los que trabajan en la administración de justicia, incluido el personal policial y penitenciario”. </w:t>
      </w:r>
    </w:p>
    <w:p w:rsidR="00F2036A" w:rsidRPr="00E72B02" w:rsidRDefault="00F2036A" w:rsidP="004551E9"/>
    <w:p w:rsidR="00F2036A" w:rsidRPr="00E52D11" w:rsidRDefault="00F2036A" w:rsidP="00E52D11">
      <w:pPr>
        <w:pStyle w:val="TITULO9"/>
        <w:jc w:val="both"/>
        <w:rPr>
          <w:b w:val="0"/>
          <w:sz w:val="24"/>
        </w:rPr>
      </w:pPr>
      <w:r w:rsidRPr="00E52D11">
        <w:rPr>
          <w:b w:val="0"/>
          <w:sz w:val="24"/>
        </w:rPr>
        <w:t>3.7.3 Las múltiples dimensiones del derecho a la libertad de las personas con discapacidad</w:t>
      </w:r>
    </w:p>
    <w:p w:rsidR="00F2036A" w:rsidRPr="00E72B02" w:rsidRDefault="00F2036A" w:rsidP="004551E9"/>
    <w:p w:rsidR="00F2036A" w:rsidRPr="00E72B02" w:rsidRDefault="00F2036A" w:rsidP="004551E9">
      <w:r w:rsidRPr="00E72B02">
        <w:t xml:space="preserve">Otro derecho humano y básico el cual se encuentra muy frecuentemente comprometido respecto de las personas con discapacidad, es la libertad. La CDPD recoge en disposiciones autónomas diferentes dimensiones de este derecho, teniendo en cuenta la discriminación histórica a la cual han sido sometidas las personas con discapacidad. En este sentido es posible identificar al menos tres dimensiones fundamentales para el goce real y efectivo del derecho humano a la libertad de los personas con discapacidad, esto es, la garantía de no privación ilegitima de libertad, la garantía de libertad de desplazamiento¸ y la garantía de movilidad personal. </w:t>
      </w:r>
    </w:p>
    <w:p w:rsidR="00F2036A" w:rsidRPr="00E72B02" w:rsidRDefault="00F2036A" w:rsidP="004551E9">
      <w:r w:rsidRPr="00E72B02">
        <w:lastRenderedPageBreak/>
        <w:t>Como se ha mencionado anteriormente, si no se garantiza un entorno accesible o se adoptan ajustes razonables, la libertad y la seguridad de las personas con discapacidad puede verse muy frecuentemente comprometida. Así, las personas con discapacidad muy a menudo se ven forzadas a vivir en residencias o instituciones estatales o privadas sin que por lo general se reflexione sobre el modo en que ello afecta o puede afectar a la libertad de la persona, o si dicho internamiento se ha producido en condiciones de verdadera libertad de elección.</w:t>
      </w:r>
    </w:p>
    <w:p w:rsidR="00F2036A" w:rsidRPr="00E72B02" w:rsidRDefault="00F2036A" w:rsidP="004551E9">
      <w:r w:rsidRPr="00E72B02">
        <w:t xml:space="preserve">La gran preocupación por parte de las OPDs durante el proceso de negociación era que la CDPD brindara herramientas efectivas para proteger a las personas con discapacidad frente a la vulneración del derecho humano a la libertad, reconociendo que dichas violaciones ocurren a diario frente a nuestro ojos y bajo el amparo de la ley y de prácticas sociales muy arraigadas. </w:t>
      </w:r>
    </w:p>
    <w:p w:rsidR="00F2036A" w:rsidRPr="00E72B02" w:rsidRDefault="00F2036A" w:rsidP="004551E9">
      <w:pPr>
        <w:rPr>
          <w:lang w:val="es-ES_tradnl"/>
        </w:rPr>
      </w:pPr>
      <w:r w:rsidRPr="00E72B02">
        <w:rPr>
          <w:lang w:val="es-ES"/>
        </w:rPr>
        <w:t>La primera de las dimensiones del derecho a la libertad la encontramos en el Artículo 14 de la CDPD</w:t>
      </w:r>
      <w:r w:rsidR="00E14561" w:rsidRPr="00E72B02">
        <w:rPr>
          <w:lang w:val="es-ES"/>
        </w:rPr>
        <w:t xml:space="preserve">. </w:t>
      </w:r>
      <w:r w:rsidRPr="00E72B02">
        <w:rPr>
          <w:lang w:val="es-ES_tradnl"/>
        </w:rPr>
        <w:t>El inciso 1 del Artículo 14 se aboca a la protección de la libertad de las personas con discapacidad desde una dimensión “preventiva”, es decir, como garantía jurídica de no privación ilegítima de la libertad. Está claro que el reconocimiento y la interpretación del derecho a la libertad ha sido extensamente contemplado en el marco del DIDH, dado que todo el andamiaje del sistema represivo penal de los Estados pende sobre el reconocimiento de este derecho y el alcance de sus limitaciones o excepciones.</w:t>
      </w:r>
      <w:r w:rsidRPr="00E72B02">
        <w:rPr>
          <w:rStyle w:val="Refdenotaalpie"/>
          <w:lang w:val="es-ES_tradnl"/>
        </w:rPr>
        <w:footnoteReference w:id="379"/>
      </w:r>
      <w:r w:rsidRPr="00E72B02">
        <w:rPr>
          <w:lang w:val="es-ES_tradnl"/>
        </w:rPr>
        <w:t xml:space="preserve"> El PIDCP fija el principio básico mediante el cual el derecho a la libertad solo puede ser privado “</w:t>
      </w:r>
      <w:r w:rsidRPr="00E72B02">
        <w:rPr>
          <w:i/>
          <w:lang w:val="es-ES_tradnl"/>
        </w:rPr>
        <w:t>por las causas fijadas por la ley y con arreglo al procedimiento establecido en ésta</w:t>
      </w:r>
      <w:r w:rsidRPr="00E72B02">
        <w:rPr>
          <w:lang w:val="es-ES_tradnl"/>
        </w:rPr>
        <w:t>” (Cfr. Artículo 9.1).</w:t>
      </w:r>
    </w:p>
    <w:p w:rsidR="00F2036A" w:rsidRPr="00E72B02" w:rsidRDefault="00F2036A" w:rsidP="004551E9">
      <w:pPr>
        <w:rPr>
          <w:lang w:val="es-ES_tradnl"/>
        </w:rPr>
      </w:pPr>
      <w:r w:rsidRPr="00E72B02">
        <w:rPr>
          <w:lang w:val="es-ES_tradnl"/>
        </w:rPr>
        <w:lastRenderedPageBreak/>
        <w:t>El Artículo 14.1 intenta ir más allá del principio general formulado por el DIDH, no sólo por la necesidad de especificidad respecto de la discapacidad, sino también debido a que, en relación con el goce efectivo del derecho a la libertad de las personas con discapacidad, es justamente “la ley” la que se constituye como principal barrera y fuente de discriminación.</w:t>
      </w:r>
      <w:r w:rsidRPr="00E72B02">
        <w:rPr>
          <w:rStyle w:val="Refdenotaalpie"/>
          <w:lang w:val="es-ES_tradnl"/>
        </w:rPr>
        <w:footnoteReference w:id="380"/>
      </w:r>
    </w:p>
    <w:p w:rsidR="00F2036A" w:rsidRPr="00E72B02" w:rsidRDefault="00F2036A" w:rsidP="004551E9">
      <w:pPr>
        <w:rPr>
          <w:lang w:val="es-ES_tradnl"/>
        </w:rPr>
      </w:pPr>
      <w:r w:rsidRPr="00E72B02">
        <w:rPr>
          <w:lang w:val="es-ES_tradnl"/>
        </w:rPr>
        <w:t>Por ello, el Artículo 14.1 debe abordarse desde una doble perspectiva:</w:t>
      </w:r>
    </w:p>
    <w:p w:rsidR="00F2036A" w:rsidRPr="00E72B02" w:rsidRDefault="00F2036A" w:rsidP="004551E9">
      <w:pPr>
        <w:rPr>
          <w:lang w:val="es-ES_tradnl"/>
        </w:rPr>
      </w:pPr>
      <w:r w:rsidRPr="00E72B02">
        <w:rPr>
          <w:lang w:val="es-ES_tradnl"/>
        </w:rPr>
        <w:t>Por un lado la garantía que ninguna persona con discapacidad se vea privada de su libertad sin un procedimiento legal adecuado en el que se respeten las garantías mínimas del debido proceso. En este punto el Artículo 14 se conecta inexorablemente con el Artículo 13 sobre acceso a la justicia, para desplegar todas sus consecuencias legales. La jurisprudencia internacional ha avanzado mucho en este terreno en los últimos años, señalado que las personas con discapacidad son un grupo vulnerable y deben gozar de una especial protección, lo que incluye, acceso a representación legal efectiva y propia, garantías de revisión de medidas de privación de libertad, acceso directo a autoridades judiciales o de control, etc.</w:t>
      </w:r>
      <w:r w:rsidRPr="00E72B02">
        <w:rPr>
          <w:rStyle w:val="Refdenotaalpie"/>
          <w:lang w:val="es-ES_tradnl"/>
        </w:rPr>
        <w:footnoteReference w:id="381"/>
      </w:r>
      <w:r w:rsidRPr="00E72B02">
        <w:rPr>
          <w:lang w:val="es-ES_tradnl"/>
        </w:rPr>
        <w:t xml:space="preserve"> Prácticamente todos los pronunciamiento de tribunales internacionales de derechos humanos sobre el derecho a la libertad de las personas con discapacidad, han adoptado este criterio de “vulnerabilidad” y se han centrado en las condiciones legales </w:t>
      </w:r>
      <w:r w:rsidRPr="00E72B02">
        <w:rPr>
          <w:lang w:val="es-ES_tradnl"/>
        </w:rPr>
        <w:lastRenderedPageBreak/>
        <w:t>(léase garantías procesales), de la imposición de una medida de privación de libertad, y no en la legitimidad o procedencia de la medida misma.</w:t>
      </w:r>
      <w:r w:rsidRPr="00E72B02">
        <w:rPr>
          <w:rStyle w:val="Refdenotaalpie"/>
          <w:lang w:val="es-ES_tradnl"/>
        </w:rPr>
        <w:footnoteReference w:id="382"/>
      </w:r>
      <w:r w:rsidRPr="00E72B02">
        <w:rPr>
          <w:lang w:val="es-ES_tradnl"/>
        </w:rPr>
        <w:t xml:space="preserve"> </w:t>
      </w:r>
    </w:p>
    <w:p w:rsidR="00F2036A" w:rsidRPr="00E72B02" w:rsidRDefault="00F2036A" w:rsidP="004551E9">
      <w:r w:rsidRPr="00E72B02">
        <w:rPr>
          <w:lang w:val="es-ES_tradnl"/>
        </w:rPr>
        <w:t>Así la segunda de las perspectivas recogidas por el Artículo 14.1 es la garantía de que “</w:t>
      </w:r>
      <w:r w:rsidRPr="00E72B02">
        <w:rPr>
          <w:i/>
        </w:rPr>
        <w:t>la existencia de una discapacidad no justifique en ningún caso una privación de la libertad</w:t>
      </w:r>
      <w:r w:rsidRPr="00E72B02">
        <w:t xml:space="preserve">”. Evidentemente para interpretar esta garantía es preciso hacerlo conectando el Artículo 14.1.b con el concepto de persona con discapacidad y de discriminación por motivo de discapacidad recogidos en los Artículos 1 y 2 de la CDPD respectivamente. Como destaca </w:t>
      </w:r>
      <w:r w:rsidRPr="00E72B02">
        <w:rPr>
          <w:caps/>
        </w:rPr>
        <w:t>Minkowitz</w:t>
      </w:r>
      <w:r w:rsidRPr="00E72B02">
        <w:t xml:space="preserve"> “</w:t>
      </w:r>
      <w:r w:rsidRPr="00E72B02">
        <w:rPr>
          <w:i/>
        </w:rPr>
        <w:t>esta disposición recoge tanto la afirmación de que la existencia de una discapacidad nunca justifica la privación de la libertad, como la obligación de los Estados de asegurar que dicha privación de libertad no se encuentra permitida por el derecho interno y no ocurra en la práctica</w:t>
      </w:r>
      <w:r w:rsidRPr="00E72B02">
        <w:t>”.</w:t>
      </w:r>
      <w:r w:rsidRPr="00E72B02">
        <w:rPr>
          <w:rStyle w:val="Refdenotaalpie"/>
          <w:lang w:val="es-ES"/>
        </w:rPr>
        <w:footnoteReference w:id="383"/>
      </w:r>
      <w:r w:rsidRPr="00E72B02">
        <w:t xml:space="preserve"> </w:t>
      </w:r>
    </w:p>
    <w:p w:rsidR="00F2036A" w:rsidRPr="00E72B02" w:rsidRDefault="00F2036A" w:rsidP="004551E9">
      <w:pPr>
        <w:rPr>
          <w:lang w:val="es-ES_tradnl"/>
        </w:rPr>
      </w:pPr>
      <w:r w:rsidRPr="00E72B02">
        <w:rPr>
          <w:lang w:val="es-ES_tradnl"/>
        </w:rPr>
        <w:t>Por ello el Artículo 14.1.b pretende incidir respecto de lo que podríamos llamar como “procedimientos de privación de libertad encubiertos” como son los internamientos forzosos en instituciones psiquiátricas, pero también aquellas situaciones donde el ingreso a instituciones es aparentemente voluntario, pero en realidad es fruto de falta absoluta de alternativas para las personas con discapacidad (ejemplo residencias de personas con discapacidad, centros de rehabilitación, etc).</w:t>
      </w:r>
      <w:r w:rsidRPr="00E72B02">
        <w:rPr>
          <w:rStyle w:val="Refdenotaalpie"/>
          <w:lang w:val="es-ES_tradnl"/>
        </w:rPr>
        <w:footnoteReference w:id="384"/>
      </w:r>
    </w:p>
    <w:p w:rsidR="00F2036A" w:rsidRPr="00E72B02" w:rsidRDefault="00F2036A" w:rsidP="004551E9">
      <w:pPr>
        <w:rPr>
          <w:lang w:val="es-ES_tradnl"/>
        </w:rPr>
      </w:pPr>
      <w:r w:rsidRPr="00E72B02">
        <w:rPr>
          <w:lang w:val="es-ES_tradnl"/>
        </w:rPr>
        <w:lastRenderedPageBreak/>
        <w:t xml:space="preserve">En este sentido </w:t>
      </w:r>
      <w:smartTag w:uri="urn:schemas-microsoft-com:office:smarttags" w:element="PersonName">
        <w:smartTagPr>
          <w:attr w:name="ProductID" w:val="La CDPD"/>
        </w:smartTagPr>
        <w:r w:rsidRPr="00E72B02">
          <w:rPr>
            <w:lang w:val="es-ES_tradnl"/>
          </w:rPr>
          <w:t>la CDPD</w:t>
        </w:r>
      </w:smartTag>
      <w:r w:rsidRPr="00E72B02">
        <w:rPr>
          <w:lang w:val="es-ES_tradnl"/>
        </w:rPr>
        <w:t xml:space="preserve"> intenta que nunca se adopte una decisión que implique una privación de la libertad con el único argumento, de la discapacidad de la personas. Es decir, no permitir la privación de libertad exclusivamente “</w:t>
      </w:r>
      <w:r w:rsidRPr="00E72B02">
        <w:rPr>
          <w:i/>
          <w:lang w:val="es-ES_tradnl"/>
        </w:rPr>
        <w:t>en razón de la discapacidad</w:t>
      </w:r>
      <w:r w:rsidRPr="00E72B02">
        <w:rPr>
          <w:lang w:val="es-ES_tradnl"/>
        </w:rPr>
        <w:t>” (esto sería discriminatorio). En otras palabras, el Artículo 14.1.b pone en tela de juicio la legitimidad intrínseca de la potestad del Estado de autorizar el ingreso involuntario de personas con discapacidad mental a instituciones, o incluso de ordenar medidas de seguridad penal.</w:t>
      </w:r>
    </w:p>
    <w:p w:rsidR="00F2036A" w:rsidRPr="00E72B02" w:rsidRDefault="00F2036A" w:rsidP="004551E9">
      <w:pPr>
        <w:rPr>
          <w:lang w:val="es-ES_tradnl"/>
        </w:rPr>
      </w:pPr>
      <w:r w:rsidRPr="00E72B02">
        <w:rPr>
          <w:lang w:val="es-ES_tradnl"/>
        </w:rPr>
        <w:t>Ahora bien, y más allá del posicionamiento claro de las OPDs y de muchas organizaciones de defensa de derechos humanos, desde la estricta interpretación legal del Artículo 14.1.b, la clave para considerar a los internamientos forzosos como medidas discriminatorias a la luz de la CDPD, pasa por determinar, “</w:t>
      </w:r>
      <w:r w:rsidRPr="00E72B02">
        <w:rPr>
          <w:i/>
          <w:lang w:val="es-ES_tradnl"/>
        </w:rPr>
        <w:t>cuando nos hallamos ante un motivo de discapacidad</w:t>
      </w:r>
      <w:r w:rsidRPr="00E72B02">
        <w:rPr>
          <w:lang w:val="es-ES_tradnl"/>
        </w:rPr>
        <w:t>”.</w:t>
      </w:r>
      <w:r w:rsidRPr="00E72B02">
        <w:rPr>
          <w:rStyle w:val="Refdenotaalpie"/>
          <w:lang w:val="es-ES_tradnl"/>
        </w:rPr>
        <w:footnoteReference w:id="385"/>
      </w:r>
      <w:r w:rsidRPr="00E72B02">
        <w:rPr>
          <w:lang w:val="es-ES_tradnl"/>
        </w:rPr>
        <w:t xml:space="preserve"> Está claro que las legislaciones que permitan el internamiento de una persona mediante simple referencia o diagnóstico médico de que existe una discapacidad mental, resultan a todas luces </w:t>
      </w:r>
      <w:r w:rsidRPr="00E72B02">
        <w:rPr>
          <w:lang w:val="es-ES_tradnl"/>
        </w:rPr>
        <w:lastRenderedPageBreak/>
        <w:t>contrarias a la CDPD. Más controversial resulta determinar si son contrarias a la CDPD las legislaciones que, adicionalmente al elemento médico (diagnostico de discapacidad mental o intelectual), requieren de un elemento adicional de tipo social (riesgo grave para la salud de la persona o de terceros).</w:t>
      </w:r>
      <w:r w:rsidRPr="00E72B02">
        <w:rPr>
          <w:rStyle w:val="Refdenotaalpie"/>
          <w:lang w:val="es-ES_tradnl"/>
        </w:rPr>
        <w:footnoteReference w:id="386"/>
      </w:r>
      <w:r w:rsidRPr="00E72B02">
        <w:rPr>
          <w:lang w:val="es-ES_tradnl"/>
        </w:rPr>
        <w:t xml:space="preserve"> Debido a la importancia de esta disposición, y sus vinculaciones directas con el Artículo 12, la misma será desarrollada en detalle en el Capítulo 5 del presente trabajo. No obstante, es importante adelantar que si bien el criterio de riesgo no resulta intrínsecamente contrario a la CDPD, resulta igualmente discriminatorio si dicho criterio es utilizado o reservado únicamente respecto de personas con discapacidad. </w:t>
      </w:r>
    </w:p>
    <w:p w:rsidR="00F2036A" w:rsidRPr="00E72B02" w:rsidRDefault="00F2036A" w:rsidP="004551E9">
      <w:pPr>
        <w:rPr>
          <w:lang w:val="es-ES_tradnl"/>
        </w:rPr>
      </w:pPr>
      <w:r w:rsidRPr="00E72B02">
        <w:rPr>
          <w:lang w:val="es-ES_tradnl"/>
        </w:rPr>
        <w:t xml:space="preserve">El inciso 2 del Artículo 14 se aboca a la protección de la libertad de las personas con discapacidad no ya desde una dimensión “preventiva” sino de “seguridad” personal. Es decir, como garantía de seguridad de la condiciones de privación de libertad decretadas judicialmente y de conformidad con un ejercicio adecuado del acceso a la justicia. </w:t>
      </w:r>
    </w:p>
    <w:p w:rsidR="00F2036A" w:rsidRPr="00E72B02" w:rsidRDefault="00F2036A" w:rsidP="004551E9">
      <w:pPr>
        <w:rPr>
          <w:lang w:val="es-ES_tradnl"/>
        </w:rPr>
      </w:pPr>
      <w:r w:rsidRPr="00E72B02">
        <w:rPr>
          <w:lang w:val="es-ES_tradnl"/>
        </w:rPr>
        <w:t>A dichos fines se exige que se prevean las necesidades especiales de las personas con discapacidad tales como la utilización de sillas de ruedas, el uso de la lengua de signos, la rehabilitación médica, régimen alimenticio especial, camas, aseos o duchas, especiales, etc.</w:t>
      </w:r>
      <w:r w:rsidRPr="00E72B02">
        <w:rPr>
          <w:rStyle w:val="Refdenotaalpie"/>
          <w:lang w:val="es-ES_tradnl"/>
        </w:rPr>
        <w:footnoteReference w:id="387"/>
      </w:r>
      <w:r w:rsidRPr="00E72B02">
        <w:rPr>
          <w:lang w:val="es-ES_tradnl"/>
        </w:rPr>
        <w:t xml:space="preserve"> </w:t>
      </w:r>
    </w:p>
    <w:p w:rsidR="00F2036A" w:rsidRPr="00E72B02" w:rsidRDefault="00F2036A" w:rsidP="004551E9">
      <w:pPr>
        <w:rPr>
          <w:lang w:val="es-ES_tradnl"/>
        </w:rPr>
      </w:pPr>
      <w:r w:rsidRPr="00E72B02">
        <w:rPr>
          <w:lang w:val="es-ES_tradnl"/>
        </w:rPr>
        <w:lastRenderedPageBreak/>
        <w:t xml:space="preserve">En este sentido la jurisprudencia internacional también recoge varios pronunciamientos que reflejan la necesidad de los Estados de adaptar las condiciones de privación de libertad de las necesidades específicas de las personas con discapacidad, aunque dichos pronunciamiento por lo general no </w:t>
      </w:r>
      <w:r w:rsidR="00972713">
        <w:rPr>
          <w:lang w:val="es-ES_tradnl"/>
        </w:rPr>
        <w:t xml:space="preserve">se </w:t>
      </w:r>
      <w:r w:rsidRPr="00E72B02">
        <w:rPr>
          <w:lang w:val="es-ES_tradnl"/>
        </w:rPr>
        <w:t>han enmarcado bajo el derecho a la libertad, sino más bien, bajo el derecho a no ser sometido a tortura y otros tratos crueles, inhumanos o degradantes.</w:t>
      </w:r>
      <w:r w:rsidRPr="00E72B02">
        <w:rPr>
          <w:rStyle w:val="Refdenotaalpie"/>
          <w:lang w:val="es-ES_tradnl"/>
        </w:rPr>
        <w:footnoteReference w:id="388"/>
      </w:r>
      <w:r w:rsidRPr="00E72B02">
        <w:rPr>
          <w:lang w:val="es-ES_tradnl"/>
        </w:rPr>
        <w:t xml:space="preserve"> Por ello, el artículo 14.2 debe ser leído conjuntamente con lo dispuesto por el artículo 15 de la CDPD. </w:t>
      </w:r>
    </w:p>
    <w:p w:rsidR="00F2036A" w:rsidRPr="00E72B02" w:rsidRDefault="00F2036A" w:rsidP="004551E9">
      <w:r w:rsidRPr="00E72B02">
        <w:rPr>
          <w:lang w:val="es-ES_tradnl"/>
        </w:rPr>
        <w:t>La segunda de las dimensiones del derecho a la libertad la podemos encontrar en el Artículo 18 de la CDPD</w:t>
      </w:r>
      <w:r w:rsidR="007B3713" w:rsidRPr="00E72B02">
        <w:rPr>
          <w:lang w:val="es-ES_tradnl"/>
        </w:rPr>
        <w:t xml:space="preserve">. Esta norma </w:t>
      </w:r>
      <w:r w:rsidRPr="00E72B02">
        <w:t xml:space="preserve">recoge dos aspectos centrales. En primer lugar, el reconocimiento del derecho de todas las personas con discapacidad a ser inscritos al nacer y todos los derechos derivados directamente del mismo, como el derecho a una nacionalidad, el derecho a la identidad, el derecho a una vivienda y el derecho a </w:t>
      </w:r>
      <w:r w:rsidR="00972713">
        <w:t xml:space="preserve">una </w:t>
      </w:r>
      <w:r w:rsidRPr="00E72B02">
        <w:t>filiación. En segundo lugar, el reconocimiento del derecho de todas las personas con discapacidad a la libertad de circulación, incluida la libertad de elegir su lugar de residencia, a entrar y salir libremente de cualquier país, incluso del propio, en igualdad con los demás.</w:t>
      </w:r>
    </w:p>
    <w:p w:rsidR="00F2036A" w:rsidRPr="00E72B02" w:rsidRDefault="00F2036A" w:rsidP="004551E9">
      <w:r w:rsidRPr="00E72B02">
        <w:t xml:space="preserve">Aunque a primera vista no lo parezca, la garantía de “inscripción o registración” ante el nacimiento de las personas con discapacidad tienen implicaciones directas sobre el goce efectivo del derecho a la libertad de desplazamiento de las personas con discapacidad. Sin bien, la registración </w:t>
      </w:r>
      <w:r w:rsidRPr="00E72B02">
        <w:lastRenderedPageBreak/>
        <w:t>de las personas ante el nacimiento no puede considerarse como un requisito válido para dotarla de todos los derechos humanos, lo cierto es que, como práctica generalizada y común en los Estados, la registración de una persona puede resultar fundamental para permitirle el acceso real a un sinnúmero de derecho o beneficios a la luz de marco legal vigente.</w:t>
      </w:r>
      <w:r w:rsidRPr="00E72B02">
        <w:rPr>
          <w:rStyle w:val="Refdenotaalpie"/>
          <w:lang w:val="es-ES"/>
        </w:rPr>
        <w:footnoteReference w:id="389"/>
      </w:r>
      <w:r w:rsidRPr="00E72B02">
        <w:t xml:space="preserve"> Por ejemplo, la registración ante el nacimiento permite el acceso a un documento nacional de identidad y por ende a un nombre, a la filiación, a la nacionalidad, al domicilio, al patrimonio, etc.  </w:t>
      </w:r>
    </w:p>
    <w:p w:rsidR="00F2036A" w:rsidRPr="00E72B02" w:rsidRDefault="00F2036A" w:rsidP="004551E9">
      <w:r w:rsidRPr="00E72B02">
        <w:t>En cuanto a la garantía de libertad de circulación, el artículo 18 señala con detalle aquellos aspectos o barreras más comunes para el goce efectivo de este derecho por parte de las personas con discapacidad. Ello incluye el derecho a salir y entrar al país de nacionalidad o residencia, y el derecho de migrar o de ingresar a terceros países ya sea con fines políticos, laborales o incluso turísticos.</w:t>
      </w:r>
      <w:r w:rsidRPr="00E72B02">
        <w:rPr>
          <w:rStyle w:val="Refdenotaalpie"/>
          <w:lang w:val="es-ES"/>
        </w:rPr>
        <w:footnoteReference w:id="390"/>
      </w:r>
      <w:r w:rsidRPr="00E72B02">
        <w:t xml:space="preserve"> </w:t>
      </w:r>
    </w:p>
    <w:p w:rsidR="00F2036A" w:rsidRPr="00E72B02" w:rsidRDefault="00F2036A" w:rsidP="004551E9">
      <w:r w:rsidRPr="00E72B02">
        <w:t xml:space="preserve">Por ello, el artículo 18 intenta derribar barreras existentes en torno al goce efectivo de este derecho por parte de las personas con discapacidad, tales como, barreras actitudinales sociales, barreras actitudinales dentro del entorno familiar, barreras físicas y comunicacionales, y barreras legales.  </w:t>
      </w:r>
    </w:p>
    <w:p w:rsidR="00F2036A" w:rsidRPr="00E72B02" w:rsidRDefault="00F2036A" w:rsidP="004551E9">
      <w:r w:rsidRPr="00E72B02">
        <w:t xml:space="preserve">En cuanto a las barreras actitudinales sociales, existe un prejuicio generalizado de que las personas con discapacidad están mejor cuidadas y protegidas en residencias o instituciones especializadas destinadas a la rehabilitación física o mental, o en el mejor de los casos, en el hogar o residencia familiar. Con lo cual la libertad de residencia y circulación recogida en el artículo 18 debe ser leída conjuntamente con el artículo 14 y </w:t>
      </w:r>
      <w:r w:rsidRPr="00E72B02">
        <w:lastRenderedPageBreak/>
        <w:t xml:space="preserve">el 19 para cuestionar las leyes o prácticas que obligan </w:t>
      </w:r>
      <w:r w:rsidRPr="00E72B02">
        <w:rPr>
          <w:i/>
        </w:rPr>
        <w:t>de jure</w:t>
      </w:r>
      <w:r w:rsidRPr="00E72B02">
        <w:t xml:space="preserve"> o </w:t>
      </w:r>
      <w:r w:rsidRPr="00E72B02">
        <w:rPr>
          <w:i/>
        </w:rPr>
        <w:t>de facto</w:t>
      </w:r>
      <w:r w:rsidRPr="00E72B02">
        <w:t xml:space="preserve"> a las personas con discapacidad a vivir en entornos aislados de la sociedad</w:t>
      </w:r>
      <w:r w:rsidRPr="00E72B02">
        <w:rPr>
          <w:rStyle w:val="Refdenotaalpie"/>
          <w:lang w:val="es-ES"/>
        </w:rPr>
        <w:footnoteReference w:id="391"/>
      </w:r>
      <w:r w:rsidRPr="00E72B02">
        <w:t xml:space="preserve"> o bajo el cuidado obligado de su familia.</w:t>
      </w:r>
      <w:r w:rsidRPr="00E72B02">
        <w:rPr>
          <w:rStyle w:val="Refdenotaalpie"/>
          <w:lang w:val="es-ES"/>
        </w:rPr>
        <w:footnoteReference w:id="392"/>
      </w:r>
      <w:r w:rsidRPr="00E72B02">
        <w:t xml:space="preserve"> En cuanto a las barreras actitudinales dentro del entorno familiar, es muy usual aún que la discapacidad se viva en la familia como algo a ocultar o segregar de la sociedad. Ello lleva en muchos países que los padres no consideren necesario inscribir a los niños o niñas con discapacidad y dotarles formalmente de una nacionalidad, y documento nacional de identidad, o de un nombre. Asimismo, las familias en roles de sobreprotección suelen considerar que tienen derecho a decidir sobre cómo, dónde y con quién debe vivir la persona con discapacidad lo cual claramente atenta con lo señalado por el artículo 18. Por otro lado las barreras físicas y comunicacionales, también son componentes fundamentales para impedir a las personas con discapacidad gozar de los derechos amparados por el artículo 18. Si los registros de las personas, o las oficinas que otorgan documentos de identidad, partidas de nacimientos, pasaportes, visados, no son accesibles física y comunicacionalmente, entonces las personas con discapacidad no pueden acceder a estos derechos en igualdad de condiciones con los demás. Asimismo, el Artículo 18 también incide sobre la accesibilidad en el transporte público el cual resulta imprescindible para garantizar esto y otros tantos derechos recogidos en la CDPD. En conexión con el Artículo 9 el derecho a la movilidad personal exige que los Estados Partes garantice </w:t>
      </w:r>
      <w:r w:rsidRPr="00E72B02">
        <w:lastRenderedPageBreak/>
        <w:t xml:space="preserve">niveles básicos de accesibilidad del transporte público, lo cual no sólo se proyecto sobre los vehículos utilizados a dichos efectos (taxis, autobuses, trenes, aviones, barcos), sino también sobre las instalaciones necesarias para su uso (aeropuertos, puertos marítimos, estaciones de autobuses y de trenes, paradas en la vía pública etc.) </w:t>
      </w:r>
    </w:p>
    <w:p w:rsidR="00F2036A" w:rsidRPr="00E72B02" w:rsidRDefault="00F2036A" w:rsidP="004551E9">
      <w:r w:rsidRPr="00E72B02">
        <w:t xml:space="preserve">Finalmente, también es usual en la práctica internacional de los Estados la existencia de barreras legales que resultan discriminatorias para las personas con discapacidad en el ejercicio del derecho a salir y entrar de su país, o en terceros países. Por ejemplo, muchos países solicitan examen médico de aptitud física y mental para otorgar visados o permisos de entrada o de trabajo a sus respectivos países.   </w:t>
      </w:r>
    </w:p>
    <w:p w:rsidR="007B3713" w:rsidRPr="00E72B02" w:rsidRDefault="00F2036A" w:rsidP="004551E9">
      <w:r w:rsidRPr="00E72B02">
        <w:t>Finalmente, el tercer pilar que complementa las múltiples dimensiones del derecho a la libertad de las personas con discapacidad en la CDPD es la garantía de movilidad personal</w:t>
      </w:r>
      <w:r w:rsidR="007B3713" w:rsidRPr="00E72B02">
        <w:t xml:space="preserve"> recogido en el </w:t>
      </w:r>
      <w:r w:rsidRPr="00E72B02">
        <w:t>Artículo 20</w:t>
      </w:r>
      <w:r w:rsidR="007B3713" w:rsidRPr="00E72B02">
        <w:t>.</w:t>
      </w:r>
    </w:p>
    <w:p w:rsidR="00F2036A" w:rsidRPr="00E72B02" w:rsidRDefault="00F2036A" w:rsidP="004551E9">
      <w:r w:rsidRPr="00E72B02">
        <w:t xml:space="preserve">Mientras el artículo 18 aborda el derecho a la libertad de movimiento en un sentido general, el artículo 20 se centra en la situación más personal y específica de cada persona con discapacidad. Esta disposición trata de reconocer la necesidad de garantizar la accesibilidad y los ajustes razonables para las personas con discapacidad en relación con la dinámica diaria y ordinaria de cada individuo (por ejemplo, levantarse de la cama, bañarse, vestirse, llevar a los niños a la escuela, ir al trabajo, ir a un restaurante, visitar amigos, etc.). Así, la CDPD exige a los Estados tomar medidas eficaces para garantizar la movilidad personal con la mayor independencia posible para las personas con discapacidad, así como ofrece algunas pautas sobre cómo esta obligación debe ser alcanzada. En primer lugar, garantizar que la movilidad personal se proporciona a las personas con discapacidad "en la forma y en el momento que deseen a un costo asequible", en segundo lugar, facilitar el acceso a "formas de asistencia humana o animal e intermediarios, tecnologías de apoyo, dispositivos técnicos y ayudas para la movilidad de calidad, incluso poniéndolos a su disposición a un costo </w:t>
      </w:r>
      <w:r w:rsidRPr="00E72B02">
        <w:lastRenderedPageBreak/>
        <w:t>asequible", en tercer lugar la capacitación en técnicas de movilidad tanto a las personas con discapacidad y al personal que trabajan con ellas, y por último, alentar a las entidades productoras de ayudas para la movilidad, dispositivos y tecnologías de apoyo a que tengan en cuenta todos los aspectos de la movilidad de las personas con discapacidad.</w:t>
      </w:r>
    </w:p>
    <w:p w:rsidR="00F2036A" w:rsidRPr="00E72B02" w:rsidRDefault="00F2036A" w:rsidP="004551E9">
      <w:r w:rsidRPr="00E72B02">
        <w:t xml:space="preserve">De este modo, un aspecto que tradicionalmente ha sido visto y abordado en las legislaciones nacionales como servicios sociales sujetos a disponibilidad de recursos y no amparados por un derecho subjetivo, la CDPD lo reformula y traduce en términos de garantía del derecho a la libertad. Los ajustes y apoyos que las personas necesitan para garantizar su movilidad básica y fundamental (moverse, asearse, vestirse, etc.) son medidas que garantizan la igualdad de oportunidades de las personas con discapacidad en relación con los demás, en cuando al derecho subjetivo y constitucionalmente amparado en todo los miembros de la Comunidad Internacional, de “libertad”. </w:t>
      </w:r>
    </w:p>
    <w:p w:rsidR="00F2036A" w:rsidRPr="00E72B02" w:rsidRDefault="00F2036A" w:rsidP="004551E9">
      <w:r w:rsidRPr="00E72B02">
        <w:t xml:space="preserve"> </w:t>
      </w:r>
    </w:p>
    <w:p w:rsidR="00F2036A" w:rsidRPr="00E52D11" w:rsidRDefault="00F2036A" w:rsidP="00E52D11">
      <w:pPr>
        <w:pStyle w:val="TITULO9"/>
        <w:jc w:val="both"/>
        <w:rPr>
          <w:b w:val="0"/>
          <w:bCs w:val="0"/>
          <w:sz w:val="24"/>
        </w:rPr>
      </w:pPr>
      <w:r w:rsidRPr="00E52D11">
        <w:rPr>
          <w:b w:val="0"/>
          <w:bCs w:val="0"/>
          <w:sz w:val="24"/>
        </w:rPr>
        <w:t>3.7.4 Protección de la integridad personal</w:t>
      </w:r>
    </w:p>
    <w:p w:rsidR="00F2036A" w:rsidRPr="00E72B02" w:rsidRDefault="00F2036A" w:rsidP="004551E9">
      <w:pPr>
        <w:rPr>
          <w:lang w:val="es-ES_tradnl"/>
        </w:rPr>
      </w:pPr>
    </w:p>
    <w:p w:rsidR="00F2036A" w:rsidRPr="00E72B02" w:rsidRDefault="00F2036A" w:rsidP="004551E9">
      <w:pPr>
        <w:rPr>
          <w:lang w:val="es-ES_tradnl"/>
        </w:rPr>
      </w:pPr>
      <w:r w:rsidRPr="00E72B02">
        <w:rPr>
          <w:lang w:val="es-ES_tradnl"/>
        </w:rPr>
        <w:t xml:space="preserve">Las OPD manifestaron desde los inicios y durante todo el proceso de negociación de la CDPD su preocupación por que el tratado abordase de forma adecuada y efectiva la protección de la integridad personal de la personas con discapacidad. Así la CDPD contempla al menos tres Artículos específicos que tienen como fin proteger la integridad personal de las personas con discapacidad desde diferentes perspectivas o dimensiones, esto es, Artículo 15 sobre protección contra la tortura, Artículo 16 sobre protección contra la violencia y el abuso, y el Artículo 17 sobre protección genérica de la integridad personal. </w:t>
      </w:r>
    </w:p>
    <w:p w:rsidR="00F2036A" w:rsidRPr="00E72B02" w:rsidRDefault="00F2036A" w:rsidP="004551E9">
      <w:pPr>
        <w:rPr>
          <w:lang w:val="es-ES_tradnl"/>
        </w:rPr>
      </w:pPr>
      <w:r w:rsidRPr="00E72B02">
        <w:rPr>
          <w:lang w:val="es-ES_tradnl"/>
        </w:rPr>
        <w:t xml:space="preserve">A la luz del derecho internacional de los derechos humanos y del derecho internacional humanitario una violación grave a la integridad personal puede suponer, dependiendo de las circunstancias del propio acto, o del marco </w:t>
      </w:r>
      <w:r w:rsidRPr="00E72B02">
        <w:rPr>
          <w:lang w:val="es-ES_tradnl"/>
        </w:rPr>
        <w:lastRenderedPageBreak/>
        <w:t>jurídico internacional aplicable al Estado en cuestión, que dicho acto sea calificado como: a) violación del derecho a un trato humano recogido en el artículo 10 del PIDCP; b) violación de la protección general contra la tortura, o penas o tratos crueles, inhumanos o degradantes recogido en el artículo 7 del PIDCP; c) crimen de tortura en virtud del Artículo 1(1) de la CCT, d) tratos crueles, inhumanos, o degradantes en virtud del Artículo 16 de la CCT, o e) crimen de lesa humanidad, o crimen de guerra en virtud de los Artículos 7(1).(f) u 8(2)(ii) del Estatuto de Roma de la Corte Penal Internacional.</w:t>
      </w:r>
    </w:p>
    <w:p w:rsidR="00F2036A" w:rsidRPr="00E72B02" w:rsidRDefault="00F2036A" w:rsidP="004551E9">
      <w:pPr>
        <w:rPr>
          <w:lang w:val="es-ES_tradnl"/>
        </w:rPr>
      </w:pPr>
      <w:r w:rsidRPr="00E72B02">
        <w:rPr>
          <w:lang w:val="es-ES_tradnl"/>
        </w:rPr>
        <w:t xml:space="preserve">A pesar de las propuestas y demandas de las OPD, al menos a primera vista, las disposiciones relativas a la protección de la integridad personal no lograron apartarse demasiado de los estándares existentes en el marco universal de derechos humanos. No obstante, su lectura desde la visión del modelo social, y particularmente desde el principio de igualdad y no discriminación, permite concluir, que también en este ámbito de protección de los derechos humanos, la CDPD marca un cambio de paradigma que supone importantes consecuencias para las leyes y prácticas existentes en la mayoría de los Estados Partes. </w:t>
      </w:r>
    </w:p>
    <w:p w:rsidR="00F2036A" w:rsidRPr="00E72B02" w:rsidRDefault="00F2036A" w:rsidP="004551E9">
      <w:pPr>
        <w:rPr>
          <w:kern w:val="24"/>
          <w:lang w:val="es-ES" w:eastAsia="es-AR"/>
        </w:rPr>
      </w:pPr>
      <w:r w:rsidRPr="00E72B02">
        <w:rPr>
          <w:lang w:val="es-ES_tradnl"/>
        </w:rPr>
        <w:t xml:space="preserve">El Artículo 15 de la CDPD aborda lo que, sin duda alguna, constituyen la más grave forma de violación del derecho humano al respeto y protección de la integridad personal, esto es, la tortura y otros tratos o penas crueles, inhumanos, o degradantes. </w:t>
      </w:r>
    </w:p>
    <w:p w:rsidR="00F2036A" w:rsidRPr="00E72B02" w:rsidRDefault="00F2036A" w:rsidP="004551E9">
      <w:pPr>
        <w:rPr>
          <w:lang w:val="es-ES_tradnl"/>
        </w:rPr>
      </w:pPr>
      <w:r w:rsidRPr="00E72B02">
        <w:rPr>
          <w:lang w:val="es-ES_tradnl"/>
        </w:rPr>
        <w:t xml:space="preserve">Como señala LORD, el contenido del Artículo 15 que finalmente surgió del proceso de negociación revela una disposición más bien acotada que poco añade a la prohibición de tortura existente a la luz del derecho internacional de los derechos humanos, al menos si es leída fuera del contexto de otras </w:t>
      </w:r>
      <w:r w:rsidRPr="00E72B02">
        <w:rPr>
          <w:lang w:val="es-ES_tradnl"/>
        </w:rPr>
        <w:lastRenderedPageBreak/>
        <w:t>disposiciones de la CDPD que, sin duda alguna, expanden su significado y la intención para su implementación.</w:t>
      </w:r>
      <w:r w:rsidRPr="00E72B02">
        <w:rPr>
          <w:rStyle w:val="Refdenotaalpie"/>
          <w:lang w:val="es-ES_tradnl"/>
        </w:rPr>
        <w:footnoteReference w:id="393"/>
      </w:r>
    </w:p>
    <w:p w:rsidR="00F2036A" w:rsidRPr="00E72B02" w:rsidRDefault="00F2036A" w:rsidP="004551E9">
      <w:pPr>
        <w:rPr>
          <w:lang w:val="es-ES_tradnl"/>
        </w:rPr>
      </w:pPr>
      <w:r w:rsidRPr="00E72B02">
        <w:rPr>
          <w:lang w:val="es-ES_tradnl"/>
        </w:rPr>
        <w:t>De las experiencias narradas por las propias personas con discapacidad que han podido sobrevivir a procesos traumáticos de prácticas médicas psiquiátricas,</w:t>
      </w:r>
      <w:r w:rsidRPr="00E72B02">
        <w:rPr>
          <w:rStyle w:val="Refdenotaalpie"/>
          <w:lang w:val="es-ES_tradnl"/>
        </w:rPr>
        <w:footnoteReference w:id="394"/>
      </w:r>
      <w:r w:rsidRPr="00E72B02">
        <w:rPr>
          <w:lang w:val="es-ES_tradnl"/>
        </w:rPr>
        <w:t xml:space="preserve"> así como de numerosas investigaciones e informes</w:t>
      </w:r>
      <w:r w:rsidRPr="00E72B02">
        <w:rPr>
          <w:rStyle w:val="Refdenotaalpie"/>
          <w:lang w:val="es-ES_tradnl"/>
        </w:rPr>
        <w:footnoteReference w:id="395"/>
      </w:r>
      <w:r w:rsidRPr="00E72B02">
        <w:rPr>
          <w:lang w:val="es-ES_tradnl"/>
        </w:rPr>
        <w:t xml:space="preserve"> que relatan la habitualidad y la crueldad de los tratos a los cuales son sometidas las personas con discapacidad en contextos de institucionalización, es posible identificar al menos cinco categorías o tipos de violaciones graves a los derechos humanos que pueden suponer actos de tortura u otros tratos inhumanos. </w:t>
      </w:r>
    </w:p>
    <w:p w:rsidR="00F2036A" w:rsidRPr="00E72B02" w:rsidRDefault="00F2036A" w:rsidP="004551E9">
      <w:pPr>
        <w:rPr>
          <w:lang w:val="es-ES_tradnl"/>
        </w:rPr>
      </w:pPr>
      <w:r w:rsidRPr="00E72B02">
        <w:rPr>
          <w:i/>
          <w:lang w:val="es-ES_tradnl"/>
        </w:rPr>
        <w:t>Violaciones manifiestas de los derechos humanos más básicos</w:t>
      </w:r>
      <w:r w:rsidRPr="00E72B02">
        <w:rPr>
          <w:lang w:val="es-ES_tradnl"/>
        </w:rPr>
        <w:t>: Existe basta evidencia recogida por ONGs, por organismos internacionales de derechos humanos, e incluso por investigaciones oficiales encargadas por los propios gobiernos, que demuestran que las personas con discapacidad, incluidos niños y niñas, son sistemáticamente expuestos a violaciones manifiestas de sus derechos humanos más básicos en contextos de institucionalización. Tales prácticas suelen incluir el encierro prolongado, el suministro deficiente de alimento, agua y vestimenta, exposición al frío o calor intensos, o palizas y todo tipo de abusos sexuales.</w:t>
      </w:r>
      <w:r w:rsidRPr="00E72B02">
        <w:rPr>
          <w:rStyle w:val="Refdenotaalpie"/>
          <w:lang w:val="es-ES_tradnl"/>
        </w:rPr>
        <w:footnoteReference w:id="396"/>
      </w:r>
      <w:r w:rsidRPr="00E72B02">
        <w:rPr>
          <w:lang w:val="es-ES_tradnl"/>
        </w:rPr>
        <w:t xml:space="preserve">   </w:t>
      </w:r>
    </w:p>
    <w:p w:rsidR="00F2036A" w:rsidRPr="00E72B02" w:rsidRDefault="00F2036A" w:rsidP="004551E9">
      <w:pPr>
        <w:rPr>
          <w:lang w:val="es-ES_tradnl"/>
        </w:rPr>
      </w:pPr>
      <w:r w:rsidRPr="00E72B02">
        <w:rPr>
          <w:i/>
          <w:lang w:val="es-ES_tradnl"/>
        </w:rPr>
        <w:lastRenderedPageBreak/>
        <w:t>Tratamientos médicos con fines terapéuticos dirigidos exclusivamente a personas con discapacidad</w:t>
      </w:r>
      <w:r w:rsidRPr="00E72B02">
        <w:rPr>
          <w:lang w:val="es-ES_tradnl"/>
        </w:rPr>
        <w:t xml:space="preserve">: En contextos de institucionalización las personas con discapacidad son usualmente sometidas a prácticas o tratamientos médicos que, bajo un fin terapéutico, son suministrados exclusivamente a dichas personas, tales como </w:t>
      </w:r>
      <w:r w:rsidRPr="00E72B02">
        <w:rPr>
          <w:lang w:val="es-ES"/>
        </w:rPr>
        <w:t xml:space="preserve">terapia electroconvulsiva, o la medicación psiquiátrica, incluidos los neurolépticos y otros medicamentos psicotrópicos. </w:t>
      </w:r>
    </w:p>
    <w:p w:rsidR="00F2036A" w:rsidRPr="00E72B02" w:rsidRDefault="00F2036A" w:rsidP="004551E9">
      <w:pPr>
        <w:rPr>
          <w:lang w:val="es-ES_tradnl"/>
        </w:rPr>
      </w:pPr>
      <w:r w:rsidRPr="00E72B02">
        <w:rPr>
          <w:lang w:val="es-ES_tradnl"/>
        </w:rPr>
        <w:t xml:space="preserve">Tratamientos o prácticas médicas dirigidas a la población general pero que son generalmente impuestas a las personas con discapacidad sin su consentimiento: Las personas con discapacidad son generalmente sometidas a prácticas contempladas como válidas por el ordenamiento jurídico pero que se administran sin su consentimiento libre e informado, tales como, </w:t>
      </w:r>
      <w:r w:rsidRPr="00E72B02">
        <w:rPr>
          <w:lang w:val="es-ES"/>
        </w:rPr>
        <w:t>experimentos médicos o científicos, las esterilizaciones o los abortos forzados. Dichas prácticas incluyen habitualmente a niños y niñas con discapacidad.</w:t>
      </w:r>
      <w:r w:rsidRPr="00E72B02">
        <w:rPr>
          <w:rStyle w:val="Refdenotaalpie"/>
          <w:lang w:val="es-ES"/>
        </w:rPr>
        <w:footnoteReference w:id="397"/>
      </w:r>
    </w:p>
    <w:p w:rsidR="00F2036A" w:rsidRPr="00E72B02" w:rsidRDefault="00F2036A" w:rsidP="004551E9">
      <w:pPr>
        <w:rPr>
          <w:lang w:val="es-ES_tradnl"/>
        </w:rPr>
      </w:pPr>
      <w:r w:rsidRPr="00E72B02">
        <w:rPr>
          <w:i/>
          <w:lang w:val="es-ES_tradnl"/>
        </w:rPr>
        <w:t>Prácticas o medidas de control disciplinario</w:t>
      </w:r>
      <w:r w:rsidRPr="00E72B02">
        <w:rPr>
          <w:lang w:val="es-ES_tradnl"/>
        </w:rPr>
        <w:t>: Las personas con discapacidad son usualmente sometidas a prácticas o tratamientos médicos justificados no ya en un fin terapéutico, sin más bien, en un fin correctivo o de control disciplinario, tales como la administración de sedantes en cantidades exorbitantes, o el aislamiento o sujeción prolongada.</w:t>
      </w:r>
      <w:r w:rsidRPr="00E72B02">
        <w:rPr>
          <w:rStyle w:val="Refdenotaalpie"/>
          <w:lang w:val="es-ES_tradnl"/>
        </w:rPr>
        <w:footnoteReference w:id="398"/>
      </w:r>
      <w:r w:rsidRPr="00E72B02">
        <w:rPr>
          <w:lang w:val="es-ES_tradnl"/>
        </w:rPr>
        <w:t xml:space="preserve"> </w:t>
      </w:r>
    </w:p>
    <w:p w:rsidR="00F2036A" w:rsidRPr="00E72B02" w:rsidRDefault="00F2036A" w:rsidP="004551E9">
      <w:pPr>
        <w:rPr>
          <w:lang w:val="es-ES_tradnl"/>
        </w:rPr>
      </w:pPr>
      <w:r w:rsidRPr="00E72B02">
        <w:rPr>
          <w:i/>
          <w:lang w:val="es-ES_tradnl"/>
        </w:rPr>
        <w:lastRenderedPageBreak/>
        <w:t>Denegación de ajustes razonables o de apoyos</w:t>
      </w:r>
      <w:r w:rsidRPr="00E72B02">
        <w:rPr>
          <w:lang w:val="es-ES_tradnl"/>
        </w:rPr>
        <w:t xml:space="preserve">: Las personas con discapacidad, pese a encontrarse en instituciones destinadas a personas con discapacidad, usualmente no tienen acceso a los ajustes razonables o a los apoyos necesarios requeridos por las necesidades específicas de cada persona, tales como acceso a sillas de ruedas eléctricas, apoyo de contención frente a situaciones de crisis, acceso a medios de comunicación alternativos, o acceso a un plan terapéutico personalizado, en la comunidad y con la intervención necesaria de la persona. </w:t>
      </w:r>
    </w:p>
    <w:p w:rsidR="00F2036A" w:rsidRPr="00E72B02" w:rsidRDefault="00F2036A" w:rsidP="004551E9">
      <w:pPr>
        <w:rPr>
          <w:lang w:val="es-ES_tradnl"/>
        </w:rPr>
      </w:pPr>
      <w:r w:rsidRPr="00E72B02">
        <w:rPr>
          <w:lang w:val="es-ES_tradnl"/>
        </w:rPr>
        <w:t xml:space="preserve">  Todas estas modalidades de violaciones habituales de los derechos humanos de las personas con discapacidad quedan protegidas a la luz del Artículo 15 de la CDPD y del marco universal de derechos humanos. Como se ha señalado ya en el Capítulo 2, el ex relator contra la Tortura, ha analizado y advertido que muchas de estas prácticas pueden constituir tortura y otro tipo de penas o tratos crueles, inhumanos de degradantes.</w:t>
      </w:r>
      <w:r w:rsidRPr="00E72B02">
        <w:rPr>
          <w:rStyle w:val="Refdenotaalpie"/>
          <w:lang w:val="es-ES_tradnl"/>
        </w:rPr>
        <w:footnoteReference w:id="399"/>
      </w:r>
    </w:p>
    <w:p w:rsidR="00F2036A" w:rsidRPr="00E72B02" w:rsidRDefault="00F2036A" w:rsidP="004551E9">
      <w:pPr>
        <w:rPr>
          <w:lang w:val="es-ES_tradnl"/>
        </w:rPr>
      </w:pPr>
      <w:r w:rsidRPr="00E72B02">
        <w:rPr>
          <w:lang w:val="es-ES_tradnl"/>
        </w:rPr>
        <w:t xml:space="preserve">Ahora bien, de la lectura integral del Artículo 15 en el marco general de la CDPD, y su integración con el marco general de los derechos humanos, es posible identificar al menos tres obligaciones específicas hacia los Estados Partes. En primer lugar la obligación general de protección de las personas con discapacidad frente a la tortura y otros tratos inhumanos. En segundo lugar, la obligación de protección de las personas con discapacidad frente a experimentaciones médicas y científicas. En tercer lugar el deber de adoptar medidas para asegurar la no discriminación de las personas con discapacidad frente a la tortura y otros tratos inhumanos. Sin perjuicio de esta distinción metodológica, es importante resaltar que estas obligaciones se encuentran frecuentemente interrelacionadas. </w:t>
      </w:r>
    </w:p>
    <w:p w:rsidR="00F2036A" w:rsidRPr="00E72B02" w:rsidRDefault="00F2036A" w:rsidP="004551E9">
      <w:pPr>
        <w:rPr>
          <w:lang w:val="es-ES_tradnl"/>
        </w:rPr>
      </w:pPr>
      <w:r w:rsidRPr="00E72B02">
        <w:rPr>
          <w:lang w:val="es-ES_tradnl"/>
        </w:rPr>
        <w:lastRenderedPageBreak/>
        <w:t>La obligación general de protección de las personas con discapacidad frente a la tortura y otros tratos inhumanos reafirmada por el Artículo 15 de la CDPD supone que en relación con las personas con discapacidad, los Estados tienen un deber de protección especial, debido a la situación de especial vulnerabilidad a la cual se enfrentan generalmente las personas con discapacidad. Este principio ha sido plenamente reconocido por la jurisprudencia internacional de los organismos internacionales de derechos humanos,</w:t>
      </w:r>
      <w:r w:rsidRPr="00E72B02">
        <w:rPr>
          <w:rStyle w:val="Refdenotaalpie"/>
          <w:lang w:val="es-ES_tradnl"/>
        </w:rPr>
        <w:footnoteReference w:id="400"/>
      </w:r>
      <w:r w:rsidRPr="00E72B02">
        <w:rPr>
          <w:lang w:val="es-ES_tradnl"/>
        </w:rPr>
        <w:t xml:space="preserve"> y sienta las bases para la protección de prácticas tales como las violaciones manifiestas de los derechos humanos más básicos, o las prácticas o medidas de control disciplinario. </w:t>
      </w:r>
    </w:p>
    <w:p w:rsidR="00F2036A" w:rsidRPr="00E72B02" w:rsidRDefault="00F2036A" w:rsidP="004551E9">
      <w:pPr>
        <w:rPr>
          <w:lang w:val="es-ES_tradnl"/>
        </w:rPr>
      </w:pPr>
      <w:r w:rsidRPr="00E72B02">
        <w:rPr>
          <w:lang w:val="es-ES_tradnl"/>
        </w:rPr>
        <w:t>La obligación de protección de las personas con discapacidad frente a experimentaciones médicas y científicas sin su consentimiento libre e informado, vincula indefectiblemente la lectura del Artículo 15 con el Artículo 12 y 13 de la CDPD, y sienta las bases para la protección de prácticas tales como los tratamientos o prácticas médicas dirigidas a la población general pero que son generalmente impuestas a las personas con discapacidad sin su consentimiento.</w:t>
      </w:r>
      <w:r w:rsidRPr="00E72B02">
        <w:rPr>
          <w:rStyle w:val="Refdenotaalpie"/>
          <w:lang w:val="es-ES_tradnl"/>
        </w:rPr>
        <w:footnoteReference w:id="401"/>
      </w:r>
      <w:r w:rsidRPr="00E72B02">
        <w:rPr>
          <w:lang w:val="es-ES_tradnl"/>
        </w:rPr>
        <w:t xml:space="preserve"> Debido a la relevancia de esta cuestión con el objeto del presente trabajo, dicho análisis se ha abordado en el Capítulo 5 del presente trabajo. </w:t>
      </w:r>
    </w:p>
    <w:p w:rsidR="00F2036A" w:rsidRPr="00E72B02" w:rsidRDefault="00F2036A" w:rsidP="004551E9">
      <w:pPr>
        <w:rPr>
          <w:lang w:val="es-ES_tradnl"/>
        </w:rPr>
      </w:pPr>
      <w:r w:rsidRPr="00E72B02">
        <w:rPr>
          <w:lang w:val="es-ES_tradnl"/>
        </w:rPr>
        <w:t xml:space="preserve">Finalmente el deber de adoptar medidas para asegurar la no discriminación de las personas con discapacidad frente a la tortura y otros tratos inhumanos, </w:t>
      </w:r>
      <w:r w:rsidRPr="00E72B02">
        <w:rPr>
          <w:lang w:val="es-ES_tradnl"/>
        </w:rPr>
        <w:lastRenderedPageBreak/>
        <w:t>sirve como cláusula de cierre que permite ampliar exponencialmente el alcance del Artículo 15 para garantizar protección frente a prácticas tales como los tratamientos médicos con fines terapéuticos dirigidos exclusivamente a personas con discapacidad o la denegación de ajustes razonables o de apoyos.</w:t>
      </w:r>
    </w:p>
    <w:p w:rsidR="00F2036A" w:rsidRPr="00E72B02" w:rsidRDefault="00F2036A" w:rsidP="004551E9">
      <w:r w:rsidRPr="00E72B02">
        <w:rPr>
          <w:lang w:val="es-ES_tradnl"/>
        </w:rPr>
        <w:t xml:space="preserve">El Artículo 16 se centra asimismo en la protección de la integridad personal, aunque mediante referencia a un nivel de violación, si se quiere, menos grave, pero que se genera en ámbitos privados o ajenos al control estatal, y donde frecuentemente las personas con discapacidad no tienen la posibilidad de identificar o denunciar dichas violaciones. </w:t>
      </w:r>
      <w:r w:rsidRPr="00E72B02">
        <w:t>La explotación y el abuso sexual es un fenómeno extendido entre personas con discapacidad, particularmente mujeres y niñas, aunque los hombres y niños con discapacidad también sufren de violencia, explotación y abuso sexual. Los estudios indican que las personas con discapacidad se encuentran desproporcionadamente en riesgo de violencia y que el abuso sexual entre las mujeres con discapacidad es mucho mayor que en el resto de la población.</w:t>
      </w:r>
      <w:r w:rsidRPr="00E72B02">
        <w:rPr>
          <w:rStyle w:val="Refdenotaalpie"/>
        </w:rPr>
        <w:footnoteReference w:id="402"/>
      </w:r>
      <w:r w:rsidRPr="00E72B02">
        <w:t xml:space="preserve">  La mayoría de las instancias de abuso no son informadas y por lo tanto no son tratadas. Muy a menudo, el abuso sucede en una vivienda privada o en una institución, donde se piensa que las personas con discapacidad están protegidas contra dichos abusos.</w:t>
      </w:r>
      <w:r w:rsidRPr="00E72B02">
        <w:rPr>
          <w:rStyle w:val="Refdenotaalpie"/>
        </w:rPr>
        <w:footnoteReference w:id="403"/>
      </w:r>
      <w:r w:rsidRPr="00E72B02">
        <w:t xml:space="preserve"> </w:t>
      </w:r>
    </w:p>
    <w:p w:rsidR="00F2036A" w:rsidRPr="00E72B02" w:rsidRDefault="00F2036A" w:rsidP="004551E9">
      <w:r w:rsidRPr="00E72B02">
        <w:lastRenderedPageBreak/>
        <w:t xml:space="preserve">Si bien el artículo 16 está estrechamente vinculado con el artículo 15, la especificidad de esta disposición tiene por objeto proteger a las personas con discapacidad, tanto dentro como fuera del hogar, de todas las formas de explotación, violencia y abuso. La mayoría de las personas con discapacidad, debido a la falta de apoyo o asistencia personal deben necesariamente a vivir bajo el cuidado de sus familias o en una institución pública. Por lo tanto en la mayoría de las actividades diarias básicas, las personas con discapacidad interactúan y dependen de terceras personas y, dicha dinámica, suele carecer de regulación o control. </w:t>
      </w:r>
    </w:p>
    <w:p w:rsidR="00F2036A" w:rsidRPr="00E72B02" w:rsidRDefault="00F2036A" w:rsidP="004551E9">
      <w:r w:rsidRPr="00E72B02">
        <w:t xml:space="preserve">La CDPD exige a los Estados a que adopten todas las medidas apropiadas para prevenir todas las formas de explotación, violencia y abuso en al menos cuatro áreas: 1) la prestación de asistencia y apoyo a las personas con discapacidad y sus familias y cuidadores en particular mediante el suministro de información y educación sobre manera de prevenir, reconocer y denunciar los casos de explotación, violencia y abuso, 2) asegurar que todos los servicios y programas diseñados para servir a las personas con discapacidad sean supervisados ​​efectivamente por autoridades independientes, 3) promover la recuperación física, cognitiva y psicológica, la rehabilitación, y la reintegración social de las personas con discapacidad que sean víctimas de cualquier forma de explotación, violencia y abuso, y 4) asegurar que los casos de explotación, violencia y abuso contra personas con discapacidad sean detectados, investigados y, en su caso, juzgados. </w:t>
      </w:r>
    </w:p>
    <w:p w:rsidR="00F2036A" w:rsidRPr="00E72B02" w:rsidRDefault="00F2036A" w:rsidP="004551E9">
      <w:r w:rsidRPr="00E72B02">
        <w:t>Finalmente el Artículo 17 de la CDPD señala que</w:t>
      </w:r>
      <w:r w:rsidR="007B3713" w:rsidRPr="00E72B02">
        <w:t xml:space="preserve"> t</w:t>
      </w:r>
      <w:r w:rsidRPr="00E72B02">
        <w:t>oda persona con discapacidad tiene derecho a que se respete su integridad física y mental en igualdad de condiciones con las demás</w:t>
      </w:r>
      <w:r w:rsidR="007B3713" w:rsidRPr="00E72B02">
        <w:t xml:space="preserve">. </w:t>
      </w:r>
      <w:r w:rsidRPr="00E72B02">
        <w:t xml:space="preserve">Aunque se trata de una disposición breve y que simplemente reafirma el derecho a la protección de las personas con discapacidad de su integridad física y mental, su lectura sistemática a la luz de los Artículos, 12, 15 y 16, confiere a la misma de un significado y función primordial en el marco de la CDPD. </w:t>
      </w:r>
    </w:p>
    <w:p w:rsidR="00F2036A" w:rsidRPr="00E72B02" w:rsidRDefault="00F2036A" w:rsidP="004551E9">
      <w:pPr>
        <w:rPr>
          <w:lang w:val="es-ES_tradnl"/>
        </w:rPr>
      </w:pPr>
      <w:r w:rsidRPr="00E72B02">
        <w:lastRenderedPageBreak/>
        <w:t xml:space="preserve">En términos sencillos, el artículo 17 opera como una clausula de cierre que engloba todas aquellas violaciones que no puedan considerase como tortura o como violencia o abuso. Y el gran valor del Artículo 17 es su referencia expresa a la perspectiva de la no discriminación, puesto que ello vincula indefectiblemente el Artículo 17 con el Artículo 12 de la CDPD. </w:t>
      </w:r>
      <w:r w:rsidRPr="00E72B02">
        <w:rPr>
          <w:lang w:val="es-ES_tradnl"/>
        </w:rPr>
        <w:t>Debido a la relevancia de esta cuestión con el objeto del presente trabajo, dicho análisis se ha abordado en el Capítulo 5 del presente trabajo.</w:t>
      </w:r>
    </w:p>
    <w:p w:rsidR="00F2036A" w:rsidRPr="00E52D11" w:rsidRDefault="00F2036A" w:rsidP="00E52D11">
      <w:pPr>
        <w:pStyle w:val="TITULO9"/>
        <w:jc w:val="both"/>
        <w:rPr>
          <w:b w:val="0"/>
          <w:bCs w:val="0"/>
          <w:sz w:val="24"/>
          <w:lang w:val="es-ES_tradnl"/>
        </w:rPr>
      </w:pPr>
    </w:p>
    <w:p w:rsidR="00F2036A" w:rsidRPr="00E52D11" w:rsidRDefault="00F2036A" w:rsidP="00E52D11">
      <w:pPr>
        <w:pStyle w:val="TITULO9"/>
        <w:jc w:val="both"/>
        <w:rPr>
          <w:b w:val="0"/>
          <w:bCs w:val="0"/>
          <w:sz w:val="24"/>
        </w:rPr>
      </w:pPr>
      <w:r w:rsidRPr="00E52D11">
        <w:rPr>
          <w:b w:val="0"/>
          <w:bCs w:val="0"/>
          <w:sz w:val="24"/>
        </w:rPr>
        <w:t xml:space="preserve">3.7.5 Respeto por la privacidad y la familia </w:t>
      </w:r>
    </w:p>
    <w:p w:rsidR="00F2036A" w:rsidRPr="00E72B02" w:rsidRDefault="00F2036A" w:rsidP="004551E9"/>
    <w:p w:rsidR="00F2036A" w:rsidRPr="00E72B02" w:rsidRDefault="00F2036A" w:rsidP="004551E9">
      <w:r w:rsidRPr="00E72B02">
        <w:t xml:space="preserve">La CDPD como tratado integral de derechos humanos abarca y contempla como un pilar fundamental de los derechos de las personas con discapacidad las esferas de la privacidad y la familia. Se tratan de dos ámbitos donde las legislaciones nacionales guardan silencio, o donde las pocas normas vigentes tienen el efecto de restringir o privar este derecho respecto de personas con discapacidad. Por ello, la CDPD brinda un marco de protección necesario y sin precedente para las personas con discapacidad. </w:t>
      </w:r>
    </w:p>
    <w:p w:rsidR="00F2036A" w:rsidRPr="00E72B02" w:rsidRDefault="00F2036A" w:rsidP="004551E9">
      <w:r w:rsidRPr="00E72B02">
        <w:t xml:space="preserve">Tradicionalmente el sistema de protección de derechos humanos en materia de privacidad y familia se centraba en garantizar la no intervención o intromisión del Estado en la vida de las personas. Con el tiempo el derecho internacional de los derechos humanos fue progresando para entender necesario que las obligaciones de los Estados en estos ámbitos debe incluir el deber de proteger a las personas incluso, o principalmente, de la interferencia de terceros. A ello hay que sumar que, la mayoría de los Estados suele regular los aspectos relativos a la privacidad y a la familia en los Códigos Civiles, un ámbito tradicionalmente reacio a incluir estándares universales de derechos humanos. </w:t>
      </w:r>
    </w:p>
    <w:p w:rsidR="00F2036A" w:rsidRPr="00E72B02" w:rsidRDefault="00F2036A" w:rsidP="004551E9">
      <w:r w:rsidRPr="00E72B02">
        <w:lastRenderedPageBreak/>
        <w:t>El artículo 22 reafirma que "</w:t>
      </w:r>
      <w:r w:rsidRPr="00F65DCB">
        <w:t>ninguna persona con discapacidad, independientemente de cuál sea su lugar de residencia o su modalidad de convivencia, será objeto de injerencias arbitrarias o ilegales en su vida privada, familia, hogar, correspondencia o cualquier otro tipo de comunicación, o de agresiones ilícitas contra su honor y su reputación</w:t>
      </w:r>
      <w:r w:rsidRPr="00E72B02">
        <w:t xml:space="preserve">". Esta disposición se centra básicamente en dos aspectos. Por un lado, el artículo 22 trata de asegurar la protección de la vida privada de cada persona con independencia del tipo o modalidad de su </w:t>
      </w:r>
      <w:r w:rsidR="00F65DCB">
        <w:t>residencia</w:t>
      </w:r>
      <w:r w:rsidRPr="00E72B02">
        <w:t xml:space="preserve">. Por otra parte, esta disposición trata de salvaguardar la información privada de cada persona, en especial </w:t>
      </w:r>
      <w:r w:rsidR="00F65DCB">
        <w:t>l</w:t>
      </w:r>
      <w:r w:rsidRPr="00E72B02">
        <w:t>a información relacionada con la discapacidad de la persona. Como la religión, o afinidad política, toda la información relacionada con la discapacidad se considera como datos personales y por lo tanto como información protegida.</w:t>
      </w:r>
    </w:p>
    <w:p w:rsidR="00F2036A" w:rsidRPr="00E72B02" w:rsidRDefault="00F2036A" w:rsidP="004551E9">
      <w:r w:rsidRPr="00E72B02">
        <w:t xml:space="preserve">El Artículo 22(1) reproduce en sus elementos medulares lo establecido en el Artículo 17 de PIDCP, aunque adaptado al contexto de la discapacidad. Dicha perspectiva se traduce en un doble enfoque. Por un lado, y aunque la norma no lo señala expresamente, el Artículo 22 debe ser leído desde la perspectiva de la igualdad y la no-discriminación. Pero por otro lado, el Artículo 22(1) consideran necesario incluir una frase adicional a la fórmula contemplada por el PIDCP, esto es, “independientemente de cuál sea su lugar de residencia o su modalidad de convivencia”. Se podría afirmar que, en realidad, esta frase lo que pretende es asegurar la aplicación igualitaria del derecho a la privacidad respecto de las personas con discapacidad, solo que la CDPD opta por especificar la circunstancia o situación que usualmente genera las mayores vulneraciones de este derecho. Muchas personas con discapacidad, sea porque viven en contextos de institucionalización, sea porque viven con su familia, o incluso cuando viven de forma independiente, suelen estar en contacto con cuidadores, enfermeros, médicos, asistentes personales, </w:t>
      </w:r>
      <w:r w:rsidR="00F65DCB">
        <w:t>intérpretes</w:t>
      </w:r>
      <w:r w:rsidRPr="00E72B02">
        <w:t xml:space="preserve">, quienes pueden tener acceso fácil a información privada, o a la intimidad </w:t>
      </w:r>
      <w:r w:rsidR="00F65DCB">
        <w:t>física</w:t>
      </w:r>
      <w:r w:rsidRPr="00E72B02">
        <w:t xml:space="preserve"> de la persona. La CDPD intenta cubrir especialmente este tipo de situaciones en </w:t>
      </w:r>
      <w:r w:rsidRPr="00E72B02">
        <w:lastRenderedPageBreak/>
        <w:t>las cuales se suelen registrar las mayores vulneraciones del derecho a la privacidad. El derecho a la privacidad abarca varios elementos, lo que incluye: i) Privacidad de información; ii) Privacidad de comunicación; iii) Entorno personal; y iv) Protección contra agresiones sobre el honor o la reputación de una persona.</w:t>
      </w:r>
      <w:r w:rsidRPr="00E72B02">
        <w:rPr>
          <w:rStyle w:val="Refdenotaalpie"/>
          <w:lang w:val="es-ES"/>
        </w:rPr>
        <w:footnoteReference w:id="404"/>
      </w:r>
      <w:r w:rsidRPr="00E72B02">
        <w:t xml:space="preserve"> </w:t>
      </w:r>
    </w:p>
    <w:p w:rsidR="00F2036A" w:rsidRPr="00E72B02" w:rsidRDefault="00F2036A" w:rsidP="004551E9">
      <w:r w:rsidRPr="00E72B02">
        <w:t>Aunque la CDPD no lo menciona, la interpretación sistemática del Artículo 22 con el resto de la Convención, en especial el Artículo 4, y con el marco general de derecho</w:t>
      </w:r>
      <w:r w:rsidR="00F65DCB">
        <w:t>s</w:t>
      </w:r>
      <w:r w:rsidRPr="00E72B02">
        <w:t xml:space="preserve"> humanos, nos permite afirmar que los Estados Partes se encuentran en el deber de “sancionar legislación apropiada a ese efecto”, y también deben “proporcionar medios para que toda persona pueda protegerse eficazmente contra los ataques ilegales que puedan producirse y para que pueda disponer de un recurso eficaz contra los responsables de esos ataques”.</w:t>
      </w:r>
      <w:r w:rsidRPr="00E72B02">
        <w:rPr>
          <w:rStyle w:val="Refdenotaalpie"/>
          <w:rFonts w:eastAsia="Calibri"/>
          <w:lang w:val="es-ES"/>
        </w:rPr>
        <w:footnoteReference w:id="405"/>
      </w:r>
      <w:r w:rsidRPr="00E72B02">
        <w:t xml:space="preserve">  </w:t>
      </w:r>
    </w:p>
    <w:p w:rsidR="00F2036A" w:rsidRPr="00E72B02" w:rsidRDefault="00F2036A" w:rsidP="004551E9">
      <w:r w:rsidRPr="00E72B02">
        <w:t xml:space="preserve">Por su parte el Artículo 22(2) incluye un párrafo adicional que no forma parte del texto recogido en el Artículo 17 del PIDCP. Una vez más, aunque se podría afirmar que lo señalado en el párrafo 2 del Artículo 22 quedaría implícito en lo señalado en el párrafo 1, la CDDP considera necesario explicitar un ámbito de vulneración habitual del derecho a la privacidad de las personas con discapacidad, de modo que los Estados no puedan escapar de brindar soluciones específicas al respecto. </w:t>
      </w:r>
    </w:p>
    <w:p w:rsidR="00F2036A" w:rsidRPr="00E72B02" w:rsidRDefault="00F2036A" w:rsidP="004551E9">
      <w:r w:rsidRPr="00E72B02">
        <w:t xml:space="preserve">Esta cláusula tiene un impacto importante para la vida de las personas con discapacidad, puesto que está prevista especialmente a los efectos de evitar que se difundan o se hagan públicas cuestiones relativas o relacionadas con la discapacidad de la persona. Por ello, cobra especial relevancia en este contexto, la legislación sobre protección de datos personales, o de acceso a </w:t>
      </w:r>
      <w:r w:rsidRPr="00E72B02">
        <w:lastRenderedPageBreak/>
        <w:t>historiales médicos. Históricamente se ha considerado que los datos relativos a la discapacidad debían considerarse públicos, en especial registros médicos sobre discapacidades psicosociales. En virtud del Artículo 22(2) nadie puede exigir que una persona con discapacidad revele su historial médico o su discapacidad a menos que lo considere necesario a los efectos de solicitar ajustes razonables. Como la religión, o afinidad política, toda la información relacionada con la discapacidad se considera como datos personales y por lo tanto como información protegida.</w:t>
      </w:r>
    </w:p>
    <w:p w:rsidR="00F2036A" w:rsidRPr="00E72B02" w:rsidRDefault="00F2036A" w:rsidP="004551E9">
      <w:r w:rsidRPr="00E72B02">
        <w:t xml:space="preserve">En el ámbito de la familia, </w:t>
      </w:r>
      <w:r w:rsidR="007B3713" w:rsidRPr="00E72B02">
        <w:t xml:space="preserve">el Artículo 23 de </w:t>
      </w:r>
      <w:r w:rsidRPr="00E72B02">
        <w:t>la CDPD también recoge importantes disposiciones que pretende</w:t>
      </w:r>
      <w:r w:rsidR="00F65DCB">
        <w:t>n</w:t>
      </w:r>
      <w:r w:rsidRPr="00E72B02">
        <w:t xml:space="preserve"> revertir la triste historia de las personas con discapacidad en relación con el goce y ejercicio del derecho a la vida familiar. </w:t>
      </w:r>
    </w:p>
    <w:p w:rsidR="00F2036A" w:rsidRPr="00E72B02" w:rsidRDefault="00F2036A" w:rsidP="004551E9">
      <w:r w:rsidRPr="00E72B02">
        <w:t xml:space="preserve">El artículo 23 afirma que los Estados "tomarán medidas efectivas y pertinentes para poner fin a la discriminación contra las personas con discapacidad en todas las cuestiones relacionadas con el matrimonio, la familia, la paternidad y las relaciones personales, en igualdad de condiciones con las demás". La realidad muestra que los derechos de familia son sistemáticamente violados en la mayoría de los países. Las personas con discapacidad generalmente no son consideradas como personas con derecho a ser padres </w:t>
      </w:r>
      <w:r w:rsidR="00F65DCB">
        <w:t xml:space="preserve">o madres, </w:t>
      </w:r>
      <w:r w:rsidRPr="00E72B02">
        <w:t>o incluso en muchos casos, como niños o niñas con derecho a un hogar y una familia.</w:t>
      </w:r>
    </w:p>
    <w:p w:rsidR="00F2036A" w:rsidRPr="00E72B02" w:rsidRDefault="00F2036A" w:rsidP="004551E9">
      <w:r w:rsidRPr="00E72B02">
        <w:t>En consecuencia, el artículo 23 aborda tanto las dimensiones activas y pasivas de las de los derechos de la familia, es decir a ser padres</w:t>
      </w:r>
      <w:r w:rsidR="00F65DCB">
        <w:t xml:space="preserve"> o madres</w:t>
      </w:r>
      <w:r w:rsidRPr="00E72B02">
        <w:t xml:space="preserve"> por un lado y vivir en un hogar y una familia por otro. En cuanto a la dimensión activa, el artículo 23 deja en claro que todas las personas con discapacidad deberán conservar y disfrutar de su fertilidad y los derechos reproductivos, incluido el derecho al matrimonio, el derecho a mantener su </w:t>
      </w:r>
      <w:r w:rsidRPr="00E72B02">
        <w:lastRenderedPageBreak/>
        <w:t>fertilidad y el derecho a decidir libre y responsablemente el número de sus hijos.</w:t>
      </w:r>
      <w:r w:rsidRPr="00E72B02">
        <w:rPr>
          <w:rStyle w:val="Refdenotaalpie"/>
          <w:lang w:val="es-ES"/>
        </w:rPr>
        <w:footnoteReference w:id="406"/>
      </w:r>
      <w:r w:rsidRPr="00E72B02">
        <w:t xml:space="preserve"> En cuanto a la dimensión pasiva, la CDPD afirma que "los Estados Partes garantizarán que los niños y las niñas con discapacidad tengan los mismos derechos con respecto a la vida en familia " y que en ningún caso podrá el niño o niña ser separado de sus padres en razón de una discapacidad, bien del menor o uno o ambos de los padres.</w:t>
      </w:r>
      <w:r w:rsidRPr="00E72B02">
        <w:rPr>
          <w:rStyle w:val="Refdenotaalpie"/>
          <w:lang w:val="es-ES"/>
        </w:rPr>
        <w:footnoteReference w:id="407"/>
      </w:r>
      <w:r w:rsidRPr="00E72B02">
        <w:t xml:space="preserve"> </w:t>
      </w:r>
    </w:p>
    <w:p w:rsidR="00F2036A" w:rsidRPr="00E72B02" w:rsidRDefault="00F2036A" w:rsidP="004551E9">
      <w:r w:rsidRPr="00E72B02">
        <w:t>Debido a la discriminación histórica contra las personas con discapacidad en las áreas de matrimonio, familia, paternidad y relaciones personales, el Artículo 23 aborda cada uno de estos asuntos en detalle. Específicamente: i) Artículo 23(1</w:t>
      </w:r>
      <w:r w:rsidR="009E4349" w:rsidRPr="00E72B02">
        <w:t>) (</w:t>
      </w:r>
      <w:r w:rsidRPr="00E72B02">
        <w:t>a) protege el derecho de las personas con discapacidad a casarse sobre la base de un consentimiento libre y pleno de cada persona y a fundar una familia; ii) Artículo 23(1</w:t>
      </w:r>
      <w:r w:rsidR="009E4349" w:rsidRPr="00E72B02">
        <w:t>) (</w:t>
      </w:r>
      <w:r w:rsidRPr="00E72B02">
        <w:t>b) protege los derechos de las personas con discapacidad a decidir libremente cuándo y cuántos hijos tener. También asegura el acceso a la información “apropiada a la edad” y a la “educación sobre reproducción y planificación familiar”, para que las personas con discapacidad puedan tomar decisiones formadas sobre estos asuntos; iii) Artículo 23(1</w:t>
      </w:r>
      <w:r w:rsidR="009E4349" w:rsidRPr="00E72B02">
        <w:t>) (</w:t>
      </w:r>
      <w:r w:rsidRPr="00E72B02">
        <w:t xml:space="preserve">c) trata sobre el derecho de las personas con discapacidad, incluyendo niños y niñas, para que “mantengan su fertilidad </w:t>
      </w:r>
      <w:r w:rsidRPr="00E72B02">
        <w:lastRenderedPageBreak/>
        <w:t>en igualdad de condiciones con los demás”. Esta disposición no sólo protege a los niños, niñas y adultos con discapacidad contra la esterilización forzosa, sino que también implica el derecho de las personas con discapacidad a tener acceso a atención médica, nutrición y otros factores que son pre condiciones para mantener la fertilidad; iv) Artículo 23(2) asegura que las personas con discapacidad tiene el derecho de ser tutores, responsables, padres adoptivos o demás, en donde existan tales derechos para las otras personas. En otras palabras, las personas con discapacidad no deben ser impedidas de asumir responsabilidades de la crianza de hijos porque son personas con discapacidad. Además, si los pa</w:t>
      </w:r>
      <w:r w:rsidR="00F65DCB">
        <w:t>d</w:t>
      </w:r>
      <w:r w:rsidRPr="00E72B02">
        <w:t xml:space="preserve">res </w:t>
      </w:r>
      <w:r w:rsidR="00F65DCB">
        <w:t xml:space="preserve">o madres </w:t>
      </w:r>
      <w:r w:rsidRPr="00E72B02">
        <w:t xml:space="preserve">con discapacidad necesitan asistencia para desarrollar sus responsabilidades en la crianza de sus hijos, los Estados deben brindarle “asistencia apropiada”. v) Artículo 23(3) aborda algunos de los derechos de los niños y niñas con discapacidad, específicamente los derechos a no ser ocultados, abandonados, descuidados o segregados. También requiere que los Estados provean información, servicios y apoyo a los niños y niñas con discapacidad y sus familias; vi) Artículo 23(4)  requiere que los niños y niñas no deben ser separados de sus padres al menos que sea “necesaria en el interés superior del niño” y la decisión ha sido tomada por “autoridades competentes” y “de conformidad con la ley y los procedimientos aplicables”. Además, el Artículo 23(4) no permite que un niño o niña sea separado de sus padres en razón de una discapacidad, sin tener en cuenta si es el niño o niña y/o uno o ambos de los padres quien posee una discapacidad; vii) Artículo 23(5) trata la situación de los niños y niñas con discapacidad quienes pueden no estar en condición de ser cuidados por su familia inmediata. El Estado “hará todo lo posible para proporcionar atención alternativa dentro de la familia extensa” y de no ser esto  posible, </w:t>
      </w:r>
      <w:r w:rsidRPr="00E72B02">
        <w:lastRenderedPageBreak/>
        <w:t>entonces “dentro de la comunidad en un entorno familiar”.  Esto es para prevenir la práctica, común en muchos países, de enviar automáticamente a los niños y niñas con discapacidad a vivir en entornos institucionales donde las familias inmediatas no los pueden cuidar.</w:t>
      </w:r>
      <w:r w:rsidRPr="00E72B02">
        <w:rPr>
          <w:rStyle w:val="Refdenotaalpie"/>
          <w:rFonts w:eastAsia="Calibri"/>
          <w:lang w:val="es-ES"/>
        </w:rPr>
        <w:footnoteReference w:id="408"/>
      </w:r>
    </w:p>
    <w:p w:rsidR="00F2036A" w:rsidRPr="00E72B02" w:rsidRDefault="00F2036A" w:rsidP="004551E9">
      <w:pPr>
        <w:rPr>
          <w:lang w:val="es-ES_tradnl"/>
        </w:rPr>
      </w:pPr>
      <w:r w:rsidRPr="00E72B02">
        <w:rPr>
          <w:kern w:val="24"/>
          <w:lang w:eastAsia="es-AR"/>
        </w:rPr>
        <w:t xml:space="preserve">La CDPD no hace más que reafirmar el derecho humano a la familia de todas las personas con discapacidad aunque añade dos elementos normativos e interpretativos de suma importancia, esto es, la garantía de no discriminación por motivo de discapacidad, y la garantía al reconocimiento del ejercicio de la capacidad jurídica de todas las personas con discapacidad en igualdad de condiciones. Con lo cual, el valor innovador del artículo 23 de la CDPD verdaderamente sale a la luz cuando se conecta esta disposición con las otras disposiciones del tratado, pero principalmente, con el artículo 12(2). </w:t>
      </w:r>
      <w:r w:rsidRPr="00E72B02">
        <w:rPr>
          <w:lang w:val="es-ES_tradnl"/>
        </w:rPr>
        <w:t xml:space="preserve">Debido a la relevancia de esta cuestión con el objeto del presente trabajo, dicho análisis se ha abordado en el Capítulo 5 del presente trabajo. </w:t>
      </w:r>
    </w:p>
    <w:p w:rsidR="00F2036A" w:rsidRPr="00E72B02" w:rsidRDefault="00F2036A" w:rsidP="004551E9">
      <w:pPr>
        <w:rPr>
          <w:lang w:val="es-ES_tradnl"/>
        </w:rPr>
      </w:pPr>
    </w:p>
    <w:p w:rsidR="00F2036A" w:rsidRPr="00E52D11" w:rsidRDefault="00F2036A" w:rsidP="00E52D11">
      <w:pPr>
        <w:pStyle w:val="TITULO9"/>
        <w:jc w:val="both"/>
        <w:rPr>
          <w:b w:val="0"/>
          <w:bCs w:val="0"/>
          <w:sz w:val="24"/>
        </w:rPr>
      </w:pPr>
      <w:r w:rsidRPr="00E52D11">
        <w:rPr>
          <w:b w:val="0"/>
          <w:bCs w:val="0"/>
          <w:sz w:val="24"/>
        </w:rPr>
        <w:t xml:space="preserve">3.7.6 Participación en la vida pública y social  </w:t>
      </w:r>
    </w:p>
    <w:p w:rsidR="00F2036A" w:rsidRPr="00E72B02" w:rsidRDefault="00F2036A" w:rsidP="004551E9"/>
    <w:p w:rsidR="00F2036A" w:rsidRPr="00E72B02" w:rsidRDefault="00F2036A" w:rsidP="004551E9">
      <w:r w:rsidRPr="00E72B02">
        <w:rPr>
          <w:rFonts w:eastAsia="Calibri"/>
        </w:rPr>
        <w:t xml:space="preserve">Otro pilar fundamental de la CDPD se centra en </w:t>
      </w:r>
      <w:r w:rsidRPr="00E72B02">
        <w:t>aquellos derechos cuyo principal objetivo consiste en garantizar la participación política y social de las personas con discapacidad. Entre los mismos podríamos incluir: Artículo 21 Libertad de expresión y acceso a la información; Artículo 29 Participación en la vida política y pública, y Artículo 30 Participación en la vida cultural.</w:t>
      </w:r>
    </w:p>
    <w:p w:rsidR="00F2036A" w:rsidRPr="00E72B02" w:rsidRDefault="00F2036A" w:rsidP="004551E9">
      <w:r w:rsidRPr="00E72B02">
        <w:t xml:space="preserve">El artículo 21 requiere que los Estados adopten todas las medidas apropiadas para garantizar que las personas con discapacidad puedan ejercer </w:t>
      </w:r>
      <w:r w:rsidRPr="00E72B02">
        <w:lastRenderedPageBreak/>
        <w:t>el derecho a la libertad de expresión y opinión, incluida la libertad de buscar, recibir y difundir información e ideas en igualdad de condiciones con las demás mediante cualquier forma de comunicación de su elección. Esta disposición es un claro ejemplo del porqué, en el cumplimiento de los derechos civiles y políticos, también es necesario un papel activo del Estado y no sólo una actitud pasiva no intervencionista. La CDPD no sólo se centra en el derecho a la libertad de expresión, sino también en el derecho de las personas con discapacidad puedan acceder a la información en igualdad de condiciones con los demás.</w:t>
      </w:r>
    </w:p>
    <w:p w:rsidR="00F2036A" w:rsidRPr="00E72B02" w:rsidRDefault="00F2036A" w:rsidP="004551E9">
      <w:r w:rsidRPr="00E72B02">
        <w:t>Pero lejos de ser una disposición vaga y retórica, el artículo 21 establece indicaciones claras sobre cómo garantizar el acceso a la información. En primer lugar, pone de manifiesto que la comunicación "</w:t>
      </w:r>
      <w:r w:rsidRPr="00F65DCB">
        <w:rPr>
          <w:i/>
        </w:rPr>
        <w:t>incluirá los lenguajes, la visualización de textos, el Braille, la comunicación táctil, los macrotipos, los dispositivos multimedia de fácil acceso, así como el lenguaje escrito, los sistemas auditivos, el lenguaje sencillo, los medios de voz digitalizada y otros modos, medios y formatos aumentativos o alternativos de comunicación, incluida la tecnología de la información y las comunicaciones de fácil acceso</w:t>
      </w:r>
      <w:r w:rsidRPr="00E72B02">
        <w:t xml:space="preserve">". En segundo lugar, exige a los Estados garantizar que la información dirigida al público en general esté disponible en formato accesible y con las tecnologías adecuadas a los diferentes tipos de discapacidad. Esta obligación también se aplica a las entidades privadas que presten servicios al público en general. En tercer lugar, el artículo 21 se centra en los medios masivos de comunicación y requiere que los Estados Partes alienten a las mismas a que hagan que sus servicios sean accesibles a las personas con discapacidad. </w:t>
      </w:r>
    </w:p>
    <w:p w:rsidR="00F2036A" w:rsidRPr="00E72B02" w:rsidRDefault="00F2036A" w:rsidP="004551E9">
      <w:pPr>
        <w:rPr>
          <w:lang w:val="es-ES_tradnl"/>
        </w:rPr>
      </w:pPr>
      <w:r w:rsidRPr="00E72B02">
        <w:t xml:space="preserve">La CDPD intenta desarrollar el aspecto relativo a la libertad de expresión añadiendo expresamente aquello que el Comité de Derechos Humanos aclaró en su momento respecto del Artículo 19 del PIDCP, esto es, que la libertad de expresión incluye o requiere indefectiblemente del derecho de “acceso a la información”, y que dicho acceso debe ser </w:t>
      </w:r>
      <w:r w:rsidRPr="00E72B02">
        <w:rPr>
          <w:lang w:val="es-ES_tradnl"/>
        </w:rPr>
        <w:t xml:space="preserve">por cualquier medio, </w:t>
      </w:r>
      <w:r w:rsidRPr="00E72B02">
        <w:rPr>
          <w:lang w:val="es-ES_tradnl"/>
        </w:rPr>
        <w:lastRenderedPageBreak/>
        <w:t>"</w:t>
      </w:r>
      <w:r w:rsidRPr="00F65DCB">
        <w:rPr>
          <w:i/>
          <w:lang w:val="es-ES_tradnl"/>
        </w:rPr>
        <w:t>ya sea oralmente, por escrito o en forma impresa o artística o por cualquier otro procedimiento de su elección</w:t>
      </w:r>
      <w:r w:rsidRPr="00E72B02">
        <w:rPr>
          <w:lang w:val="es-ES_tradnl"/>
        </w:rPr>
        <w:t>".</w:t>
      </w:r>
      <w:r w:rsidRPr="00E72B02">
        <w:rPr>
          <w:rStyle w:val="Refdenotaalpie"/>
          <w:lang w:val="es-ES_tradnl"/>
        </w:rPr>
        <w:footnoteReference w:id="409"/>
      </w:r>
    </w:p>
    <w:p w:rsidR="00F2036A" w:rsidRPr="00E72B02" w:rsidRDefault="00F2036A" w:rsidP="004551E9">
      <w:pPr>
        <w:rPr>
          <w:lang w:val="es-ES_tradnl"/>
        </w:rPr>
      </w:pPr>
      <w:r w:rsidRPr="00E72B02">
        <w:rPr>
          <w:lang w:val="es-ES_tradnl"/>
        </w:rPr>
        <w:t xml:space="preserve">La realidad demuestra que muy pocos Estados garantizan el acceso a la información mínima que se encuentra a disposición del público en general en formatos alternativos como Braille, lenguaje sencillo, o lengua de señas. Incluso la información más fundamental y sobre la que pende todo el sistema de organización social del un Estado como lo son las normas y los instrumentos que recogen planes de políticas públicas no suelen ser accesibles para muchas personas con discapacidad. Como contrapartida, los sistemas de gobierno democráticos suelen justificar la obligatoriedad y publicidad de las normas vigentes mediante su publicación en el Boletín Oficial, el cual muy raramente cuenta con formatos alternativos de comunicación. ¿Cómo se puede exigir a las personas con discapacidad el conocimiento y su consecuente acatamiento de las normas cuando las mismas no tienen la posibilidad material de acceder a las mismas? </w:t>
      </w:r>
    </w:p>
    <w:p w:rsidR="00F2036A" w:rsidRPr="00E72B02" w:rsidRDefault="00F2036A" w:rsidP="004551E9">
      <w:pPr>
        <w:rPr>
          <w:lang w:val="es-ES_tradnl"/>
        </w:rPr>
      </w:pPr>
      <w:r w:rsidRPr="00E72B02">
        <w:rPr>
          <w:lang w:val="es-ES_tradnl"/>
        </w:rPr>
        <w:t>Estrechamente relacionado con la libertad de expresión y acceso a la información, la CDDP aborda el derecho de las personas con discapacidad a la participación en la vida política y pública</w:t>
      </w:r>
      <w:r w:rsidR="007B3713" w:rsidRPr="00E72B02">
        <w:rPr>
          <w:lang w:val="es-ES_tradnl"/>
        </w:rPr>
        <w:t xml:space="preserve">. </w:t>
      </w:r>
    </w:p>
    <w:p w:rsidR="00F2036A" w:rsidRPr="00E72B02" w:rsidRDefault="00F2036A" w:rsidP="004551E9">
      <w:r w:rsidRPr="00E72B02">
        <w:rPr>
          <w:rFonts w:eastAsia="Calibri"/>
        </w:rPr>
        <w:t xml:space="preserve"> </w:t>
      </w:r>
      <w:r w:rsidRPr="00E72B02">
        <w:t>El artículo 29 afirma que "</w:t>
      </w:r>
      <w:r w:rsidRPr="00F65DCB">
        <w:t>Los Estados Partes garantizarán a las personas con discapacidad los derechos políticos y la posibilidad de gozar de ellos en igualdad de condiciones con las demás</w:t>
      </w:r>
      <w:r w:rsidR="00F65DCB">
        <w:t>”</w:t>
      </w:r>
      <w:r w:rsidRPr="00E72B02">
        <w:t xml:space="preserve">. Este es otro aspecto de la vida en que las personas con discapacidad han sido sistemáticamente excluidas. Por lo tanto la CDPD en este punto trata de garantizar que las personas con discapacidad el reconocimiento y el disfrute de este derecho en sus dos dimensiones, como participantes activos es decir, para convertirse en representantes políticos, así como participantes pasivos, es decir, de </w:t>
      </w:r>
      <w:r w:rsidRPr="00E72B02">
        <w:lastRenderedPageBreak/>
        <w:t>participar plenamente en los procesos electorales. En cuanto a lo primero, el artículo 29 exige a los Estados a tomar medidas para garantizar que las personas con discapacidad puedan participar en las "</w:t>
      </w:r>
      <w:r w:rsidRPr="00F65DCB">
        <w:t>organizaciones no gubernamentales y asociaciones relacionadas con la vida pública y política del país, y en las actividades y la administración de los partidos políticos</w:t>
      </w:r>
      <w:r w:rsidRPr="00E72B02">
        <w:t>", y que puedan unirse y formar "</w:t>
      </w:r>
      <w:r w:rsidRPr="00F65DCB">
        <w:t>organizaciones de personas con discapacidad para representar a las personas con discapacidad a nivel internacional, nacional, regional y local</w:t>
      </w:r>
      <w:r w:rsidRPr="00E72B02">
        <w:t>". En cuanto a lo segundo¸ el artículo 29 establece directrices detalladas sobre la forma de garantizar que las personas con discapacidad puedan ejercer su derecho al voto, incluida la accesibilidad, el acceso a la información y ajustes razonables o asistencia.</w:t>
      </w:r>
    </w:p>
    <w:p w:rsidR="00F2036A" w:rsidRPr="00E72B02" w:rsidRDefault="00F2036A" w:rsidP="004551E9">
      <w:r w:rsidRPr="00E72B02">
        <w:t xml:space="preserve">Existen una multitud de barreras por las cuales las personas con discapacidad no pueden ejercer sus derechos políticos. Algunos ejemplos de estas barreras incluyen: i) Actitudes sobre el valor de la inclusión de las personas con discapacidad en los procesos de toma de decisiones; ii) Falta de información accesible sobre las reuniones y consultas públicas, los partidos políticos y votantes y el registro de votación; iii) Falta de transporte a las reuniones públicas, registro y mesas electorales; iv) Barreras físicas en edificios públicos, incluidos tribunales, centros de registro de votación y mesas electorales; v) Mesas electorales en espacios muy reducidos para permitir el acceso de personas que utilizan sillas de ruedas y cajas de votación ubicadas en mesas altas; vi) Falta de información accesible en procedimientos de votación para votantes con discapacidad sensorial; vii) Formación deficiente del personal fiscalizar de las mesas electorales; viii) Hostilidad hacia y/o exclusión de las personas con discapacidad psicosocial e intelectual en los procesos de toma de decisiones; ix) Falta de dispositivos  alternativos de votación o métodos de votación accesibles para personas con discapacidad sensorial; x) Falta de mecanismos móviles de votación para </w:t>
      </w:r>
      <w:r w:rsidRPr="00E72B02">
        <w:lastRenderedPageBreak/>
        <w:t>personas que no puede trasladarse de sus hogares  que se encuentren residiendo en un hospital o institución.</w:t>
      </w:r>
      <w:r w:rsidRPr="00E72B02">
        <w:rPr>
          <w:rStyle w:val="Refdenotaalpie"/>
          <w:rFonts w:eastAsia="Calibri"/>
          <w:lang w:val="es-ES"/>
        </w:rPr>
        <w:footnoteReference w:id="410"/>
      </w:r>
      <w:r w:rsidRPr="00E72B02">
        <w:t xml:space="preserve"> </w:t>
      </w:r>
    </w:p>
    <w:p w:rsidR="00F2036A" w:rsidRPr="00E72B02" w:rsidRDefault="00F2036A" w:rsidP="004551E9">
      <w:r w:rsidRPr="00E72B02">
        <w:t xml:space="preserve">Las barreas o violaciones a las que las personas con discapacidad se enfrentan generalmente en relación con sus derechos políticos pueden sintetizarse en tres categorías. </w:t>
      </w:r>
    </w:p>
    <w:p w:rsidR="00F2036A" w:rsidRPr="00E72B02" w:rsidRDefault="00F2036A" w:rsidP="004551E9">
      <w:pPr>
        <w:rPr>
          <w:lang w:val="es-ES_tradnl"/>
        </w:rPr>
      </w:pPr>
      <w:r w:rsidRPr="00E72B02">
        <w:t>En primer lugar barreras legales o reglamentarias que excluyen a personas con discapacidad de sus derechos a elegir sus representantes mediante el sufragio, o a postularse y formar parte del gobierno. Este tipo de barreras se encuentran estrechamente relacionadas con el ejercicio de la capacidad jurídica y el reconocimiento de los derechos de ciudadanía.</w:t>
      </w:r>
      <w:r w:rsidRPr="00E72B02">
        <w:rPr>
          <w:rStyle w:val="Refdenotaalpie"/>
          <w:rFonts w:eastAsia="Calibri"/>
          <w:lang w:val="es-ES"/>
        </w:rPr>
        <w:footnoteReference w:id="411"/>
      </w:r>
      <w:r w:rsidRPr="00E72B02">
        <w:t xml:space="preserve"> </w:t>
      </w:r>
      <w:r w:rsidRPr="00E72B02">
        <w:rPr>
          <w:lang w:val="es-ES_tradnl"/>
        </w:rPr>
        <w:t>Debido a la relevancia de esta cuestión con el objeto del presente trabajo, dicho análisis se ha abordado en el Capítulo 5 del presente trabajo.</w:t>
      </w:r>
    </w:p>
    <w:p w:rsidR="00F2036A" w:rsidRPr="00E72B02" w:rsidRDefault="00F2036A" w:rsidP="004551E9">
      <w:r w:rsidRPr="00E72B02">
        <w:t xml:space="preserve">En segundo lugar las barreras comunicacionales, las que incluyen la posibilidad de acceder a la información, y la posibilidad de expresar la opinión mediante formatos alternativos. Esta dimensión conecta directamente el Artículo 29 con el Artículo 21, así como con el Artículo 2 sobre definiciones. Resulta claro que la CDPD exige que los Estados Parte garanticen el acceso a la información sobre los partidos políticos, sus plataformas y propuestas de gobierno, la información parlamentaria, o las papeletas de votación, en formatos alternativos conforme lo estipulados en los Artículos 21 y 2 de la CDPD. </w:t>
      </w:r>
    </w:p>
    <w:p w:rsidR="00F2036A" w:rsidRPr="00E72B02" w:rsidRDefault="00F2036A" w:rsidP="004551E9">
      <w:r w:rsidRPr="00E72B02">
        <w:lastRenderedPageBreak/>
        <w:t xml:space="preserve">En tercer lugar las barreras arquitectónicas o físicas, las que incluyen el acceso a un trasporte público accesible, acceso a lugares de votación, apoyos o asistencia para la votación, o acceso a espacios de debate y trabajo parlamentario o de gestión política (ministerios, o reparticiones públicas). Esta dimensión conecta directamente el Artículo 29 con el Artículo 9 sobre accesibilidad, así como los Artículos 2 sobre ajustes razonables y diseño universal, 20 sobre movilidad personal y 26 sobre habilitación y rehabilitación. </w:t>
      </w:r>
    </w:p>
    <w:p w:rsidR="00F2036A" w:rsidRPr="00E72B02" w:rsidRDefault="00F2036A" w:rsidP="004551E9">
      <w:r w:rsidRPr="00E72B02">
        <w:t xml:space="preserve">Más allá de lo trascendental de la participación en la vida política y pública, la CDDP también incide en lo que respecta a la participación de las personas con discapacidad en la vida cultural, las actividades recreativas, el esparcimiento y el deporte. </w:t>
      </w:r>
    </w:p>
    <w:p w:rsidR="00F2036A" w:rsidRPr="00E72B02" w:rsidRDefault="00F2036A" w:rsidP="004551E9">
      <w:r w:rsidRPr="00E72B02">
        <w:t>El artículo 30 pretende destacar un aspecto generalmente invisible de la vida de las personas con discapacidad, esto es, la participación en la vida social. Consecuentemente, los Estados Partes reconocen el derecho de las personas con discapacidad a participar, en igualdad de condiciones con las demás en la vida cultural, tanto en lo que respecta al acceso a material cultural, programas de televisión, películas, representaciones o servicios culturales tales como teatros, museos, cines, bibliotecas y los servicios de turismo, en formatos accesibles, como también para que las personas con discapacidad tengan la oportunidad de desarrollar y utilizar su potencial creativo, artístico e intelectual, no sólo para su propio beneficio sino también para el enriquecimiento de la sociedad.</w:t>
      </w:r>
    </w:p>
    <w:p w:rsidR="00F2036A" w:rsidRPr="00E72B02" w:rsidRDefault="00F2036A" w:rsidP="004551E9">
      <w:r w:rsidRPr="00E72B02">
        <w:t>Asimismo el artículo 30 contiene disposiciones que permiten que las personas con discapacidad puedan participar en igualdad de condiciones con las demás en actividades recreativas, y deportivas. A tal efecto los Estados Partes tomarán medidas apropiadas para "</w:t>
      </w:r>
      <w:r w:rsidRPr="00F65DCB">
        <w:rPr>
          <w:i/>
        </w:rPr>
        <w:t>estimular y promover la participación, en la mayor medida posible, de las personas con discapacidad en las actividades deportivas generales a todos los niveles</w:t>
      </w:r>
      <w:r w:rsidRPr="00E72B02">
        <w:t xml:space="preserve">", así como "garantizar que las personas con discapacidad tengan la </w:t>
      </w:r>
      <w:r w:rsidRPr="00E72B02">
        <w:lastRenderedPageBreak/>
        <w:t>oportunidad de organizar, desarrollar y participar en determinadas discapacidades actividades deportivas y recreativas.</w:t>
      </w:r>
    </w:p>
    <w:p w:rsidR="00F2036A" w:rsidRPr="00E72B02" w:rsidRDefault="00F2036A" w:rsidP="004551E9">
      <w:r w:rsidRPr="00E72B02">
        <w:t>Por último el artículo 30 hace una declaración muy importante cuando se exige a los Estados "tomar todas las medidas pertinentes, de conformidad con el derecho internacional, para asegurar que las leyes que protegen los derechos de propiedad intelectual no constituyan una barrera excesiva o discriminatoria para el acceso de las personas con discapacidad a los materiales culturales".</w:t>
      </w:r>
    </w:p>
    <w:p w:rsidR="00F2036A" w:rsidRPr="00E72B02" w:rsidRDefault="00F2036A" w:rsidP="004551E9">
      <w:r w:rsidRPr="00E72B02">
        <w:t>Si bien el Artículo 30 abarca diferentes aspectos de las actividades sociales más comunes como la cultura, el esparcimiento, la recreación y el deporte, lo hace desde una doble perspectiva. Por un lado, desde una perspectiva general, es decir, procurando el acceso a todos dichos ámbitos disponibles al público en general en igualdad de condiciones. Pero por otro lado, desde una perspectiva de grupo, es decir procurando el acceso y el fomento de la cultura, el esparcimiento, la recreación y el deporte de y para personas con discapacidad.</w:t>
      </w:r>
      <w:r w:rsidRPr="00E72B02">
        <w:rPr>
          <w:rStyle w:val="Refdenotaalpie"/>
          <w:rFonts w:eastAsia="Calibri"/>
          <w:lang w:val="es-ES"/>
        </w:rPr>
        <w:footnoteReference w:id="412"/>
      </w:r>
      <w:r w:rsidRPr="00E72B02">
        <w:t xml:space="preserve"> </w:t>
      </w:r>
    </w:p>
    <w:p w:rsidR="00F2036A" w:rsidRPr="00E72B02" w:rsidRDefault="00F2036A" w:rsidP="004551E9">
      <w:r w:rsidRPr="00E72B02">
        <w:t xml:space="preserve">Las principales barreras que enfrentan las personas con discapacidad en el ejercicio de este derecho incluyen: i) Las actitudes negativas acerca de la aptitud de las personas con discapacidad para participar efectivamente en la vida cultural, el deporte y las actividades recreativas, tanto como participantes como espectadores; ii) Las barreras físicas a los museos, cines, teatros, centros deportivos, parques, y otros edificios e instalaciones culturales y recreativas; iii) Falta de transporte accesible para lugares culturales y eventos deportivos; iv) Falta de información accesible acerca de eventos culturales y oportunidades deportivas, incluyendo eventos para </w:t>
      </w:r>
      <w:r w:rsidRPr="00E72B02">
        <w:lastRenderedPageBreak/>
        <w:t>personas con discapacidad; v) Falta de ajustes para facilitar la comunicación para las personas con discapacidad; vi) Falta de conocimiento y comprensión de la lengua de señas como una lengua diversa y como identidad  lingüística para muchas personas sordas; vii) Falta de capacitación de aquellos involucrados en la organización de actividades recreativas, turísticas, deportivas o de esparcimiento, así como también de actividades culturales, para comprender las necesidades específicas de las personas con discapacidad y cómo proporcionarles ajustes necesarios; y viii) Falta de conocimiento y experiencia acerca de cómo incluir niños y niñas con discapacidad en el deporte y las actividades recreativas; cómo desarrollar educación física adaptada en las escuelas;  y cómo diseñar parques y juegos accesibles.</w:t>
      </w:r>
      <w:r w:rsidRPr="00E72B02">
        <w:rPr>
          <w:rStyle w:val="Refdenotaalpie"/>
          <w:rFonts w:eastAsia="Calibri"/>
          <w:lang w:val="es-ES"/>
        </w:rPr>
        <w:footnoteReference w:id="413"/>
      </w:r>
    </w:p>
    <w:p w:rsidR="00F2036A" w:rsidRPr="00E72B02" w:rsidRDefault="00F2036A" w:rsidP="004551E9"/>
    <w:p w:rsidR="00F2036A" w:rsidRPr="00E52D11" w:rsidRDefault="00F2036A" w:rsidP="00E52D11">
      <w:pPr>
        <w:pStyle w:val="TITULO9"/>
        <w:jc w:val="both"/>
        <w:rPr>
          <w:b w:val="0"/>
          <w:bCs w:val="0"/>
          <w:sz w:val="24"/>
        </w:rPr>
      </w:pPr>
      <w:r w:rsidRPr="00E52D11">
        <w:rPr>
          <w:b w:val="0"/>
          <w:bCs w:val="0"/>
          <w:sz w:val="24"/>
        </w:rPr>
        <w:t xml:space="preserve">3.7.7 Vida independiente y con dignidad </w:t>
      </w:r>
    </w:p>
    <w:p w:rsidR="00F2036A" w:rsidRPr="00E72B02" w:rsidRDefault="00F2036A" w:rsidP="004551E9"/>
    <w:p w:rsidR="00F2036A" w:rsidRPr="00E72B02" w:rsidRDefault="00F2036A" w:rsidP="004551E9">
      <w:r w:rsidRPr="00E72B02">
        <w:t xml:space="preserve">Aunque la gran mayoría de las obligaciones establecidas en la CDPD no suponen grandes inversiones o asignaciones presupuestarias, sino más bien cambios de leyes, políticas y actitudes sociales, existe una serie disposiciones destinadas a garantizar la vida independiente y con dignidad en la comunidad de las personas con discapacidad, las cuales probablemente requieran de mayores esfuerzos y asignación de recursos para su efectiva implementación. </w:t>
      </w:r>
    </w:p>
    <w:p w:rsidR="00F2036A" w:rsidRPr="00E72B02" w:rsidRDefault="00F2036A" w:rsidP="004551E9">
      <w:r w:rsidRPr="00E72B02">
        <w:t xml:space="preserve">Aquí la CDPD reconoce y requiere que los Estados deben tomar medidas activas y efectivas para lograr la inclusión social de las personas con discapacidad a través de la garantía de una vida independiente y digna en la comunidad. Dicho objetivo se apuntala en la CDPD mediante tres Artículos </w:t>
      </w:r>
      <w:r w:rsidRPr="00E72B02">
        <w:lastRenderedPageBreak/>
        <w:t>claves que abordan la vida independiente en la comunidad (Artículo 19), la habilitación y rehabilitación social (Artículo 26), y la protección social (Artículo 28).</w:t>
      </w:r>
    </w:p>
    <w:p w:rsidR="00F2036A" w:rsidRPr="00E72B02" w:rsidRDefault="00F2036A" w:rsidP="004551E9">
      <w:r w:rsidRPr="00E72B02">
        <w:t xml:space="preserve">El Artículo 19 de la CDPD sobre el derecho a vivir de forma independiente y a ser incluido en la comunidad, ha sido considerado por algunos autores como un derecho específico de las personas con discapacidad, aunque en rigor, su fundamento principal pende del principio fundamental de igualdad y no discriminación por motivo de discapacidad. En otras palabras, ¿porqué las personas con discapacidad tienen derecho a vivir de forma independiente y en la comunidad? Porque dicho derecho es reconocido a todas las demás personas. </w:t>
      </w:r>
    </w:p>
    <w:p w:rsidR="00F2036A" w:rsidRPr="00E72B02" w:rsidRDefault="00F2036A" w:rsidP="004551E9">
      <w:r w:rsidRPr="00E72B02">
        <w:t>El artículo 19 reconoce el derecho en igualdad de condiciones de todas las personas con discapacidad a vivir en la comunidad, con opciones iguales a las de las demás. Esta disposición impone a los Estados Partes una doble obligación. Por un lado, se exige a los Estados eliminar todas las barreras, y que se abstengan de apoyar cualquier medida, dirigida a crear o mantener instituciones residenciales para la protección y el cuidado de las personas con discapacidad. Por otro lado, los Estados Partes deben adoptar medidas pertinentes para facilitar el pleno goce por las personas con discapacidad de este derecho y su plena inclusión y participación en la comunidad, incluido el acceso a una variedad de servicios de asistencia domiciliaria, residencial y otros servicios de apoyo de la comunidad, incluida la asistencia personal que sea necesaria para facilitar su existencia y su inclusión en la comunidad y para evitar su aislamiento o separación de ésta.</w:t>
      </w:r>
      <w:r w:rsidRPr="00E72B02">
        <w:rPr>
          <w:rStyle w:val="Refdenotaalpie"/>
          <w:lang w:val="es-ES"/>
        </w:rPr>
        <w:footnoteReference w:id="414"/>
      </w:r>
    </w:p>
    <w:p w:rsidR="00F2036A" w:rsidRPr="00E72B02" w:rsidRDefault="00F2036A" w:rsidP="004551E9">
      <w:r w:rsidRPr="00E72B02">
        <w:lastRenderedPageBreak/>
        <w:t xml:space="preserve">El derecho a la vida independiente es el derecho de elegir cómo vivir, dónde vivir y con quién vivir, y hasta qué punto interactuar con la comunidad. También significa tener acceso a cualquier tipo de apoyo que se pueda necesitar para realizar esas elecciones y lograr un nivel de vida adecuado. </w:t>
      </w:r>
    </w:p>
    <w:p w:rsidR="00F2036A" w:rsidRPr="00E72B02" w:rsidRDefault="00F2036A" w:rsidP="004551E9">
      <w:r w:rsidRPr="00E72B02">
        <w:t xml:space="preserve">Aunque el objetivo que persigue el Artículo 19 pudiera resultar lógico y legítimo, lo cierto es que intenta derribar una idea profundamente enraizada en las sociedades modernas que aún consideran que el mejor lugar de protección y asistencia de las personas con discapacidad son las instituciones especializadas o las familias. Mientras el modelo de prescindencia abandonaba a las personas con discapacidad a su suerte y la supervivencia en los sectores más pobres de la sociedad, el modelo médico entendió que las personas con discapacidad debían ser recogidas de las calles y atendidas en instituciones públicas. Esta idea sigue aún imperando en las mayorías de las políticas públicas de atención a las personas con discapacidad.   </w:t>
      </w:r>
    </w:p>
    <w:p w:rsidR="00F2036A" w:rsidRPr="00E72B02" w:rsidRDefault="00F2036A" w:rsidP="004551E9">
      <w:r w:rsidRPr="00E72B02">
        <w:t xml:space="preserve">Las personas con discapacidad se ven impedidas de vivir en la comunidad sobre la base de una elección personal, básicamente por dos motivos. En primer lugar porque el sistema jurídico-político les obliga a ingresar a las instituciones y les impide salir de ellas. En segundo lugar, porque no tienen más remedio que ingresar en instituciones o quedar bajo el cuidado de padres u otros familiares debido a la falta de recursos necesarios para una vida independiente. Está claro que el Artículo 19 no aboga simplemente por el cierre de todas las instituciones públicas y privadas de atención a personas con discapacidad, sino que intenta garantizar que las personas tengas los medios mínimos y necesarios para vivir dignamente. Caso contrarios sería volver al modelo medieval donde las personas con discapacidad debía sobrevivir en las calles de las grandes ciudades mendigando o siendo objeto de burlas. </w:t>
      </w:r>
    </w:p>
    <w:p w:rsidR="00F2036A" w:rsidRPr="00E72B02" w:rsidRDefault="00F2036A" w:rsidP="004551E9">
      <w:r w:rsidRPr="00E72B02">
        <w:t xml:space="preserve">Aunque el Artículo 19 refuerza el mandato por la desinstitucionalización subyacente en los Artículos 14 y 12 de la CDPD, sus disposiciones se </w:t>
      </w:r>
      <w:r w:rsidRPr="00E72B02">
        <w:lastRenderedPageBreak/>
        <w:t>centran más bien en el después. Es decir, qué sucede o qué necesita una persona para poder elegir cómo vivir, dónde vivir y con quién vivir.</w:t>
      </w:r>
      <w:r w:rsidRPr="00E72B02">
        <w:rPr>
          <w:rStyle w:val="Refdenotaalpie"/>
        </w:rPr>
        <w:footnoteReference w:id="415"/>
      </w:r>
      <w:r w:rsidRPr="00E72B02">
        <w:t xml:space="preserve"> </w:t>
      </w:r>
    </w:p>
    <w:p w:rsidR="00F2036A" w:rsidRPr="00E72B02" w:rsidRDefault="00F2036A" w:rsidP="004551E9">
      <w:r w:rsidRPr="00E72B02">
        <w:t xml:space="preserve">En primer lugar, la persona con discapacidad necesita que el Estado no le obligue a ingresar y permanecer contra su voluntad en instituciones. </w:t>
      </w:r>
      <w:r w:rsidRPr="00E72B02">
        <w:rPr>
          <w:rFonts w:eastAsia="Calibri"/>
          <w:lang w:val="es-ES"/>
        </w:rPr>
        <w:t xml:space="preserve">Este tipo de barreras se encuentran estrechamente relacionadas con el ejercicio de la capacidad jurídica y la protección de la libertad. </w:t>
      </w:r>
      <w:r w:rsidRPr="00E72B02">
        <w:rPr>
          <w:lang w:val="es-ES_tradnl"/>
        </w:rPr>
        <w:t>Debido a la relevancia de esta cuestión con el objeto del presente trabajo, dicho análisis se ha abordado en el Capítulo 5 del presente trabajo</w:t>
      </w:r>
      <w:r w:rsidRPr="00E72B02">
        <w:t xml:space="preserve">. </w:t>
      </w:r>
    </w:p>
    <w:p w:rsidR="00F2036A" w:rsidRPr="00E72B02" w:rsidRDefault="00F2036A" w:rsidP="004551E9">
      <w:r w:rsidRPr="00E72B02">
        <w:t xml:space="preserve">En segundo lugar, una vez  que existe la posibilidad formal de elegir cómo, dónde y con quién, es necesario que exista la posibilidad material, es decir, que la persona disponga de recursos y apoyos necesarios para una vida independiente y digna en la comunidad. Las posibilidades materiales de optar por una vida independiente se adquieren mediante la realización de todos los derechos amparados por la CDPD, entre los que se destacan, la no discriminación, la accesibilidad universal, la salud, el empleo y la educación. No obstante la CDPD es consciente de que la realización plena de los derechos amparados por el tratado puede demanda mucho tiempo, y por ello, recoge un par de disposiciones que pretender garantizar de forma relativamente ágil, las condiciones mínimas para la vida independiente. Dichas condiciones mínimas apuntan a que la persona pueda adquirir </w:t>
      </w:r>
      <w:r w:rsidRPr="00E72B02">
        <w:lastRenderedPageBreak/>
        <w:t xml:space="preserve">habilidades para la vida independiente, y que la persona pueda contar con recursos de vida mínimos para una vida digna (alojamiento, vestimenta, alimentos).  </w:t>
      </w:r>
    </w:p>
    <w:p w:rsidR="007B3713" w:rsidRPr="00E72B02" w:rsidRDefault="00F2036A" w:rsidP="004551E9">
      <w:r w:rsidRPr="00E72B02">
        <w:t>Desde esta visión u objetivo de garantizar la vida independiente y en la comunidad  de las personas con discapacidad es que debe leerse e interpretarse el Artículo 26 sobre habilitación y rehabilitación</w:t>
      </w:r>
      <w:r w:rsidR="007B3713" w:rsidRPr="00E72B02">
        <w:t>.</w:t>
      </w:r>
    </w:p>
    <w:p w:rsidR="00F2036A" w:rsidRPr="00E72B02" w:rsidRDefault="00F2036A" w:rsidP="004551E9">
      <w:r w:rsidRPr="00E72B02">
        <w:t xml:space="preserve">La existencia de dos artículos independientes sobre habilitación y rehabilitación por un lado, y salud por otro, fue intensamente reclamado por las OPD, tanto por motivos ideológicos como por motivos prácticos. Una cuestión es la rehabilitación de la persona (en un sentido mucho más amplio que su salud), y otra es el acceso en igualdad de oportunidades a las prestaciones de salud. Por ello, desde una perspectiva comprensiva, la CDPD demanda de los Estados Partes la adopción de medidas efectivas y pertinentes para que las personas con discapacidad puedan lograr y mantener la máxima independencia, capacidad física, mental, social y vocacional, y la inclusión y participación plena en todos los aspectos de la vida, organizando, intensificando y ampliando servicios y programas generales de habilitación y rehabilitación, en particular en los ámbitos de la salud, el empleo, la educación y los servicios sociales.  Por otro lado, las obligaciones de los Estados Partes sobre habilitación y rehabilitación deberán comprender también el desarrollo de la formación inicial y continua para los profesionales y el personal que trabajen en dichos servicios, y la disponibilidad, el conocimiento y el uso de tecnologías de apoyo y dispositivos destinados a las personas con discapacidad. </w:t>
      </w:r>
    </w:p>
    <w:p w:rsidR="00F2036A" w:rsidRPr="00E72B02" w:rsidRDefault="00F2036A" w:rsidP="004551E9">
      <w:r w:rsidRPr="00E72B02">
        <w:t xml:space="preserve">La habilitación y rehabilitación son procesos diseñados para proveer herramientas, recursos y estrategias individuales para asistir a las personas con discapacidad a lograr sus metas particulares. Estas metas pueden ser tan </w:t>
      </w:r>
      <w:r w:rsidRPr="00E72B02">
        <w:lastRenderedPageBreak/>
        <w:t>simples como tomar un autobús en la ciudad, o más complejos como convertirse en un famoso científico espacial.</w:t>
      </w:r>
      <w:r w:rsidRPr="00E72B02">
        <w:rPr>
          <w:rStyle w:val="Refdenotaalpie"/>
        </w:rPr>
        <w:footnoteReference w:id="416"/>
      </w:r>
      <w:r w:rsidRPr="00E72B02">
        <w:t xml:space="preserve"> La CDPD destaca que la habilitación y la rehabilitación deberían ser multidisciplinarias y personalizadas para tener en cuenta las necesidades y fortalezas de la persona, así como que los servicios deberían estar a disposición de las personas con discapacidad lo más cerca posible de su propia comunidad. </w:t>
      </w:r>
    </w:p>
    <w:p w:rsidR="00F2036A" w:rsidRPr="00E72B02" w:rsidRDefault="00F2036A" w:rsidP="004551E9">
      <w:r w:rsidRPr="00E72B02">
        <w:t>Ahora bien, más allá de su objetivo (vida independiente y en la comunidad), y de su amplitud (no solo en salud, sino también empleo, educación, servicios sociales, vida cultural), la CDPD también reconoce otra características fundamental sobre el derecho a la habilitación y la rehabilitación, esto es, la necesaria participación de las personas con discapacidad en el diseño, el desarrollo y la implementación de los programas de habilitación y rehabilitación, lo cual se deduce de lo señalado los principios generales de participación, autonomía y toma de decisiones recogidos en el Artículo 3 de la CDPD.</w:t>
      </w:r>
      <w:r w:rsidRPr="00E72B02">
        <w:rPr>
          <w:rStyle w:val="Refdenotaalpie"/>
        </w:rPr>
        <w:footnoteReference w:id="417"/>
      </w:r>
    </w:p>
    <w:p w:rsidR="00F2036A" w:rsidRPr="00E72B02" w:rsidRDefault="00F2036A" w:rsidP="004551E9">
      <w:r w:rsidRPr="00E72B02">
        <w:t xml:space="preserve">Finalmente, más allá del derecho a adquirir habilidades para la vida independiente en la comunidad, la CDPD también recoge una disposición que pretende garantizar que las personas que deseen vivir en la comunidad puedan contar con los recursos mínimos necesarios para hacerlo. </w:t>
      </w:r>
    </w:p>
    <w:p w:rsidR="00F2036A" w:rsidRPr="00E72B02" w:rsidRDefault="00F2036A" w:rsidP="004551E9">
      <w:r w:rsidRPr="00E72B02">
        <w:t>Los informes y estadísticas demuestran la existencia de una relación directa entre discapacidad y pobreza.</w:t>
      </w:r>
      <w:r w:rsidRPr="00E72B02">
        <w:rPr>
          <w:rStyle w:val="Refdenotaalpie"/>
          <w:lang w:val="es-ES"/>
        </w:rPr>
        <w:footnoteReference w:id="418"/>
      </w:r>
      <w:r w:rsidRPr="00E72B02">
        <w:t xml:space="preserve"> Las personas con discapacidad muy </w:t>
      </w:r>
      <w:r w:rsidRPr="00E72B02">
        <w:lastRenderedPageBreak/>
        <w:t>frecuentemente deben vivir en condiciones de extrema pobreza. Por ello, y pese a su carácter progresivo y sobre la base de los recursos existentes,  los Estados Partes reconocen su derecho a un nivel de vida adecuado, lo cual, según el texto, incluye alimentación, vestido y vivienda adecuados y la mejora continua de sus condiciones de vida. En este sentido, se comprometen a adoptar las medidas pertinentes, a fin de salvaguardar y promover el ejercicio de este derecho, sin discriminación por motivo de discapacidad. Asimismo, la CDPD reconoce el derecho de las personas con discapacidad a la protección social y a gozar de ese derecho sin discriminación por motivos de discapacidad, e impone a los Estados Pares el deber de adoptar medidas pertinentes para proteger y promover el ejercicio de ese derecho.</w:t>
      </w:r>
    </w:p>
    <w:p w:rsidR="00F2036A" w:rsidRPr="00E72B02" w:rsidRDefault="00F2036A" w:rsidP="004551E9">
      <w:r w:rsidRPr="00E72B02">
        <w:t>El Artículo 28 recoge una clara perspectiva de no discriminación, es decir, el acceso a los servicios sociales en igualdad de condiciones. Ello supone que las personas con discapacidad no pueden verse aparatadas de acceder a todos los servicios sociales que el Estado despliega para la población general. Ahora bien, las mayoría de los Estados contemplan en mayor, o menor medida, marcos o regímenes de prestaciones sociales dirigidos exclusivamente a las personas con discapacidad, los cuales suelen ser incompatibles con otros tipo de prestaciones o beneficios sociales. Ello podría suponer un conflicto con lo señalado por el Artículo 28.</w:t>
      </w:r>
      <w:r w:rsidRPr="00E72B02">
        <w:rPr>
          <w:rStyle w:val="Refdenotaalpie"/>
          <w:rFonts w:eastAsia="Calibri"/>
          <w:lang w:val="es-ES"/>
        </w:rPr>
        <w:footnoteReference w:id="419"/>
      </w:r>
      <w:r w:rsidRPr="00E72B02">
        <w:t xml:space="preserve"> </w:t>
      </w:r>
    </w:p>
    <w:p w:rsidR="00F2036A" w:rsidRPr="00E72B02" w:rsidRDefault="00F2036A" w:rsidP="004551E9">
      <w:r w:rsidRPr="00E72B02">
        <w:t xml:space="preserve">La clave pasa, una vez más, por tener presente el objetivo del Artículo 28, es decir un nivel de vida adecuado, pero siempre en conexión con el Artículo </w:t>
      </w:r>
      <w:r w:rsidRPr="00E72B02">
        <w:lastRenderedPageBreak/>
        <w:t>19 sobre vida independiente y en la comunidad. El Artículo 28 abarca no sólo los programas o servicios sociales, sino que también otro tipo de medidas Estatales como planes de reducción de la pobreza, planes de vivienda pública, acceso a la alimentación, y regímenes de seguridad social. Por ello, como regla el Estado debería centrar sus esfuerzos de garantizar un nivel de vida adecuado y protección social de las personas con discapacidad, en procurar que todos los programas, planes, o medidas disponibles al público en general sean accesibles para las personas con discapacidad.</w:t>
      </w:r>
      <w:r w:rsidRPr="00E72B02">
        <w:rPr>
          <w:rStyle w:val="Refdenotaalpie"/>
          <w:rFonts w:eastAsia="Calibri"/>
          <w:lang w:val="es-ES"/>
        </w:rPr>
        <w:footnoteReference w:id="420"/>
      </w:r>
      <w:r w:rsidRPr="00E72B02">
        <w:t xml:space="preserve"> </w:t>
      </w:r>
    </w:p>
    <w:p w:rsidR="00F2036A" w:rsidRPr="00E72B02" w:rsidRDefault="00F2036A" w:rsidP="004551E9">
      <w:r w:rsidRPr="00E72B02">
        <w:t xml:space="preserve">Para ello es preciso detectar las principales barreras que enfrentan las personas con discapacidad para acceder a este tipo de prestaciones o beneficios.  Entre las más comunes se podrían citar: i) la privación de la capacidad jurídica no les permite a las personas incapacitadas iniciar los trámites administrativos necesarios para solicitar los beneficios; ii) la institucionalización de personas con discapacidad, incluso cuando no están formalmente incapacitadas, les impide iniciar los trámites administrativos necesarios para solicitar los beneficios; iii) los regímenes de incompatibilidades usuales en los Estados Partes que no permiten a las personas con discapacidad solicitar otros beneficios sociales cuando están cobrando una pensión no contributiva; iv) la falta de acceso a un empleo regular y la consecuente falta de aportes a la seguridad social excluye a las personas con discapacidad de jubilaciones y pensiones y otros beneficios derivados de estar dentro del sistema; v) la falta de acceso a la información en formatos alternativos como Braille, lengua de señas o lenguaje sencillo impide que muchas personas con discapacidad puedan tener conocimiento de sus derechos; vi) la falta de accesibilidad física y arquitectónica impide </w:t>
      </w:r>
      <w:r w:rsidRPr="00E72B02">
        <w:lastRenderedPageBreak/>
        <w:t xml:space="preserve">en muchos casos que las personas no puedan acudir a las reparticiones pública a solicitar los beneficios sociales; vii) la falta de inclusión de la perspectiva de la discapacidad en planes oficiales de vivienda, alimentación, control sanitario e higiene básica, reducción de la pobreza, alfabetización, impiden a las personas con discapacidad acceder a los mismos. </w:t>
      </w:r>
    </w:p>
    <w:p w:rsidR="00F2036A" w:rsidRPr="00E72B02" w:rsidRDefault="00F2036A" w:rsidP="004551E9">
      <w:r w:rsidRPr="00E72B02">
        <w:t xml:space="preserve">Ahora bien, sin perjuicio de que los Estados deben centrarse en hacer accesibles sus sistemas de servicios y protección social, el Artículo 28 también contempla o reconocer que la discapacidad puede generar necesidades especiales. Por ejemplo “acceso a servicios, dispositivos y asistencia de otra índole adecuados a precios asequibles para atender las necesidades relacionadas con su discapacidad”, o  “acceso de las personas con discapacidad, y de sus familias que vivan en situaciones de pobreza, a la asistencia del Estado para sufragar gastos relacionados con su discapacidad, incluidos capacitación, asesoramiento, asistencia financiera y servicios de cuidados temporales adecuados”. Con lo cual, el Artículo 28 requiere que los Estados tengan presente que el acceso igualitario a los servicios y a la protección social, también supone reconocer las necesidades adicionales que se derivan de la propia discapacidad. De este modo, si un Estado alega que no posee ningún plan de vivienda pública para la población en general, igualmente quedaría obligado a garantizar que aquellas personas con discapacidad que quieres salir de las instituciones y no tienen medios para comprar o alquilar una vivienda, dicho costo sea asumido por el propio Estado. </w:t>
      </w:r>
    </w:p>
    <w:p w:rsidR="00F2036A" w:rsidRPr="00E72B02" w:rsidRDefault="00F2036A" w:rsidP="004551E9"/>
    <w:p w:rsidR="00F2036A" w:rsidRPr="00E52D11" w:rsidRDefault="00F2036A" w:rsidP="00E52D11">
      <w:pPr>
        <w:pStyle w:val="TITULO9"/>
        <w:jc w:val="both"/>
        <w:rPr>
          <w:b w:val="0"/>
          <w:bCs w:val="0"/>
          <w:sz w:val="24"/>
        </w:rPr>
      </w:pPr>
      <w:r w:rsidRPr="00E52D11">
        <w:rPr>
          <w:b w:val="0"/>
          <w:bCs w:val="0"/>
          <w:sz w:val="24"/>
        </w:rPr>
        <w:t xml:space="preserve">3.7.8 Derechos sociales básicos </w:t>
      </w:r>
    </w:p>
    <w:p w:rsidR="00F2036A" w:rsidRPr="00E72B02" w:rsidRDefault="00F2036A" w:rsidP="004551E9"/>
    <w:p w:rsidR="00F2036A" w:rsidRPr="00E72B02" w:rsidRDefault="00F2036A" w:rsidP="004551E9">
      <w:r w:rsidRPr="00E72B02">
        <w:t xml:space="preserve">Finalmente la CDPD se aboca a regular aquellos derechos que conforman el núcleo básico de los derechos sociales, es decir, salud, empleo y educación. Se trata de tres derechos fundamentales para todo ser humanos, aunque </w:t>
      </w:r>
      <w:r w:rsidRPr="00E72B02">
        <w:lastRenderedPageBreak/>
        <w:t xml:space="preserve">mucho más para las personas con discapacidad cuyas tasas o niveles de goce están exponencialmente por debajo de la población general.  </w:t>
      </w:r>
    </w:p>
    <w:p w:rsidR="007B3713" w:rsidRPr="00E72B02" w:rsidRDefault="00F2036A" w:rsidP="004551E9">
      <w:r w:rsidRPr="00E72B02">
        <w:t>La cuestión relativa al derecho a la educación de las personas con discapacidad fue objeto de intensos debates a lo largo de todo el proceso de negociación. Fruto de ello, el Artículo 24 que lo aborda es una de las disposiciones más extensas y exhaustivas de toda la CDPD</w:t>
      </w:r>
      <w:r w:rsidR="007B3713" w:rsidRPr="00E72B02">
        <w:t>.</w:t>
      </w:r>
    </w:p>
    <w:p w:rsidR="00F2036A" w:rsidRPr="00E72B02" w:rsidRDefault="00F2036A" w:rsidP="004551E9">
      <w:pPr>
        <w:rPr>
          <w:lang w:val="es-ES"/>
        </w:rPr>
      </w:pPr>
      <w:r w:rsidRPr="00E72B02">
        <w:rPr>
          <w:lang w:val="es-ES_tradnl"/>
        </w:rPr>
        <w:t>En materia educativa la CDPD recoge una ideología con clara tendencia hacia la educación inclusiva, tendencia que en muchas legislaciones nacionales parece adherir.</w:t>
      </w:r>
      <w:r w:rsidRPr="00E72B02">
        <w:rPr>
          <w:rStyle w:val="Refdenotaalpie"/>
          <w:rFonts w:eastAsia="Calibri"/>
          <w:lang w:val="es-ES_tradnl"/>
        </w:rPr>
        <w:footnoteReference w:id="421"/>
      </w:r>
      <w:r w:rsidRPr="00E72B02">
        <w:rPr>
          <w:lang w:val="es-ES_tradnl"/>
        </w:rPr>
        <w:t xml:space="preserve"> No obstante, </w:t>
      </w:r>
      <w:smartTag w:uri="urn:schemas-microsoft-com:office:smarttags" w:element="PersonName">
        <w:smartTagPr>
          <w:attr w:name="ProductID" w:val="La CDPD"/>
        </w:smartTagPr>
        <w:r w:rsidRPr="00E72B02">
          <w:rPr>
            <w:lang w:val="es-ES_tradnl"/>
          </w:rPr>
          <w:t>la CDPD</w:t>
        </w:r>
      </w:smartTag>
      <w:r w:rsidRPr="00E72B02">
        <w:rPr>
          <w:lang w:val="es-ES_tradnl"/>
        </w:rPr>
        <w:t xml:space="preserve"> recoge importantes, y en ocasiones precisas, exigencias a los Estados partes que requieren de un análisis detallado de legislación educativa. En especial, cobran importancia tres cuestiones básicas: la primera es la exigencia de que las personas con discapacidad tengan acceso al sistema de educación general sin discriminación por motivo de su discapacidad y de un modo gratuito; la segunda cuestión, e íntimamente relacionado con lo anterior, es que la inclusión por si no basta, sino que se exige que las personas con discapacidad tengan acceso a aquellos ajustes razonables en función de las necesidades especiales y se les facilite el apoyo necesario y personalizados en su desarrollo académico y social; la tercera cuestión, es que </w:t>
      </w:r>
      <w:smartTag w:uri="urn:schemas-microsoft-com:office:smarttags" w:element="PersonName">
        <w:smartTagPr>
          <w:attr w:name="ProductID" w:val="La CDPD"/>
        </w:smartTagPr>
        <w:r w:rsidRPr="00E72B02">
          <w:rPr>
            <w:lang w:val="es-ES_tradnl"/>
          </w:rPr>
          <w:t>la CDPD</w:t>
        </w:r>
      </w:smartTag>
      <w:r w:rsidRPr="00E72B02">
        <w:rPr>
          <w:lang w:val="es-ES_tradnl"/>
        </w:rPr>
        <w:t xml:space="preserve"> requiere que la normativa educativa nacional garantice, no solamente el acceso a los contenidos educativos generales, sino que también se permite el desarrollo de habilidades para la vida y desarrollo social tales como el aprendizaje de la lengua de signos, Braille, etc. Por último es importante destacar que </w:t>
      </w:r>
      <w:smartTag w:uri="urn:schemas-microsoft-com:office:smarttags" w:element="PersonName">
        <w:smartTagPr>
          <w:attr w:name="ProductID" w:val="La CDPD"/>
        </w:smartTagPr>
        <w:r w:rsidRPr="00E72B02">
          <w:rPr>
            <w:lang w:val="es-ES_tradnl"/>
          </w:rPr>
          <w:t>la CDPD</w:t>
        </w:r>
      </w:smartTag>
      <w:r w:rsidRPr="00E72B02">
        <w:rPr>
          <w:lang w:val="es-ES_tradnl"/>
        </w:rPr>
        <w:t xml:space="preserve"> también garantiza el acceso de las personas con discapacidad a la educación superior en igualdad de condiciones y con el derecho a los ajustes razonables necesarios</w:t>
      </w:r>
    </w:p>
    <w:p w:rsidR="00F2036A" w:rsidRPr="00E72B02" w:rsidRDefault="00F2036A" w:rsidP="004551E9">
      <w:r w:rsidRPr="00E72B02">
        <w:lastRenderedPageBreak/>
        <w:t>El Informe Mundial sobre Discapacidad</w:t>
      </w:r>
      <w:r w:rsidRPr="00E72B02">
        <w:rPr>
          <w:b/>
        </w:rPr>
        <w:t xml:space="preserve"> </w:t>
      </w:r>
      <w:r w:rsidRPr="00E72B02">
        <w:t>indica que se ha producido cierto progreso en las últimas décadas pero, principalmente, se ha visto que “la probabilidad de que los niños y jóvenes con discapacidad ingresen o asistan a la escuela es menor que en el caso de otros niños. También tienen tasas más bajas de transición a niveles de educación más elevados”.</w:t>
      </w:r>
      <w:r w:rsidRPr="00E72B02">
        <w:rPr>
          <w:rStyle w:val="Refdenotaalpie"/>
        </w:rPr>
        <w:footnoteReference w:id="422"/>
      </w:r>
      <w:r w:rsidRPr="00E72B02">
        <w:t xml:space="preserve"> Las personas con discapacidad enfrentan muchas barreras, tanto en el sistema educativo como en las escuelas, para acceder plenamente y en condiciones de igualdad al derecho a la educación. De conformidad con la CDPD, los Estados Partes ahora están jurídicamente obligados a brindar a las personas con discapacidad la oportunidad y el apoyo que necesitan, sin discriminación, para que accedan a una educación de calidad y durante toda la vida en un marco educativo inclusivo.</w:t>
      </w:r>
      <w:r w:rsidRPr="00E72B02">
        <w:rPr>
          <w:rStyle w:val="Refdenotaalpie"/>
        </w:rPr>
        <w:footnoteReference w:id="423"/>
      </w:r>
    </w:p>
    <w:p w:rsidR="00F2036A" w:rsidRPr="00E72B02" w:rsidRDefault="00F2036A" w:rsidP="004551E9">
      <w:r w:rsidRPr="00E72B02">
        <w:t>El Artículo 24 supone un avance trascendental en materia de derechos humanos, ya que por primera vez un instrumento de carácter vinculante reconoce el “derecho a la educación inclusiva”.</w:t>
      </w:r>
      <w:r w:rsidRPr="00E72B02">
        <w:rPr>
          <w:rStyle w:val="Refdenotaalpie"/>
        </w:rPr>
        <w:footnoteReference w:id="424"/>
      </w:r>
      <w:r w:rsidRPr="00E72B02">
        <w:t xml:space="preserve"> El Artículo 23 de la CDN reconoce el derecho de los niños y niñas a un acceso efectivo a la educación, pero no llega a reconocer la educación como derecho. </w:t>
      </w:r>
    </w:p>
    <w:p w:rsidR="00F2036A" w:rsidRPr="00E72B02" w:rsidRDefault="00F2036A" w:rsidP="004551E9">
      <w:r w:rsidRPr="00E72B02">
        <w:lastRenderedPageBreak/>
        <w:t xml:space="preserve">Ahora bien, más allá del reconocimiento formar del derecho a la “educación inclusiva”, la CDPD incluye una serie de disposiciones que tiene por objeto asegurar que la educación sea efectiva y sin discriminación: </w:t>
      </w:r>
    </w:p>
    <w:p w:rsidR="00F2036A" w:rsidRPr="00E72B02" w:rsidRDefault="00F2036A" w:rsidP="004551E9">
      <w:r w:rsidRPr="00E72B02">
        <w:rPr>
          <w:i/>
        </w:rPr>
        <w:t>Noción amplia de educación</w:t>
      </w:r>
      <w:r w:rsidRPr="00E72B02">
        <w:t xml:space="preserve">: El Artículo 24 contempla una noción amplia de educación, que no solo cubre la educación inicial, primaria, secundario y terciaria, sin que también la educación a lo largo de toda la vida, como la educación vocacional, o la educación de postgrado.  </w:t>
      </w:r>
    </w:p>
    <w:p w:rsidR="00F2036A" w:rsidRPr="00E72B02" w:rsidRDefault="00F2036A" w:rsidP="004551E9">
      <w:r w:rsidRPr="00E72B02">
        <w:rPr>
          <w:i/>
        </w:rPr>
        <w:t>Aprendizaje de habilidades para la vida y el desarrollo social:</w:t>
      </w:r>
      <w:r w:rsidRPr="00E72B02">
        <w:t xml:space="preserve"> Sin perjuicio de la inclusión de las personas con discapacidad en los programas y planes educaciones generales, la CDPD exige que las escuelas también permitan el desarrollo de habilidades especiales como aprendizaje del Braille, la escritura alternativa, la lengua de señas, o la identidad lingüística. </w:t>
      </w:r>
    </w:p>
    <w:p w:rsidR="00F2036A" w:rsidRPr="00E72B02" w:rsidRDefault="00F2036A" w:rsidP="004551E9">
      <w:r w:rsidRPr="00E72B02">
        <w:rPr>
          <w:i/>
        </w:rPr>
        <w:t>Garantía de no-discriminación, ajustes razonables y apoyos</w:t>
      </w:r>
      <w:r w:rsidRPr="00E72B02">
        <w:t>: El Artículo 24 reitera expresamente el derecho de las personas con discapacidad de no ser excluidas del sistema educativo por motivo de discapacidad, así como el derecho de contar con ajustes razonables y apoyo personalizado.</w:t>
      </w:r>
      <w:r w:rsidRPr="00E72B02">
        <w:rPr>
          <w:rStyle w:val="Refdenotaalpie"/>
        </w:rPr>
        <w:footnoteReference w:id="425"/>
      </w:r>
      <w:r w:rsidRPr="00E72B02">
        <w:t xml:space="preserve"> </w:t>
      </w:r>
    </w:p>
    <w:p w:rsidR="00F2036A" w:rsidRPr="00E72B02" w:rsidRDefault="00F2036A" w:rsidP="004551E9">
      <w:r w:rsidRPr="00E72B02">
        <w:rPr>
          <w:i/>
        </w:rPr>
        <w:t>Capacitación y formación de maestros</w:t>
      </w:r>
      <w:r w:rsidRPr="00E72B02">
        <w:t xml:space="preserve">: El Artículo 24 reconoce que los Estados deben garantizar que los maestros estén cualificados sobre medios alternativos de comunicación, y tengan conciencia y sensibilidad sobre las temáticas de la discapacidad. </w:t>
      </w:r>
    </w:p>
    <w:p w:rsidR="00F2036A" w:rsidRPr="00E72B02" w:rsidRDefault="00F2036A" w:rsidP="004551E9">
      <w:pPr>
        <w:rPr>
          <w:lang w:val="es-ES"/>
        </w:rPr>
      </w:pPr>
      <w:r w:rsidRPr="00E72B02">
        <w:t xml:space="preserve">Por su parte el Artículo 25 aborda el derecho a la salud de las personas con discapacidad. Los trabajos preparatorios muestran que se generó un intenso </w:t>
      </w:r>
      <w:r w:rsidRPr="00E72B02">
        <w:rPr>
          <w:lang w:val="es-ES"/>
        </w:rPr>
        <w:t xml:space="preserve">debate durante al proceso de elaboración de la CDPD debido a que existía un gran temor por parte de las OPD y algunas Delegaciones de que se </w:t>
      </w:r>
      <w:r w:rsidRPr="00E72B02">
        <w:rPr>
          <w:lang w:val="es-ES"/>
        </w:rPr>
        <w:lastRenderedPageBreak/>
        <w:t xml:space="preserve">abordara este tema desde un enfoque equívoco, producto de antiguas asunciones desde el modelo médico.  </w:t>
      </w:r>
    </w:p>
    <w:p w:rsidR="00F2036A" w:rsidRPr="00E72B02" w:rsidRDefault="00F2036A" w:rsidP="004551E9">
      <w:r w:rsidRPr="00E72B02">
        <w:t>La CDPD se negoció en un claro sentimiento de rechazo al modelo médico de la discapacidad y, por ello, los aspectos sanitarios recogidos en el articulado deben interpretarse del mismo modo, o con la misma relevancia, que la salud tiene para las personas sin discapacidad. La clave pasa por acreditar que la legislación vigente no discrimine a las personas con discapacidad por motivo de su discapacidad en el acceso a los servicios de salud. Ello ocurrirá por ejemplo si las personas con discapacidad son exigidas de correr con gastos extraordinarios derivados del tratamiento de su deficiencia, o si no se les provee de tratamientos especializados y acordes a sus necesidades especiales, o si no se les informa o no se les otorga el mismo nivel de información o derecho de decisión que las demás personas en igualdad de condiciones, o no se les permite el acceso a la salud sexual o reproductiva en igualdad de condiciones, o no se le proporciona el acceso a formato de comunicación alternativos en la provisión de servicios sanitarios etc.</w:t>
      </w:r>
    </w:p>
    <w:p w:rsidR="00F2036A" w:rsidRPr="00E72B02" w:rsidRDefault="00F2036A" w:rsidP="004551E9">
      <w:r w:rsidRPr="00E72B02">
        <w:t xml:space="preserve">El Artículo 25 es importante tanto por lo que dice, como por lo que no dice. En este último sentido la CDPD destierra del contenido sustantivo del derecho humano a la salud de las personas con discapacidad, toda referencia o pauta que pudiera dar a entender que el acceso adecuado a la salud y a la rehabilitación es la pre-condición o la puerta de acceso al goce y ejercicio del resto de los derechos humanos. Y esto por una razón muy sencilla, para la CDPD la discapacidad no producto o consecuencia de la mala salud. Incluso para la CDPD, la deficiencia no es tampoco producto o consecuencia de la mala salud, sino más bien fruto de la diversidad humana. Con lo cual, el objetivo del Artículo 25 no es corregir o sanar las discapacidades o las deficiencias, sino simplemente garantizar la igualdad de oportunidades de las personas con discapacidad en goce y ejercicio del derecho humanos a la salud. </w:t>
      </w:r>
    </w:p>
    <w:p w:rsidR="00F2036A" w:rsidRPr="00E72B02" w:rsidRDefault="00F2036A" w:rsidP="004551E9">
      <w:r w:rsidRPr="00E72B02">
        <w:lastRenderedPageBreak/>
        <w:t xml:space="preserve">Si bien el Artículo 25 se estructura sobre la base del principio general de igualdad y no discriminación, sus derivaciones son múltiples: </w:t>
      </w:r>
    </w:p>
    <w:p w:rsidR="00F2036A" w:rsidRPr="00E72B02" w:rsidRDefault="00F2036A" w:rsidP="004551E9">
      <w:r w:rsidRPr="00E72B02">
        <w:rPr>
          <w:i/>
        </w:rPr>
        <w:t>Acceso igualitario a los servicios de salud general</w:t>
      </w:r>
      <w:r w:rsidRPr="00E72B02">
        <w:t>: Las personas con discapacidad, al igual que el resto de las personas, pueden necesitar atención médica frente a enfermedades que afectan a toda la población. Asimismo pueden necesitar servicios médicos para el parto, o para el tratamiento de enfermedades crónicas. La CDPD, exige que los Estados no discriminen a las personas con discapacidad al brindar esto servicios lo que abarca todos los elementos esenciales de los servicios de salud, tales como: i) disponibilidad; ii) Accesibilidad (no-discriminación, accesibilidad física, accesibilidad económica, y accesibilidad de la información); iii) Aceptabilidad; y iv) Calidad.</w:t>
      </w:r>
      <w:r w:rsidRPr="00E72B02">
        <w:rPr>
          <w:rStyle w:val="Refdenotaalpie"/>
          <w:lang w:val="es-ES"/>
        </w:rPr>
        <w:footnoteReference w:id="426"/>
      </w:r>
      <w:r w:rsidRPr="00E72B02">
        <w:t xml:space="preserve">  </w:t>
      </w:r>
    </w:p>
    <w:p w:rsidR="00F2036A" w:rsidRPr="00E72B02" w:rsidRDefault="00F2036A" w:rsidP="004551E9">
      <w:r w:rsidRPr="00E72B02">
        <w:rPr>
          <w:i/>
        </w:rPr>
        <w:t>Acceso específico a tratamientos médicos derivados de la propia discapacidad</w:t>
      </w:r>
      <w:r w:rsidRPr="00E72B02">
        <w:t>: La CDPD también reconoce que la discapacidad puede generar mayores necesidades de atención sanitaria, y por ello obliga a los Estados a no exigir a las personas con discapacidad los sobre-costes o gastos extras o excesivos que se pudieran generar como consecuencia de la discapacidad. Esto no supone reconocer que la discapacidad o la deficiencia son causadas por la mala salud. Las mujeres por lo general, por su condición de género, suelen necesitar mayor atención y servicios ginecológicos y reproductivos que los hombres, pero ello no habilita a los seguros de salud cobrar más a las mujeres que los hombres. Lo mismo resulta aplicable a las personas con discapacidad.</w:t>
      </w:r>
      <w:r w:rsidRPr="00E72B02">
        <w:rPr>
          <w:rStyle w:val="Refdenotaalpie"/>
          <w:lang w:val="es-ES"/>
        </w:rPr>
        <w:footnoteReference w:id="427"/>
      </w:r>
      <w:r w:rsidRPr="00E72B02">
        <w:t xml:space="preserve"> </w:t>
      </w:r>
    </w:p>
    <w:p w:rsidR="00F2036A" w:rsidRPr="00E72B02" w:rsidRDefault="00F2036A" w:rsidP="004551E9">
      <w:r w:rsidRPr="00E72B02">
        <w:rPr>
          <w:i/>
        </w:rPr>
        <w:lastRenderedPageBreak/>
        <w:t>Salud sexual y reproductiva:</w:t>
      </w:r>
      <w:r w:rsidRPr="00E72B02">
        <w:t xml:space="preserve"> El Artículo 25 reconoce de forma explícita el derecho de las personas con discapacidad de poder acceder a los programas y servicios de salud sexual y reproductiva. Esta afirmación encuentra su fundamento en la creencia generalizada de que las personas con discapacidad son personas asexuadas y/o que no pueden aspirar a tener hijos. El Artículo 25 en conjunto con el Artículo 23 dejan bien claro el derecho de las personas con discapacidad a disfrutar de una sexualidad plena y segura, y de decidir cuándo y cuántos hijos tener. </w:t>
      </w:r>
    </w:p>
    <w:p w:rsidR="00F2036A" w:rsidRPr="00E72B02" w:rsidRDefault="00F2036A" w:rsidP="004551E9">
      <w:r w:rsidRPr="00E72B02">
        <w:rPr>
          <w:i/>
        </w:rPr>
        <w:t>Garantía de consentimiento libre e informado</w:t>
      </w:r>
      <w:r w:rsidRPr="00E72B02">
        <w:t>: El artículo 25 establece de forma expresa que la atención sanitaria debe basarse en un consentimiento libre e informado, para lo cual, es necesarios que los profesionales de la salud estén sensibilizados respecto de los derechos humanos, la dignidad, la autonomía y las necesidades de las personas con discapacidad. Esta referencia a su vez cobra mayor trascendencia al contextualizarla con los Artículos 3, 12, 15 y 17 de la CDPD.</w:t>
      </w:r>
      <w:r w:rsidRPr="00E72B02">
        <w:rPr>
          <w:rStyle w:val="Refdenotaalpie"/>
          <w:lang w:val="es-ES"/>
        </w:rPr>
        <w:footnoteReference w:id="428"/>
      </w:r>
    </w:p>
    <w:p w:rsidR="00F2036A" w:rsidRPr="00E72B02" w:rsidRDefault="00F2036A" w:rsidP="004551E9">
      <w:r w:rsidRPr="00E72B02">
        <w:rPr>
          <w:i/>
        </w:rPr>
        <w:t>Sistema de salud general</w:t>
      </w:r>
      <w:r w:rsidRPr="00E72B02">
        <w:t xml:space="preserve">: Finalmente el Artículo 25 recoge otra derivación fundamental del principio general de igualdad y no-discriminación. La prestación de los servicios de salud respecto de personas con discapacidad </w:t>
      </w:r>
      <w:r w:rsidRPr="00E72B02">
        <w:lastRenderedPageBreak/>
        <w:t>debe realizarse en el marco del sistema general de salud, es decir, en hospitales o centros de salud comunitarios y abiertos al público general.</w:t>
      </w:r>
      <w:r w:rsidRPr="00E72B02">
        <w:rPr>
          <w:rStyle w:val="Refdenotaalpie"/>
          <w:lang w:val="es-ES"/>
        </w:rPr>
        <w:footnoteReference w:id="429"/>
      </w:r>
      <w:r w:rsidRPr="00E72B02">
        <w:t xml:space="preserve"> </w:t>
      </w:r>
    </w:p>
    <w:p w:rsidR="009557FF" w:rsidRPr="00E72B02" w:rsidRDefault="00F2036A" w:rsidP="004551E9">
      <w:r w:rsidRPr="00E72B02">
        <w:t>Por último, el Artículo 27 de la CDPD aborda el derecho al trabajo de las personas con discapacidad</w:t>
      </w:r>
      <w:r w:rsidR="009557FF" w:rsidRPr="00E72B02">
        <w:t>.</w:t>
      </w:r>
    </w:p>
    <w:p w:rsidR="00F2036A" w:rsidRPr="00E72B02" w:rsidRDefault="00F2036A" w:rsidP="004551E9">
      <w:r w:rsidRPr="00E72B02">
        <w:t xml:space="preserve">La CDPD parte del reconocimiento del derecho de las personas con discapacidad a trabajar, en igualdad de condiciones con las demás, lo que incluye el derecho a tener la oportunidad de ganarse la vida mediante un trabajo libremente elegido o aceptado en un mercado y un entorno laboral abierto, inclusivo y accesible. </w:t>
      </w:r>
    </w:p>
    <w:p w:rsidR="00F2036A" w:rsidRPr="00E72B02" w:rsidRDefault="00F2036A" w:rsidP="004551E9">
      <w:pPr>
        <w:rPr>
          <w:lang w:val="es-ES"/>
        </w:rPr>
      </w:pPr>
      <w:r w:rsidRPr="00E72B02">
        <w:t xml:space="preserve">Para asegurar el ejercicio del derecho al trabajo, se requiere de los Estados Partes la adopción de medidas pertinentes, incluida la promulgación de legislación para prohibir la discriminación por motivos de discapacidad con respecto a todas las cuestiones relativas a cualquier forma de empleo, proteger los derechos de las personas con discapacidad, en igualdad de condiciones con las demás, a condiciones de trabajo justas y favorables; y en particular la igualdad de oportunidades y de remuneración por trabajo de igual valor.  Asimismo, se establece el compromiso para los Estados Parte de emplear a personas con discapacidad en el sector público, promover el empleo de personas con discapacidad en el sector privado, y velar por que se realicen ajustes razonables para las personas con discapacidad en el lugar de trabajo, entre otras medidas.  Finalmente, y más bien en el marco de las garantías de protección, la CDPD impone a los Estados Partes el deber de asegurar que las personas con discapacidad no sean sometidas a esclavitud </w:t>
      </w:r>
      <w:r w:rsidRPr="00E72B02">
        <w:lastRenderedPageBreak/>
        <w:t>ni servidumbre y que estén protegidas, en igualdad de condiciones con las demás, contra el trabajo forzoso u obligatorio.</w:t>
      </w:r>
      <w:r w:rsidRPr="00E72B02">
        <w:rPr>
          <w:lang w:val="es-ES"/>
        </w:rPr>
        <w:t xml:space="preserve"> </w:t>
      </w:r>
    </w:p>
    <w:p w:rsidR="00F2036A" w:rsidRPr="00E72B02" w:rsidRDefault="00F2036A" w:rsidP="004551E9">
      <w:r w:rsidRPr="00E72B02">
        <w:t xml:space="preserve">   El ámbito del trabajo es quizás uno de los ámbitos de la discapacidad donde las barreras </w:t>
      </w:r>
      <w:r w:rsidR="009E4349">
        <w:t>actitudina</w:t>
      </w:r>
      <w:r w:rsidR="009E4349" w:rsidRPr="00E72B02">
        <w:t>l</w:t>
      </w:r>
      <w:r w:rsidR="009E4349">
        <w:t>e</w:t>
      </w:r>
      <w:r w:rsidR="009E4349" w:rsidRPr="00E72B02">
        <w:t>s</w:t>
      </w:r>
      <w:r w:rsidRPr="00E72B02">
        <w:t xml:space="preserve"> (estereotipos y prejuicios) se encuentran más enraizadas. Más allá de cualquier tipo de iniciativa legal o política, la toma de conciencia resulta crucial ante medidas dirigidas tanto a conseguir como a mantener el empleo de personas con discapacidad.</w:t>
      </w:r>
      <w:r w:rsidRPr="00E72B02">
        <w:rPr>
          <w:rStyle w:val="Refdenotaalpie"/>
        </w:rPr>
        <w:footnoteReference w:id="430"/>
      </w:r>
      <w:r w:rsidRPr="00E72B02">
        <w:t xml:space="preserve"> Adicionalmente, los niveles altísimos de desempleo entre las personas con discapacidad, son en realidad el corolario de una serie de barreras que dichas personas enfrentan desde la infancia, entre las que se podría destacar, las barreras de acceso a una educación de calidad. Por ello, el incumplimiento en la realización del derecho al trabajo por parte de las personas con discapacidad, a pesar de los esfuerzos evidentes de los Estados y ONGs, generalmente se deben al error de no reconocer que las posibilidades de determinan con las posibilidades educativas de las personas con discapacidad desde la infancia. </w:t>
      </w:r>
    </w:p>
    <w:p w:rsidR="00F2036A" w:rsidRPr="00E72B02" w:rsidRDefault="00F2036A" w:rsidP="004551E9">
      <w:r w:rsidRPr="00E72B02">
        <w:t xml:space="preserve">La CDPD parece reconocer esta realidad, y sin perjuicio de afirmar como principio general el derecho de las personas con discapacidad de acceder a un trabajo digno en el marco de un mercado laboral abierto (como contrapartida del empleo especial o protegido), establece una serie de medidas que tienen como objetivo principal, asegurar que los esfuerzos de los Estados Partes en materia de empleo, no se limiten a promover e incentivar la contratación de personas con discapacidad. Estas medidas incluyen; i) Prohibir la discriminación por motivos de discapacidad con </w:t>
      </w:r>
      <w:r w:rsidRPr="00E72B02">
        <w:lastRenderedPageBreak/>
        <w:t>respecto a todas las áreas y formas de empleo; ii) Proteger el derecho a condiciones equitativas y satisfactorias de trabajo, incluidas la igual remuneración por igual trabajo, condiciones de trabajo seguras y saludables, protección contra el acoso y la resolución frente reclamos; iii) Asegurar que las personas con discapacidad puedan ejercer sus derechos laborales y sindicales, en igualdad de condiciones con los demás; iv) Permitir el acceso a programas generales de orientación profesional y técnica y de colocación y otros servicios de capacitación; v) Alentar las oportunidades de empleo y la promoción profesional de las personas con discapacidad, y apoyarlas para la búsqueda, obtención, mantenimiento del empleo y retorno al mismo; vi) Promover oportunidades empresariales, de empleo por cuenta propia, de constitución de cooperativas y de inicio de empresas propias; vii) Emplear a personas con discapacidad en el sector público; viii) Promover el empleo en el sector privado mediante acciones afirmativas, incentivos y otras políticas y medidas apropiadas; ix) Garantizar la realización de ajustes en el lugar de trabajo; x) Promover la adquisición por las personas con discapacidad de experiencia laboral en el mercado de trabajo abierto, y xi) Promover programas de rehabilitación vocacional y profesional, mantenimiento del empleo y reincorporación al trabajo.</w:t>
      </w:r>
      <w:r w:rsidRPr="00E72B02">
        <w:rPr>
          <w:rStyle w:val="Refdenotaalpie"/>
        </w:rPr>
        <w:footnoteReference w:id="431"/>
      </w:r>
    </w:p>
    <w:p w:rsidR="00F2036A" w:rsidRPr="00E72B02" w:rsidRDefault="00F2036A" w:rsidP="004551E9">
      <w:r w:rsidRPr="00E72B02">
        <w:t>Finalmente el inciso 2 del Artículo 27 recoge una disposición de suma importancia para las personas con discapacidad, esto es, la obligación de los Estados Partes de garantizar que las personas con discapacidad no sean sometidas a esclavitud o servidumbre, y estén protegidas en igualdad de condiciones con los demás contra el trabajo forzado u obligatorio.</w:t>
      </w:r>
    </w:p>
    <w:p w:rsidR="00F2036A" w:rsidRPr="00E72B02" w:rsidRDefault="00F2036A" w:rsidP="004551E9"/>
    <w:p w:rsidR="00F2036A" w:rsidRPr="00E52D11" w:rsidRDefault="00F2036A" w:rsidP="00B14FA4">
      <w:pPr>
        <w:pStyle w:val="TTULO90"/>
        <w:rPr>
          <w:b/>
        </w:rPr>
      </w:pPr>
      <w:r w:rsidRPr="00E52D11">
        <w:rPr>
          <w:b/>
        </w:rPr>
        <w:lastRenderedPageBreak/>
        <w:t>3.8 Las clausulas de garantía de aplicación y seguimiento de la CDPD</w:t>
      </w:r>
    </w:p>
    <w:p w:rsidR="00F2036A" w:rsidRPr="00E72B02" w:rsidRDefault="00F2036A" w:rsidP="004551E9"/>
    <w:p w:rsidR="00F2036A" w:rsidRPr="00E72B02" w:rsidRDefault="00F2036A" w:rsidP="004551E9">
      <w:r w:rsidRPr="00E72B02">
        <w:t>Conjuntamente con la enunciación del contenido mínimo de los derechos de las personas con discapacidad, la CDPD recoge una serie de disposiciones que tienen como principal objetivo, no ya reconocer derechos, sino garantizar que la CDPD se aplique a nivel nacional. Este conjunto de normas forman lo que se podría denominar como el “triángulo de garantía” de la CDPD, ya que se basa en los siguientes tres pilares: Recopilación de datos y estadísticas (artículo 31); Cooperación internacional (artículo 32); y Aplicación y seguimiento nacionales (artículo 33).</w:t>
      </w:r>
      <w:r w:rsidRPr="00E72B02">
        <w:rPr>
          <w:rStyle w:val="Refdenotaalpie"/>
          <w:lang w:val="es-ES"/>
        </w:rPr>
        <w:footnoteReference w:id="432"/>
      </w:r>
      <w:r w:rsidRPr="00E72B02">
        <w:t xml:space="preserve"> </w:t>
      </w:r>
    </w:p>
    <w:p w:rsidR="00F2036A" w:rsidRPr="00E72B02" w:rsidRDefault="00F2036A" w:rsidP="004551E9">
      <w:r w:rsidRPr="00E72B02">
        <w:t xml:space="preserve">A lo anterior habría que añadir el procedimiento habitual de seguimiento internacional de recogen los tratados de derechos humanos, esto es, el establecimiento de un Órgano Convencional de Seguimiento Internacional específico cuya conformación, funciones y procedimiento de trabajo se encuentra regulado por los artículos 34 a 39 de la CDPD y en el Protocolo Facultativo a la CDPD. </w:t>
      </w:r>
    </w:p>
    <w:p w:rsidR="00F2036A" w:rsidRPr="00E72B02" w:rsidRDefault="00F2036A" w:rsidP="004551E9"/>
    <w:p w:rsidR="00F2036A" w:rsidRPr="00E52D11" w:rsidRDefault="00F2036A" w:rsidP="00E52D11">
      <w:pPr>
        <w:pStyle w:val="TITULO9"/>
        <w:jc w:val="both"/>
        <w:rPr>
          <w:b w:val="0"/>
          <w:bCs w:val="0"/>
          <w:sz w:val="24"/>
        </w:rPr>
      </w:pPr>
      <w:r w:rsidRPr="00E52D11">
        <w:rPr>
          <w:b w:val="0"/>
          <w:bCs w:val="0"/>
          <w:sz w:val="24"/>
        </w:rPr>
        <w:t>3.8.1 Recopilación de datos y estadísticas sobre discapacidad</w:t>
      </w:r>
    </w:p>
    <w:p w:rsidR="00F2036A" w:rsidRPr="00E72B02" w:rsidRDefault="00F2036A" w:rsidP="004551E9">
      <w:pPr>
        <w:pStyle w:val="Pie"/>
      </w:pPr>
    </w:p>
    <w:p w:rsidR="00F2036A" w:rsidRPr="00E72B02" w:rsidRDefault="00F2036A" w:rsidP="004551E9">
      <w:r w:rsidRPr="00E72B02">
        <w:t xml:space="preserve">Desde una perspectiva formal las negociaciones en torno a la cuestión relativa a la “recopilación de datos y estadísticas” versaron principalmente sobre dos cuestiones. En primer lugar, sobre si el texto de la CDPD </w:t>
      </w:r>
      <w:r w:rsidRPr="00E72B02">
        <w:lastRenderedPageBreak/>
        <w:t>justificaba una disposición específica sobre esta cuestión, o si por lo contrario, bastaba con una simple referencia en el artículo sobre aplicación y seguimiento. En segundo lugar, y de considerar necesaria una disposición independiente, sobre si dicha disposición debía estar en el cuerpo principal del texto donde se abordan los derechos, o si por el contrario debía destinarse a la sección sobre disposiciones finales.</w:t>
      </w:r>
      <w:r w:rsidRPr="00E72B02">
        <w:rPr>
          <w:rStyle w:val="Refdenotaalpie"/>
          <w:lang w:val="es-ES"/>
        </w:rPr>
        <w:footnoteReference w:id="433"/>
      </w:r>
    </w:p>
    <w:p w:rsidR="00F2036A" w:rsidRPr="00E72B02" w:rsidRDefault="00F2036A" w:rsidP="004551E9">
      <w:r w:rsidRPr="00E72B02">
        <w:t>Finalmente la disposición sobre “recopilación de datos y estadísticas” se mantuvo de modo independiente en el artículo 31 que, aunque en la parte final de texto, logró mantenerse entre el bloque de las disposiciones que forman el núcleo de la CDPD.</w:t>
      </w:r>
    </w:p>
    <w:p w:rsidR="00F2036A" w:rsidRPr="00E72B02" w:rsidRDefault="00F2036A" w:rsidP="004551E9">
      <w:r w:rsidRPr="00E72B02">
        <w:t>En inciso pr</w:t>
      </w:r>
      <w:r w:rsidR="009557FF" w:rsidRPr="00E72B02">
        <w:t>imero del artículo 31 establece que “…</w:t>
      </w:r>
      <w:r w:rsidRPr="00E72B02">
        <w:t>Los Estados Partes recopilarán información adecuada, incluidos datos estadísticos y de investigación, que les permita formular y aplicar políticas, a fin de dar efecto a la presente Convención. En el proceso de recopilación y mantenimiento de esta información se deberá:</w:t>
      </w:r>
      <w:r w:rsidR="009557FF" w:rsidRPr="00E72B02">
        <w:t xml:space="preserve"> </w:t>
      </w:r>
      <w:r w:rsidRPr="00E72B02">
        <w:t>a) Respetar las garantías legales establecidas, incluida la legislación sobre protección de datos, a fin de asegurar la confidencialidad y el respeto de la privacidad de las personas con discapacidad;</w:t>
      </w:r>
      <w:r w:rsidR="009557FF" w:rsidRPr="00E72B02">
        <w:t xml:space="preserve"> </w:t>
      </w:r>
      <w:r w:rsidRPr="00E72B02">
        <w:t>b) Cumplir las normas aceptadas internacionalmente para proteger los derechos humanos y las libertades fundamentales, así como los principios éticos en la recopilación y el uso de estadísticas</w:t>
      </w:r>
      <w:r w:rsidR="009557FF" w:rsidRPr="00E72B02">
        <w:t>….”</w:t>
      </w:r>
    </w:p>
    <w:p w:rsidR="00F2036A" w:rsidRPr="00E72B02" w:rsidRDefault="00F2036A" w:rsidP="004551E9">
      <w:r w:rsidRPr="00E72B02">
        <w:t xml:space="preserve">De la lectura de esta disposición podemos identificar claramente tres cuestiones esenciales, que podríamos sintetizan en el “qué”, “para qué” y el “cómo”. </w:t>
      </w:r>
    </w:p>
    <w:p w:rsidR="00F2036A" w:rsidRPr="00E72B02" w:rsidRDefault="00F2036A" w:rsidP="004551E9">
      <w:r w:rsidRPr="00E72B02">
        <w:t xml:space="preserve">En relación con el qué información se exige, el objetivo final que se ha buscado con esta norma es que la información no se reduzca simplemente a </w:t>
      </w:r>
      <w:r w:rsidRPr="00E72B02">
        <w:lastRenderedPageBreak/>
        <w:t xml:space="preserve">indicadores numéricos, sino más bien que abarque todos los aspectos que obstaculizan la plena participación de personas en igualdad de condiciones con los demás. </w:t>
      </w:r>
    </w:p>
    <w:p w:rsidR="00F2036A" w:rsidRPr="00E72B02" w:rsidRDefault="00F2036A" w:rsidP="004551E9">
      <w:r w:rsidRPr="00E72B02">
        <w:t xml:space="preserve">En este sentido, los debates previos en Naciones Unidas reflejaron una clara preocupación por parte de algunos Estados y de la mayoría de las ONGs, de que la recopilación de datos y estadísticas </w:t>
      </w:r>
      <w:r w:rsidRPr="00E72B02">
        <w:rPr>
          <w:bCs/>
        </w:rPr>
        <w:t>fuera sobre “la situación” de las personas con discapacidad, y no sobre la “discapacidad” misma,</w:t>
      </w:r>
      <w:r w:rsidRPr="00E72B02">
        <w:t xml:space="preserve"> en especial debido a que la primera propuesta de artículo sobre recopilación de datos y estadísticas hablaba de “estadísticas e información sobre discapacidades”. Finalmente la redacción final del artículo 31 eliminó todo vestigio que pudiera inducir a los Estados a centrar sus esfuerzos en recopilar información sobre discapacidades, y claramente se centra en la “situación de las personas” y no en su “condición”.</w:t>
      </w:r>
      <w:r w:rsidRPr="00E72B02">
        <w:rPr>
          <w:rStyle w:val="Refdenotaalpie"/>
        </w:rPr>
        <w:footnoteReference w:id="434"/>
      </w:r>
      <w:r w:rsidRPr="00E72B02">
        <w:t xml:space="preserve">  </w:t>
      </w:r>
    </w:p>
    <w:p w:rsidR="00F2036A" w:rsidRPr="00E72B02" w:rsidRDefault="00F2036A" w:rsidP="004551E9">
      <w:r w:rsidRPr="00E72B02">
        <w:t xml:space="preserve">En relación con la cuestión relativa al para qué se debe utilizar la información, tanto los gobiernos como la mayoría de las ONGs dejaron claro que </w:t>
      </w:r>
      <w:r w:rsidRPr="00E72B02">
        <w:rPr>
          <w:bCs/>
        </w:rPr>
        <w:t xml:space="preserve">la recopilación de datos y estadísticas era una “herramienta” para </w:t>
      </w:r>
      <w:r w:rsidRPr="00E72B02">
        <w:rPr>
          <w:bCs/>
        </w:rPr>
        <w:lastRenderedPageBreak/>
        <w:t>la promoción de derechos, pero no un “derecho” en sí mismo</w:t>
      </w:r>
      <w:r w:rsidRPr="00E72B02">
        <w:t>.</w:t>
      </w:r>
      <w:r w:rsidRPr="00E72B02">
        <w:rPr>
          <w:rStyle w:val="Refdenotaalpie"/>
        </w:rPr>
        <w:footnoteReference w:id="435"/>
      </w:r>
      <w:r w:rsidRPr="00E72B02">
        <w:t xml:space="preserve"> Por ello la idea que subyace en esta herramienta es que los derechos no solucionan los problemas sino los gobiernos, y para ello, la planificación racional de políticas efectivas requiere de una base de información útil y actualizada que conecte esa expectativa de realización ideal que reflejan los derechos, con la realidad de cada contexto nacional donde se pretende aplicar dichas medidas. </w:t>
      </w:r>
    </w:p>
    <w:p w:rsidR="00F2036A" w:rsidRPr="00E72B02" w:rsidRDefault="00F2036A" w:rsidP="004551E9">
      <w:r w:rsidRPr="00E72B02">
        <w:t xml:space="preserve">En relación con la cuestión del cómo se debe recopilar la información, una de las cuestiones que más preocuparon a los Estados y ONGs en relación con la recopilación de datos y estadísticas fue la </w:t>
      </w:r>
      <w:r w:rsidRPr="00E72B02">
        <w:rPr>
          <w:bCs/>
        </w:rPr>
        <w:t>garantía de confidencialidad y respeto a la intimidad de las personas con discapacidad</w:t>
      </w:r>
      <w:r w:rsidRPr="00E72B02">
        <w:t xml:space="preserve">. Así un buen número de delegaciones hicieron hincapié a lo largo de todo el proceso de negociación ante el Comité Especial en la importancia de asegurar, por un lado, que los datos y estadísticas relacionados con la discapacidad fueran utilizados para avanzar y no para quebrantar los derechos de las personas con discapacidad, y por otro lado, expresaron su preocupación en relación con las garantías de los procesos de recopilación datos. </w:t>
      </w:r>
    </w:p>
    <w:p w:rsidR="00F2036A" w:rsidRPr="00E72B02" w:rsidRDefault="00F2036A" w:rsidP="004551E9">
      <w:r w:rsidRPr="00E72B02">
        <w:lastRenderedPageBreak/>
        <w:t xml:space="preserve">Como destacó una ONG las directrices internacionales relativas a encuestas de estadísticas que involucran individuos ofrecen los siguientes principios: (i) eludir toda intrusión indebida, (ii) obtención de consentimiento informado, (iii) mantenimiento de confidencialidad de los registros, (iv) impedir la revelación de identidades. </w:t>
      </w:r>
    </w:p>
    <w:p w:rsidR="00F2036A" w:rsidRPr="00E72B02" w:rsidRDefault="00F2036A" w:rsidP="004551E9">
      <w:pPr>
        <w:rPr>
          <w:lang w:val="es-ES"/>
        </w:rPr>
      </w:pPr>
      <w:r w:rsidRPr="00E72B02">
        <w:rPr>
          <w:lang w:val="es-ES"/>
        </w:rPr>
        <w:t>En inc</w:t>
      </w:r>
      <w:r w:rsidR="009557FF" w:rsidRPr="00E72B02">
        <w:rPr>
          <w:lang w:val="es-ES"/>
        </w:rPr>
        <w:t>iso 2 del artículo 31 establece que “…</w:t>
      </w:r>
      <w:r w:rsidRPr="00E72B02">
        <w:t>La información recopilada de conformidad con el presente artículo se desglosará, en su caso, y se utilizará como ayuda para evaluar el cumplimiento por los Estados Partes de sus obligaciones conforme a la presente Convención, así como para identificar y eliminar las barreras con que se enfrentan las personas con discapacidad en el ejercicio de sus derechos</w:t>
      </w:r>
      <w:r w:rsidR="009557FF" w:rsidRPr="00E72B02">
        <w:rPr>
          <w:lang w:val="es-ES"/>
        </w:rPr>
        <w:t>….”</w:t>
      </w:r>
    </w:p>
    <w:p w:rsidR="00F2036A" w:rsidRPr="00E72B02" w:rsidRDefault="00F2036A" w:rsidP="004551E9">
      <w:r w:rsidRPr="00E72B02">
        <w:t xml:space="preserve">La lectura detallada de este inciso 2 del artículo 31 también ofrece tres cuestiones fundamentales que merecen ser destacadas, esto es, “el seguimiento”, el “desglose”, y la “la identificación y eliminación de barreras”. </w:t>
      </w:r>
    </w:p>
    <w:p w:rsidR="00F2036A" w:rsidRPr="00E72B02" w:rsidRDefault="00F2036A" w:rsidP="004551E9">
      <w:r w:rsidRPr="00E72B02">
        <w:t xml:space="preserve">En relación con el seguimiento, mientras el inciso primero se dedica esencialmente a la perspectiva de la “aplicación”, el inciso 2 se introduce en la perspectiva del “seguimiento”. Aunque la referencia no es explícita, resulta evidente que </w:t>
      </w:r>
      <w:r w:rsidRPr="00E72B02">
        <w:rPr>
          <w:bCs/>
        </w:rPr>
        <w:t xml:space="preserve">esta disposición debe leerse conjuntamente con el artículo 33 sobre aplicación y seguimiento nacionales. </w:t>
      </w:r>
    </w:p>
    <w:p w:rsidR="00F2036A" w:rsidRPr="00E72B02" w:rsidRDefault="00F2036A" w:rsidP="004551E9">
      <w:r w:rsidRPr="00E72B02">
        <w:t xml:space="preserve">Al igual de lo que sucede con el requisito de independencia en relación con el seguimiento a nivel nacional, </w:t>
      </w:r>
      <w:r w:rsidRPr="00E72B02">
        <w:rPr>
          <w:bCs/>
        </w:rPr>
        <w:t>resulta coherente y lógico que la información recopilada en virtud del artículo 31 provenga también de un órgano independiente</w:t>
      </w:r>
      <w:r w:rsidRPr="00E72B02">
        <w:t xml:space="preserve">, al que se le apliquen los mismos criterios prescritos por el artículo 33.2, o en su defecto, que la autoridad de aplicación designada para recopilar datos y estadísticas sobre discapacidad, pueda ser supervisada por el órgano de seguimiento nacional designado por el gobierno, lo que incluye a su vez, la participación activa de las personas con discapacidad a través de sus organizaciones representativas. </w:t>
      </w:r>
    </w:p>
    <w:p w:rsidR="00F2036A" w:rsidRPr="00E72B02" w:rsidRDefault="00F2036A" w:rsidP="004551E9">
      <w:r w:rsidRPr="00E72B02">
        <w:lastRenderedPageBreak/>
        <w:t xml:space="preserve">En relación con el desglose, a lo largo de todo el proceso de negociación varias delegaciones y ONGs insistieron en la necesidad de reflejar en el texto una mención especial a la necesidad de desglosar los datos y estadísticas recopilados. El argumento en términos generales fue común y claro: </w:t>
      </w:r>
      <w:r w:rsidRPr="00E72B02">
        <w:rPr>
          <w:bCs/>
        </w:rPr>
        <w:t>la falta de detalle sobre una cuestión (empleo, salud, educación etc.) o de un grupo (mujeres, niños, inmigrantes, etc.) fomenta su invisibilidad lo que luego se traduce en la falta de adopción de medidas o de políticas</w:t>
      </w:r>
      <w:r w:rsidRPr="00E72B02">
        <w:t xml:space="preserve">. Más aún, hubo varios intentos por reflejar al menos de un modo indicativo, pero no exhaustivo, lo campos de desglose. No obstante, como se puede apreciar, finalmente se optó por una formulación genérica. </w:t>
      </w:r>
    </w:p>
    <w:p w:rsidR="00F2036A" w:rsidRPr="00E72B02" w:rsidRDefault="00F2036A" w:rsidP="004551E9">
      <w:r w:rsidRPr="00E72B02">
        <w:t>Esto queda de algún modo a discreción del Estado, aunque a pesar del silencio de la norma, es posible identificar algunos indicadores. En primer indicador es de tipo legal, ya que por imperio del principio de transversalidad existen una serie de cuestiones que los Estados deben tener en cuenta en todos los aspectos relativos a la CDPD, como por ejemplo en materia de género y de niños y niñas, o de temas como la accesibilidad y la no-discriminación. Por ello, en este sentido el Estado se encuentra obligado desglosar la recopilación de datos y estadísticas en estos ámbitos. El segundo indicador es de tipo lógico, ya que la información debe ser utilizada, entre otras cosas, para vigilar el cumplimiento de la CDPD. Con lo cual, resulta necesario que la recopilación de datos y estadísticas se desglose mínimamente en los diferentes derechos reconocidos en el texto (Acceso a la justicia, movilidad, derecho a la vida, protección de la familia, etc.). En tercer y último lugar, es probable, o en su defecto recomendable, que el Comité de los Derechos de las Personas con Discapacidad que se estableció en virtud del artículo 34,</w:t>
      </w:r>
      <w:r w:rsidRPr="00E72B02">
        <w:rPr>
          <w:rStyle w:val="Refdenotaalpie"/>
        </w:rPr>
        <w:footnoteReference w:id="436"/>
      </w:r>
      <w:r w:rsidRPr="00E72B02">
        <w:t xml:space="preserve"> emita alguna recomendación o comentario </w:t>
      </w:r>
      <w:r w:rsidRPr="00E72B02">
        <w:lastRenderedPageBreak/>
        <w:t>general que clarifique o proporcione pistas sobre el desglose mínimo de los datos y estadísticas recopilados.</w:t>
      </w:r>
      <w:r w:rsidRPr="00E72B02">
        <w:rPr>
          <w:rStyle w:val="Refdenotaalpie"/>
        </w:rPr>
        <w:footnoteReference w:id="437"/>
      </w:r>
      <w:r w:rsidRPr="00E72B02">
        <w:t xml:space="preserve"> </w:t>
      </w:r>
    </w:p>
    <w:p w:rsidR="00F2036A" w:rsidRPr="00E72B02" w:rsidRDefault="00F2036A" w:rsidP="004551E9">
      <w:r w:rsidRPr="00E72B02">
        <w:t xml:space="preserve">Finalmente, es procedente destacar que resulta muy importante la mención expresa a la identificación y eliminación de barreras en el texto del artículo 31. En primer lugar porque si la recopilación de datos y estadísticas ha de servir para reflejar la “situación de goce de los derechos” y no la “discapacidad” de las personas, debemos reconocer que las barreras son, si las entendemos en un sentido amplio, la causa de la discapacidad y el impedimento para el ejercicio de los derechos en igualdad de condiciones con los demás. Pero en segundo lugar, la mención expresa también debe ser agradecida porque de este modo, nos aseguramos de que una cuestión tan fundamental como la identificación y eliminación de barreras no quede olvidada o diluida en las dos perspectivas principales sobre las cuales se proyecta el labor de recopilación de datos y estadísticas que, como se ha mencionado, se bifurca entre “aplicación” y “seguimiento”. </w:t>
      </w:r>
    </w:p>
    <w:p w:rsidR="00F2036A" w:rsidRPr="00E72B02" w:rsidRDefault="00F2036A" w:rsidP="004551E9">
      <w:r w:rsidRPr="00E72B02">
        <w:t>En inc</w:t>
      </w:r>
      <w:r w:rsidR="009557FF" w:rsidRPr="00E72B02">
        <w:t>iso 3 del artículo 31 establece que “…</w:t>
      </w:r>
      <w:r w:rsidRPr="00E72B02">
        <w:t>Los Estados Partes asumirán la responsabilidad de difundir estas estadísticas y asegurar que sean accesibles para las personas con discapacidad y otras personas</w:t>
      </w:r>
      <w:r w:rsidR="009557FF" w:rsidRPr="00E72B02">
        <w:t>….”</w:t>
      </w:r>
    </w:p>
    <w:p w:rsidR="00F2036A" w:rsidRPr="00E72B02" w:rsidRDefault="00F2036A" w:rsidP="004551E9">
      <w:r w:rsidRPr="00E72B02">
        <w:lastRenderedPageBreak/>
        <w:t>De la breve frase de este inciso 3 es posible identificar dos cuestiones importantes, esto es, la “obligación de difusión”, y la “accesibilidad de la información”.</w:t>
      </w:r>
    </w:p>
    <w:p w:rsidR="00F2036A" w:rsidRPr="00E72B02" w:rsidRDefault="00F2036A" w:rsidP="004551E9">
      <w:r w:rsidRPr="00E72B02">
        <w:t xml:space="preserve">En cuanto a la obligación de difusión, muchas voces, especialmente provenientes de las ONGs, expresaron a lo largo del proceso de negociación la necesidad, y la utilidad, de que los Estados difundan la información proveniente de la recopilación de datos y estadísticas. El texto final de la CDPD adopta una redacción ambigua al establecer que </w:t>
      </w:r>
      <w:r w:rsidRPr="00E72B02">
        <w:rPr>
          <w:bCs/>
        </w:rPr>
        <w:t>los Estados “</w:t>
      </w:r>
      <w:r w:rsidRPr="00E72B02">
        <w:rPr>
          <w:bCs/>
          <w:i/>
        </w:rPr>
        <w:t>asumirán la responsabilidad de difundir</w:t>
      </w:r>
      <w:r w:rsidRPr="00E72B02">
        <w:rPr>
          <w:bCs/>
        </w:rPr>
        <w:t>”</w:t>
      </w:r>
      <w:r w:rsidRPr="00E72B02">
        <w:t xml:space="preserve">. Es difícil esclarecer si se trata de una obligación de resultados o de medios. Es razonable que los Estados tenga una cierta flexibilidad para proteger alguna información que consideran sensible o impropia para su difusión pública, aunque la tendencia es que la protección de la información por parte del Estado obedezca a criterios objetivos y preestablecidos y no a cuestiones coyunturales concretas. En la medida que la información pueda reflejar o contener datos personales, la mayoría de las legislaciones nacionales contemplan leyes especiales que regulan todos sus aspectos generales y que tienden, en términos generales, a proteger a la persona y a su intimidad. En todo caso, lo que el Estado </w:t>
      </w:r>
      <w:r w:rsidRPr="00E72B02">
        <w:rPr>
          <w:bCs/>
        </w:rPr>
        <w:t>no puede hacer es adoptar criterios para la difusión de información que supongan una discriminación de las personas con discapacidad</w:t>
      </w:r>
      <w:r w:rsidRPr="00E72B02">
        <w:t xml:space="preserve"> de conformidad con lo establecido en la CDPD.</w:t>
      </w:r>
    </w:p>
    <w:p w:rsidR="00F2036A" w:rsidRPr="00E72B02" w:rsidRDefault="00F2036A" w:rsidP="004551E9">
      <w:r w:rsidRPr="00E72B02">
        <w:t>En cuanto a la ac</w:t>
      </w:r>
      <w:r w:rsidR="009557FF" w:rsidRPr="00E72B02">
        <w:t>cesibilidad en la información, e</w:t>
      </w:r>
      <w:r w:rsidRPr="00E72B02">
        <w:t xml:space="preserve">n el ámbito jurídico lo que redunda no perjudica, aunque la técnica legislativa intente evitar reiteraciones innecesarias. La reflexión en este punto es entonces, si la exigencia de accesibilidad en la última parte del artículo 31 tiene una justificación especial, puesto que, en su defecto, dicha disposición quedaría igualmente afectada por el artículo 21. Quizás una interpretación comprensiva y en virtud del objeto y fin del artículo 31 nos pueda llevar a </w:t>
      </w:r>
      <w:r w:rsidRPr="00E72B02">
        <w:rPr>
          <w:bCs/>
        </w:rPr>
        <w:t xml:space="preserve">concluir que lo que la norma prescribe es el acceso a la difusión de la información por parte de personas con discapacidad, y no la accesibilidad a </w:t>
      </w:r>
      <w:r w:rsidRPr="00E72B02">
        <w:rPr>
          <w:bCs/>
        </w:rPr>
        <w:lastRenderedPageBreak/>
        <w:t>los contenidos en formatos alternativos</w:t>
      </w:r>
      <w:r w:rsidRPr="00E72B02">
        <w:t xml:space="preserve">. En otras palabras, sería una especie de derecho de acceso especial a la información recopilada por el Estado por parte de las personas con discapacidad, debido a que se trata de </w:t>
      </w:r>
      <w:r w:rsidRPr="00E72B02">
        <w:rPr>
          <w:bCs/>
        </w:rPr>
        <w:t>información que les involucra y concierne directamente</w:t>
      </w:r>
      <w:r w:rsidRPr="00E72B02">
        <w:t xml:space="preserve">. Se trata de una interpretación favorable a las personas con discapacidad aunque debemos reconocer que su justificación se ve un poco desautorizada por la referencia final “y a otras personas”.  </w:t>
      </w:r>
    </w:p>
    <w:p w:rsidR="00F2036A" w:rsidRPr="00E72B02" w:rsidRDefault="00F2036A" w:rsidP="004551E9"/>
    <w:p w:rsidR="00F2036A" w:rsidRPr="00C00CC8" w:rsidRDefault="00F2036A" w:rsidP="00C00CC8">
      <w:pPr>
        <w:pStyle w:val="TITULO9"/>
        <w:jc w:val="both"/>
        <w:rPr>
          <w:b w:val="0"/>
          <w:bCs w:val="0"/>
          <w:sz w:val="24"/>
        </w:rPr>
      </w:pPr>
      <w:r w:rsidRPr="00C00CC8">
        <w:rPr>
          <w:b w:val="0"/>
          <w:bCs w:val="0"/>
          <w:sz w:val="24"/>
        </w:rPr>
        <w:t>3.8.2 Cooperación internacional</w:t>
      </w:r>
    </w:p>
    <w:p w:rsidR="00F2036A" w:rsidRPr="00E72B02" w:rsidRDefault="00F2036A" w:rsidP="004551E9"/>
    <w:p w:rsidR="00F2036A" w:rsidRPr="00E72B02" w:rsidRDefault="00F2036A" w:rsidP="004551E9">
      <w:r w:rsidRPr="00E72B02">
        <w:t>El artículo relativo a la cooperación internacional en la CDPD constituyó uno de los puntos más debatidos en todo el proceso de negociación, toda vez que, desde un principio, quedó claro que la cooperación internacional constituiría una de las principales herramientas para garantizar el disfrute de los derechos de las personas con discapacidad. Así, la relación entre cooperación internacional y realización de derechos es perfectamente palpable, no sólo en el propio artículo 32, sino también en el inciso 2 del artículo 4 donde se establece que los Estados Partes se comprometen a adoptar medidas hasta el máximo de sus recursos disponibles y, cuando sea necesario, en el marco de la cooperación internacional, para lograr, de manera progresiva, el pleno ejercicio de estos derechos, sin perjuicio de las obligaciones previstas en la CDPD que sean aplicables de inmediato en virtud del derecho internacional.</w:t>
      </w:r>
      <w:r w:rsidRPr="00E72B02">
        <w:rPr>
          <w:rStyle w:val="Refdenotaalpie"/>
          <w:lang w:val="es-ES"/>
        </w:rPr>
        <w:footnoteReference w:id="438"/>
      </w:r>
      <w:r w:rsidRPr="00E72B02">
        <w:t xml:space="preserve"> </w:t>
      </w:r>
    </w:p>
    <w:p w:rsidR="00F2036A" w:rsidRPr="00E72B02" w:rsidRDefault="00F2036A" w:rsidP="004551E9">
      <w:r w:rsidRPr="00E72B02">
        <w:t xml:space="preserve">Al incluir un artículo por separado sobre la cooperación internacional, la CDPD subraya la necesidad de que todas esas actividades, incluidos los </w:t>
      </w:r>
      <w:r w:rsidRPr="00E72B02">
        <w:lastRenderedPageBreak/>
        <w:t>programas de desarrollo internacionales, sean accesibles a las personas con discapacidad y las incluya.</w:t>
      </w:r>
    </w:p>
    <w:p w:rsidR="00F2036A" w:rsidRPr="00E72B02" w:rsidRDefault="00F2036A" w:rsidP="004551E9">
      <w:r w:rsidRPr="00E72B02">
        <w:t>Dado el hecho de que, en muchos países, el porcentaje de personas con discapacidad que viven en la pobreza es mayor que el correspondiente a los que viven en otros sectores de la sociedad, la falta de inclusión de las personas con discapacidad en la planificación y ejecución de los programas de desarrollo sólo serviría para exacerbar las desigualdades y la discriminación ya existentes en la sociedad.</w:t>
      </w:r>
    </w:p>
    <w:p w:rsidR="00F2036A" w:rsidRPr="00E72B02" w:rsidRDefault="00F2036A" w:rsidP="004551E9">
      <w:r w:rsidRPr="00E72B02">
        <w:t>La CDPD afirma que los Estados partes no son los únicos que tienen una función que cumplir en el fomento de la cooperación internacional con miras a  promover los derechos de las personas con discapacidad, sino que también la tiene la sociedad civil, incluidas las organizaciones representativas de las personas con discapacidad, las organizaciones internacionales y regionales, así como los organismos especializados de las Naciones Unidas, el Banco Mundial y otros  bancos de desarrollo, y organizaciones regionales, como la Comisión Europea  y la Unión Africana.</w:t>
      </w:r>
      <w:r w:rsidRPr="00E72B02">
        <w:rPr>
          <w:rStyle w:val="Refdenotaalpie"/>
        </w:rPr>
        <w:footnoteReference w:id="439"/>
      </w:r>
    </w:p>
    <w:p w:rsidR="00F2036A" w:rsidRPr="00E72B02" w:rsidRDefault="00F2036A" w:rsidP="004551E9">
      <w:r w:rsidRPr="00E72B02">
        <w:t>El primer borrador con el que comenzó a trabajar el Comité Especial no incluyó un artículo específico sobre cooperación internacional, aunque a cambio de ello, el propio Grupo de Trabajo que elaboró el mencionado borrador, elevó conjuntamente al mismo, un “resumen de los debates celebrados sobre la cuestión de la cooperación internacional que ha de examinar el Comité Especial” en el que se pueden apreciar las primeras ideas que serían tratadas en las futuras negociaciones</w:t>
      </w:r>
      <w:r w:rsidRPr="00E72B02">
        <w:rPr>
          <w:rStyle w:val="Refdenotaalpie"/>
        </w:rPr>
        <w:footnoteReference w:id="440"/>
      </w:r>
      <w:r w:rsidRPr="00E72B02">
        <w:t xml:space="preserve">. </w:t>
      </w:r>
    </w:p>
    <w:p w:rsidR="00F2036A" w:rsidRPr="00E72B02" w:rsidRDefault="00F2036A" w:rsidP="004551E9">
      <w:r w:rsidRPr="00E72B02">
        <w:lastRenderedPageBreak/>
        <w:t>Con la propuesta servida, la siguiente reunión (tercera) del Comité Especial, contó con aportaciones del gobierno de México, de China y de Vietnam</w:t>
      </w:r>
      <w:r w:rsidRPr="00E72B02">
        <w:rPr>
          <w:rStyle w:val="Refdenotaalpie"/>
        </w:rPr>
        <w:footnoteReference w:id="441"/>
      </w:r>
      <w:r w:rsidRPr="00E72B02">
        <w:t>, pero no fue hasta la sexta sesión celebrada del 1° al 12 de agosto de 2005, cuando el Comité Especial celebró sesiones oficiosas y oficiales sobre algunos proyectos de artículo entre los que se encontraba el entonces artículo 24 bis sobre cooperación internacional, basando el debate en el en el texto del proyecto de CDPD preparado por el Grupo de Trabajo.</w:t>
      </w:r>
      <w:r w:rsidRPr="00E72B02">
        <w:rPr>
          <w:rStyle w:val="Refdenotaalpie"/>
        </w:rPr>
        <w:footnoteReference w:id="442"/>
      </w:r>
      <w:r w:rsidRPr="00E72B02">
        <w:t xml:space="preserve"> </w:t>
      </w:r>
    </w:p>
    <w:p w:rsidR="00F2036A" w:rsidRPr="00E72B02" w:rsidRDefault="00F2036A" w:rsidP="004551E9">
      <w:r w:rsidRPr="00E72B02">
        <w:t xml:space="preserve">Un punto de inflexión en todo el proceso de negociación constituyó, sin duda alguna, la iniciativa del Presidente del Comité Espacial, embajador </w:t>
      </w:r>
      <w:r w:rsidRPr="00E72B02">
        <w:rPr>
          <w:caps/>
        </w:rPr>
        <w:t>McKay</w:t>
      </w:r>
      <w:r w:rsidRPr="00E72B02">
        <w:t>, de elaborar un nuevo borrador que incluyera todos los progresos alcanzados desde la presentación del primer proyecto de trabajo por parte del Grupo Especial en 2004. Este documento sirvió de base para la adopción del texto final, incluyendo definitivamente, en un artículo independiente, la cuestión de la cooperación internacional.</w:t>
      </w:r>
      <w:r w:rsidRPr="00E72B02">
        <w:rPr>
          <w:rStyle w:val="Refdenotaalpie"/>
        </w:rPr>
        <w:footnoteReference w:id="443"/>
      </w:r>
      <w:r w:rsidRPr="00E72B02">
        <w:t xml:space="preserve"> </w:t>
      </w:r>
    </w:p>
    <w:p w:rsidR="00F2036A" w:rsidRPr="00E72B02" w:rsidRDefault="00F2036A" w:rsidP="004551E9">
      <w:r w:rsidRPr="00E72B02">
        <w:t>La aceptación generalizada de las propuesta del Presidente provocó que las negociaciones durante la séptima sesión del Comité Especial afianzaran su borrador y se confirmara con un lenguaje prácticamente igual, al hoy definitivo artículo 32, el artículo relativo a la cooperación internacional.</w:t>
      </w:r>
      <w:r w:rsidRPr="00E72B02">
        <w:rPr>
          <w:rStyle w:val="Refdenotaalpie"/>
        </w:rPr>
        <w:footnoteReference w:id="444"/>
      </w:r>
      <w:r w:rsidRPr="00E72B02">
        <w:t xml:space="preserve"> </w:t>
      </w:r>
      <w:r w:rsidRPr="00E72B02">
        <w:lastRenderedPageBreak/>
        <w:t>El informe final se limitó a cambiar algunos términos entre el que cabe destacar, la sustitución del verbo “asegurar” por el de “velar” al inicio, del inciso apartado a) del inciso 1, que desafortunadamente, resta fuerza a una de las disposiciones más importantes del artículo y, quizás, de la CDPD.</w:t>
      </w:r>
    </w:p>
    <w:p w:rsidR="00F2036A" w:rsidRPr="00E72B02" w:rsidRDefault="00F2036A" w:rsidP="004551E9">
      <w:r w:rsidRPr="00E72B02">
        <w:t xml:space="preserve">Aunque las disposiciones sobre cooperación internacional son diversas, se podrían sintetizar en dos grandes ideas. La primera y principal es la </w:t>
      </w:r>
      <w:r w:rsidRPr="00E72B02">
        <w:rPr>
          <w:i/>
        </w:rPr>
        <w:t>garantía</w:t>
      </w:r>
      <w:r w:rsidRPr="00E72B02">
        <w:t xml:space="preserve"> de inclusión y accesibilidad de la cooperación internacional para personas con discapacidad, y la segunda es la </w:t>
      </w:r>
      <w:r w:rsidRPr="00E72B02">
        <w:rPr>
          <w:i/>
        </w:rPr>
        <w:t>transferencia</w:t>
      </w:r>
      <w:r w:rsidRPr="00E72B02">
        <w:t xml:space="preserve"> </w:t>
      </w:r>
      <w:r w:rsidRPr="00E72B02">
        <w:rPr>
          <w:i/>
        </w:rPr>
        <w:t>y/o intercambio</w:t>
      </w:r>
      <w:r w:rsidRPr="00E72B02">
        <w:t xml:space="preserve"> de información, tecnología, conocimientos, experiencias, programas o prácticas. En este sentido, es importante destacar que la garantía de inclusión y accesibilidad está pensada no sólo para marcos o programas de cooperación en el área de la discapacidad, sino muy especialmente, respecto de todos aquellos ámbitos de la cooperación que no son específicamente sobre discapacidad pero que tienen una clara incidencia para las personas con discapacidad. Así por ejemplo, esta disposición intenta garantizar que programas sobre género, pobreza, desarrollo empresarial, educativos, culturales, etc., sean inclusivos y accesibles para personas con discapacidad. De este modo si se utilizan fondos de la cooperación para construir una escuela, la misma deberá ser accesible para personas con discapacidad, o si se implementa un programa de capacitación el mismo deberá ser accesible a personas con discapacidades sensoriales, o si se implementa un programa sanitario el mismo deberá tener en cuenta a las personas con discapacidad. Si se aplica correctamente, esta especie de “clausula de garantía” podría tener un importante impacto para las personas con discapacidad al condicionar la asignación de recursos a la inclusión de la perspectiva de la discapacidad, y por ende, ser una de las principales herramientas para la implementación y supervisión de la CDPD. </w:t>
      </w:r>
    </w:p>
    <w:p w:rsidR="00F2036A" w:rsidRPr="00E72B02" w:rsidRDefault="00F2036A" w:rsidP="004551E9">
      <w:r w:rsidRPr="00E72B02">
        <w:lastRenderedPageBreak/>
        <w:t xml:space="preserve">Al mismo tiempo, y tal como se reflejó expresamente en el inciso 2 del artículo 32, es importante tener en cuenta, que pese a la importancia de la cooperación internacional en la implementación y supervisión de la CDPD, los Estados Partes no pueden condicionar el cumplimiento de las obligaciones asumidas a la existencia de programas o ayudas internacionales.  </w:t>
      </w:r>
    </w:p>
    <w:p w:rsidR="00F2036A" w:rsidRPr="00C00CC8" w:rsidRDefault="00F2036A" w:rsidP="00C00CC8">
      <w:pPr>
        <w:pStyle w:val="TITULO9"/>
        <w:jc w:val="both"/>
        <w:rPr>
          <w:b w:val="0"/>
          <w:bCs w:val="0"/>
          <w:sz w:val="24"/>
        </w:rPr>
      </w:pPr>
    </w:p>
    <w:p w:rsidR="00F2036A" w:rsidRPr="00C00CC8" w:rsidRDefault="00F2036A" w:rsidP="00C00CC8">
      <w:pPr>
        <w:pStyle w:val="TITULO9"/>
        <w:jc w:val="both"/>
        <w:rPr>
          <w:b w:val="0"/>
          <w:bCs w:val="0"/>
          <w:sz w:val="24"/>
        </w:rPr>
      </w:pPr>
      <w:r w:rsidRPr="00C00CC8">
        <w:rPr>
          <w:b w:val="0"/>
          <w:bCs w:val="0"/>
          <w:sz w:val="24"/>
        </w:rPr>
        <w:t>3.8.3 Aplicación y seguimiento nacionales</w:t>
      </w:r>
    </w:p>
    <w:p w:rsidR="00F2036A" w:rsidRPr="00E72B02" w:rsidRDefault="00F2036A" w:rsidP="004551E9"/>
    <w:p w:rsidR="00F2036A" w:rsidRPr="00E72B02" w:rsidRDefault="00F2036A" w:rsidP="004551E9">
      <w:pPr>
        <w:rPr>
          <w:lang w:val="es-ES_tradnl" w:eastAsia="es-ES_tradnl"/>
        </w:rPr>
      </w:pPr>
      <w:r w:rsidRPr="00E72B02">
        <w:rPr>
          <w:lang w:val="es-ES"/>
        </w:rPr>
        <w:t xml:space="preserve">La </w:t>
      </w:r>
      <w:r w:rsidRPr="00E72B02">
        <w:rPr>
          <w:lang w:val="es-ES_tradnl"/>
        </w:rPr>
        <w:t xml:space="preserve">CDPD, al igual que el resto de instrumentos de derechos humanos, establece que la auto-supervisión, la evaluación y la elaboración de los informes, son una obligación impuesta a los Gobiernos. Los instrumentos internacionales de derechos humanos, son en esencia tratados internacionales celebrados entre Estados soberanos, y es justamente en el Estado donde recae el grueso de las obligaciones internacionales. No obstante, y a diferencia con otros tratados internacionales, los de derechos humanos tienen un carácter especial, debido principalmente al hecho que no sólo establecen obligaciones para los Estados sino también relaciones entre Estados e individuos. </w:t>
      </w:r>
      <w:r w:rsidRPr="00E72B02">
        <w:rPr>
          <w:lang w:val="es-ES_tradnl" w:eastAsia="es-ES_tradnl"/>
        </w:rPr>
        <w:t xml:space="preserve">Por ello, y más allá como tareas imprescindibles del </w:t>
      </w:r>
      <w:r w:rsidR="0074119B" w:rsidRPr="00E72B02">
        <w:rPr>
          <w:lang w:val="es-ES_tradnl" w:eastAsia="es-ES_tradnl"/>
        </w:rPr>
        <w:t>Estado Parte</w:t>
      </w:r>
      <w:r w:rsidRPr="00E72B02">
        <w:rPr>
          <w:lang w:val="es-ES_tradnl" w:eastAsia="es-ES_tradnl"/>
        </w:rPr>
        <w:t>,</w:t>
      </w:r>
      <w:r w:rsidRPr="00E72B02">
        <w:rPr>
          <w:rStyle w:val="Refdenotaalpie"/>
          <w:lang w:val="es-ES_tradnl" w:eastAsia="es-ES_tradnl"/>
        </w:rPr>
        <w:footnoteReference w:id="445"/>
      </w:r>
      <w:r w:rsidRPr="00E72B02">
        <w:rPr>
          <w:lang w:val="es-ES_tradnl" w:eastAsia="es-ES_tradnl"/>
        </w:rPr>
        <w:t xml:space="preserve"> los tratados de derechos humanos, reconocen la necesidad de establecer mecanismos independientes de seguimiento tanto a nivel </w:t>
      </w:r>
      <w:r w:rsidRPr="00E72B02">
        <w:rPr>
          <w:lang w:val="es-ES_tradnl" w:eastAsia="es-ES_tradnl"/>
        </w:rPr>
        <w:lastRenderedPageBreak/>
        <w:t>nacional como internacional,  para asegurar avances en la aplicación de todos los derechos reconocidos.</w:t>
      </w:r>
      <w:r w:rsidRPr="00E72B02">
        <w:rPr>
          <w:rStyle w:val="Refdenotaalpie"/>
          <w:lang w:val="es-ES_tradnl" w:eastAsia="es-ES_tradnl"/>
        </w:rPr>
        <w:footnoteReference w:id="446"/>
      </w:r>
    </w:p>
    <w:p w:rsidR="00F2036A" w:rsidRPr="00E72B02" w:rsidRDefault="00F2036A" w:rsidP="004551E9">
      <w:r w:rsidRPr="00E72B02">
        <w:t>Finalmente, y tras la adopción del texto definitivo, uno de los principales logros de la CDPD, y siguiendo una reciente tendencia “en la normativa de derechos humanos”, es el exigir que los Estados Partes “establezcan mecanismos nacionales de vigilancia”.</w:t>
      </w:r>
      <w:r w:rsidRPr="00E72B02">
        <w:rPr>
          <w:rStyle w:val="Refdenotaalpie"/>
          <w:lang w:val="es-ES_tradnl" w:eastAsia="es-ES_tradnl"/>
        </w:rPr>
        <w:footnoteReference w:id="447"/>
      </w:r>
      <w:r w:rsidRPr="00E72B02">
        <w:t xml:space="preserve"> Consecuentemente, un muy discutido y debatido artículo 33 nos plantea, en un leguaje no demasiado claro, un sistema de seguimiento nacional en el cual se distinguen claramente dos procedimientos, los cuales lógicamente, no pueden ser asumidos por el mismo órgano. Un primer procedimiento, recogido en el primer inciso del mencionado artículo, cuyo establecimiento y funcionamiento recae exclusivamente en el </w:t>
      </w:r>
      <w:r w:rsidR="0074119B" w:rsidRPr="00E72B02">
        <w:t>Estado Parte</w:t>
      </w:r>
      <w:r w:rsidRPr="00E72B02">
        <w:t xml:space="preserve">, y un segundo procedimiento, recogido en el inciso segundo de la misma disposición, cuyo establecimiento puede ser estatal, pero su funcionamiento debe mantener </w:t>
      </w:r>
      <w:r w:rsidRPr="00E72B02">
        <w:rPr>
          <w:i/>
          <w:lang w:val="es-ES_tradnl" w:eastAsia="es-ES_tradnl"/>
        </w:rPr>
        <w:t xml:space="preserve">de jure </w:t>
      </w:r>
      <w:r w:rsidRPr="00E72B02">
        <w:t xml:space="preserve">y </w:t>
      </w:r>
      <w:r w:rsidRPr="00E72B02">
        <w:rPr>
          <w:i/>
          <w:lang w:val="es-ES_tradnl" w:eastAsia="es-ES_tradnl"/>
        </w:rPr>
        <w:t>de facto</w:t>
      </w:r>
      <w:r w:rsidRPr="00E72B02">
        <w:t>, total independencia del propio Estado.</w:t>
      </w:r>
      <w:r w:rsidRPr="00E72B02">
        <w:rPr>
          <w:rStyle w:val="Refdenotaalpie"/>
        </w:rPr>
        <w:footnoteReference w:id="448"/>
      </w:r>
      <w:r w:rsidRPr="00E72B02">
        <w:t xml:space="preserve">  </w:t>
      </w:r>
    </w:p>
    <w:p w:rsidR="00F2036A" w:rsidRPr="00E72B02" w:rsidRDefault="00F2036A" w:rsidP="004551E9">
      <w:r w:rsidRPr="00E72B02">
        <w:lastRenderedPageBreak/>
        <w:t>El inci</w:t>
      </w:r>
      <w:r w:rsidR="009557FF" w:rsidRPr="00E72B02">
        <w:t>so 1º del artículo 33 establece que “…</w:t>
      </w:r>
      <w:r w:rsidRPr="00E72B02">
        <w:t>Los Estados Partes, de conformidad con su sistema organizativo, designarán uno o más organismos gubernamentales encargados de las cuestiones relativas a la aplicación de la presente Convención y considerarán detenidamente la posibilidad de establecer o designar un mecanismo de coordinación para facilitar la adopción de medidas al respecto en diferentes sectores y a diferentes niveles</w:t>
      </w:r>
      <w:r w:rsidR="009557FF" w:rsidRPr="00E72B02">
        <w:t>..</w:t>
      </w:r>
      <w:r w:rsidRPr="00E72B02">
        <w:t>.”</w:t>
      </w:r>
    </w:p>
    <w:p w:rsidR="00F2036A" w:rsidRPr="00E72B02" w:rsidRDefault="00F2036A" w:rsidP="004551E9">
      <w:r w:rsidRPr="00E72B02">
        <w:t xml:space="preserve">Siendo el propio Estado el sujeto obligado internacionalmente por las disposiciones del Convenio, es lógico que el gobierno de cada Estado tenga competencias en el proceso de aplicación nacional a través de un órgano designado a dichos fines. Se utiliza en este punto únicamente el concepto de ‘aplicación’ con el objetivo de enfatizar que este órgano debe tener como principal función la de implementar las disposiciones de la CDPD, y que, consecuentemente, las funciones de seguimiento deben principalmente recaer en un órgano independiente. </w:t>
      </w:r>
    </w:p>
    <w:p w:rsidR="00F2036A" w:rsidRPr="00E72B02" w:rsidRDefault="00F2036A" w:rsidP="004551E9">
      <w:r w:rsidRPr="00E72B02">
        <w:t xml:space="preserve">Si bien el texto de la CDPD no obliga a la creación un órgano a dichos efectos, el volumen e importancia de las tareas a llevarse a cabo suponen, evidentemente, una necesaria reestructuración del órgano en cuestión de modo que cuente con recursos y competencias suficientes para el desempeño de sus funciones. Pensemos que en virtud del principio de transversalidad y del alcance de los derechos reconocidos y de las obligaciones impuestas a los Estados Partes, la correcta y efectiva implementación de la CDPD requerirá muy probablemente de incidir en prácticamente todas las áreas ministeriales de gobierno. Por ello, el órgano </w:t>
      </w:r>
      <w:r w:rsidRPr="00E72B02">
        <w:lastRenderedPageBreak/>
        <w:t>designado para la aplicación de la CDPD debería tener poder o competencia para incidir en las diferentes carteras ministeriales, o en última instancia, en las coordinación de las políticas públicas en la materia.</w:t>
      </w:r>
      <w:r w:rsidR="00AA2FFF">
        <w:rPr>
          <w:rStyle w:val="Refdenotaalpie"/>
          <w:lang w:val="es-ES"/>
        </w:rPr>
        <w:footnoteReference w:id="449"/>
      </w:r>
      <w:r w:rsidRPr="00E72B02">
        <w:t xml:space="preserve"> </w:t>
      </w:r>
    </w:p>
    <w:p w:rsidR="00F2036A" w:rsidRPr="00E72B02" w:rsidRDefault="00F2036A" w:rsidP="004551E9">
      <w:r w:rsidRPr="00E72B02">
        <w:t xml:space="preserve">Mientras la parte sustantiva de la CDPD supone un verdadero cambio de paradigma en el modo de abordar los derechos de las personas con discapacidad, el artículo 33 supone un cambio de paradigma “estructural” en el modo de aplicar y controlar el cumplimiento del tratado. De este modo, como señalan </w:t>
      </w:r>
      <w:r w:rsidRPr="00E72B02">
        <w:rPr>
          <w:caps/>
        </w:rPr>
        <w:t>De Beco</w:t>
      </w:r>
      <w:r w:rsidRPr="00E72B02">
        <w:t xml:space="preserve"> y </w:t>
      </w:r>
      <w:r w:rsidRPr="00E72B02">
        <w:rPr>
          <w:caps/>
        </w:rPr>
        <w:t>Hoefmans</w:t>
      </w:r>
      <w:r w:rsidRPr="00E72B02">
        <w:t>, “</w:t>
      </w:r>
      <w:r w:rsidRPr="00E72B02">
        <w:rPr>
          <w:i/>
        </w:rPr>
        <w:t>una de las grandes innovaciones estructurales que introduce la CDPD es el compromiso de las autoridades estatales de organizarse de modo tal que se optimice la implementación de la Convención, y, por extensión, de sus políticas nacionales en discapacidad</w:t>
      </w:r>
      <w:r w:rsidRPr="00E72B02">
        <w:t>”.</w:t>
      </w:r>
      <w:r w:rsidRPr="00E72B02">
        <w:rPr>
          <w:rStyle w:val="Refdenotaalpie"/>
        </w:rPr>
        <w:footnoteReference w:id="450"/>
      </w:r>
      <w:r w:rsidRPr="00E72B02">
        <w:t xml:space="preserve"> Adicionalmente, como continúan los autores, “</w:t>
      </w:r>
      <w:r w:rsidRPr="00E72B02">
        <w:rPr>
          <w:i/>
        </w:rPr>
        <w:t>resulta claro del texto que esto no es una mera sugerencia de los negociadores del tratado, así como tampoco se trata de una obligación que deba cumplirse progresivamente. Se trata de un prerrequisito para la implementación de la CDPD. Ya sea antes o inmediatamente después de la ratificación del tratado los Estados deben proceder a designar uno o más organismos focales</w:t>
      </w:r>
      <w:r w:rsidRPr="00E72B02">
        <w:t>”.</w:t>
      </w:r>
      <w:r w:rsidRPr="00E72B02">
        <w:rPr>
          <w:rStyle w:val="Refdenotaalpie"/>
        </w:rPr>
        <w:footnoteReference w:id="451"/>
      </w:r>
      <w:r w:rsidRPr="00E72B02">
        <w:t xml:space="preserve"> </w:t>
      </w:r>
    </w:p>
    <w:p w:rsidR="00F2036A" w:rsidRPr="00E72B02" w:rsidRDefault="00F2036A" w:rsidP="004551E9">
      <w:r w:rsidRPr="00E72B02">
        <w:t xml:space="preserve">El objetivo que persigue el articulo 33(1) con la designación de uno o varios organismo focales gubernamentales para la aplicación de la CDPD es doble. Por un lado, se asegura que exista un lugar adecuado para la discapacidad en la agenda política del </w:t>
      </w:r>
      <w:r w:rsidR="0074119B" w:rsidRPr="00E72B02">
        <w:t>Estado Parte</w:t>
      </w:r>
      <w:r w:rsidRPr="00E72B02">
        <w:t xml:space="preserve">, haciendo la temática visible de modo tal que fuerce a los gobiernos a darle impulso y un lugar adecuado. Por otro </w:t>
      </w:r>
      <w:r w:rsidRPr="00E72B02">
        <w:lastRenderedPageBreak/>
        <w:t>lado, la designación de uno o más organismos focales es útil como herramienta administrativa para racionalizar y centralizar todos los actores institucionales involucrados en las políticas de derechos de la discapacidad, o en otras palabras, se requiere de una organización tal que pueda transformar el modelo social de discapacidad en una realidad.</w:t>
      </w:r>
      <w:r w:rsidRPr="00E72B02">
        <w:rPr>
          <w:rStyle w:val="Refdenotaalpie"/>
        </w:rPr>
        <w:footnoteReference w:id="452"/>
      </w:r>
      <w:r w:rsidRPr="00E72B02">
        <w:t xml:space="preserve"> </w:t>
      </w:r>
    </w:p>
    <w:p w:rsidR="00F2036A" w:rsidRPr="00E72B02" w:rsidRDefault="00F2036A" w:rsidP="004551E9">
      <w:r w:rsidRPr="00E72B02">
        <w:t xml:space="preserve">Las funciones que deben asumir el, o los, organismos focales de aplicación de la CDPD, no surgen de modo claro del texto internacional. Así, los Estados partes gozan de cierta flexibilidad al respecto. No obstante, una lectura comprensiva nos permite concluir que el mencionado órgano debería tener, al menos, las funciones que se enuncian a continuación. </w:t>
      </w:r>
    </w:p>
    <w:p w:rsidR="00F2036A" w:rsidRPr="00E72B02" w:rsidRDefault="00F2036A" w:rsidP="004551E9">
      <w:r w:rsidRPr="00E72B02">
        <w:t xml:space="preserve">En primer lugar, la función de recopilar y documentar información sobre la situación real de las personas con discapacidad, en todos los campos (legal, político, social, económico, laboral, etc.). A dichos fines, sería recomendable que el órgano e aplicación tuviera facultad de pedir informes a cualquier organismo público y privado, con la correlativa obligación por parte de los requeridos de responder a la solicitud. La posibilidad de informarse, y por tanto, contar con datos certeros y reales de la situación de las personas con discapacidad, resulta esencial para cualquier órgano con pretensiones de llevar a cabo una tarea comprometida y eficaz de aplicación nacional.  </w:t>
      </w:r>
    </w:p>
    <w:p w:rsidR="00F2036A" w:rsidRPr="00E72B02" w:rsidRDefault="00F2036A" w:rsidP="004551E9">
      <w:r w:rsidRPr="00E72B02">
        <w:t xml:space="preserve">En segundo lugar, la función de coordinar la adopción de medidas políticas o legislativas que tengan influencia en la situación de las personas con discapacidad. Ello se justifica desde una doble perspectiva. En primer lugar porque, se trataría del organismo más competente en relación con los estándares internacionales de derecho de las personas con discapacidad. En segundo lugar, porque un órgano de aplicación, pierde toda su efectividad si se limita únicamente a documentar o acreditar el grado de protección de los </w:t>
      </w:r>
      <w:r w:rsidRPr="00E72B02">
        <w:lastRenderedPageBreak/>
        <w:t>derechos y no puede influir en la mejora de los mismos. En otras palabras, no debe limitarse a constituirse en un órgano experto en la materia, sino también en un órgano promotor del cumplimiento de los estándares internacionales.</w:t>
      </w:r>
    </w:p>
    <w:p w:rsidR="00F2036A" w:rsidRPr="00E72B02" w:rsidRDefault="00F2036A" w:rsidP="004551E9">
      <w:r w:rsidRPr="00E72B02">
        <w:t>En tercer lugar, la función de elaborar y presentar los informes nacionales de seguimiento. Sin perjuicio de utilizar los canales propios del Ministerio de Asuntos Exteriores, sería recomendable que el órgano de aplicación nacional asumiera la responsabilidad de elaborar y presentar en tiempo y forma ante el Comité sobre los Derechos de las Personas con Discapacidad los informes que se exigen a los Estados Partes en el artículo 35.</w:t>
      </w:r>
      <w:r w:rsidRPr="00E72B02">
        <w:rPr>
          <w:rStyle w:val="Refdenotaalpie"/>
        </w:rPr>
        <w:footnoteReference w:id="453"/>
      </w:r>
      <w:r w:rsidRPr="00E72B02">
        <w:t xml:space="preserve"> </w:t>
      </w:r>
    </w:p>
    <w:p w:rsidR="00F2036A" w:rsidRPr="00E72B02" w:rsidRDefault="00F2036A" w:rsidP="004551E9">
      <w:r w:rsidRPr="00E72B02">
        <w:t xml:space="preserve">El apartado 2º del artículo 33 parece trascender competencias que tradicionalmente eran consideradas como de exclusiva </w:t>
      </w:r>
      <w:r w:rsidR="009557FF" w:rsidRPr="00E72B02">
        <w:t xml:space="preserve">soberanía nacional, y establece que </w:t>
      </w:r>
      <w:r w:rsidRPr="00E72B02">
        <w:t>“</w:t>
      </w:r>
      <w:r w:rsidR="009557FF" w:rsidRPr="00E72B02">
        <w:t>…</w:t>
      </w:r>
      <w:r w:rsidRPr="00E72B02">
        <w:rPr>
          <w:i/>
        </w:rPr>
        <w:t>Los Estados Partes, de conformidad con sus sistemas jurídicos y administrativos, mantendrán, reforzarán, designarán o establecerán, a nivel nacional, un marco, que constará de uno o varios mecanismos independientes, para promover, proteger y supervisar la aplicación de la presente Convención. Cuando designen o establezcan esos mecanismos, los Estados Partes tendrán en cuenta los principios relativos a la condición jurídica y el funcionamiento de las instituciones nacionales de protección y promoción de los derechos humanos</w:t>
      </w:r>
      <w:r w:rsidR="009557FF" w:rsidRPr="00E72B02">
        <w:t>….</w:t>
      </w:r>
      <w:r w:rsidRPr="00E72B02">
        <w:t xml:space="preserve">” </w:t>
      </w:r>
    </w:p>
    <w:p w:rsidR="00F2036A" w:rsidRPr="00E72B02" w:rsidRDefault="00F2036A" w:rsidP="004551E9">
      <w:r w:rsidRPr="00E72B02">
        <w:t xml:space="preserve">Pese a utilizar un lenguaje suave, la norma claramente impone dos obligaciones a los Estados Partes. En primer lugar, la de designar, siempre que no exista ya, un órgano independiente para promover, proteger y supervisar las disposiciones de la CDPD, y, en segundo lugar, la obligación </w:t>
      </w:r>
      <w:r w:rsidRPr="00E72B02">
        <w:lastRenderedPageBreak/>
        <w:t xml:space="preserve">de respetar, en el establecimiento de dicho órgano, ciertos estándares mínimos internacionales que garanticen su estabilidad e independencia.  </w:t>
      </w:r>
    </w:p>
    <w:p w:rsidR="00F2036A" w:rsidRPr="00E72B02" w:rsidRDefault="00F2036A" w:rsidP="004551E9">
      <w:r w:rsidRPr="00E72B02">
        <w:t xml:space="preserve">Como señala </w:t>
      </w:r>
      <w:r w:rsidRPr="00E72B02">
        <w:rPr>
          <w:caps/>
        </w:rPr>
        <w:t>Quinn</w:t>
      </w:r>
      <w:r w:rsidRPr="00E72B02">
        <w:t>, estas funciones de promoción, protección y seguimiento, deben ser asignadas a organismos que sean genuinamente independientes del Estado. Se trata de una importante tarea respecto de la cual el Estado, conjuntamente con otros Estados, deberá procurar un mecanismo apropiado, o ajustar propiamente uno si este ya existe. Las instituciones nacionales de derechos humanos están llamadas a convertirse en un motor clave para asegurar una apropiada implementación.</w:t>
      </w:r>
      <w:r w:rsidRPr="00E72B02">
        <w:rPr>
          <w:rStyle w:val="Refdenotaalpie"/>
        </w:rPr>
        <w:footnoteReference w:id="454"/>
      </w:r>
      <w:r w:rsidRPr="00E72B02">
        <w:t xml:space="preserve">  </w:t>
      </w:r>
    </w:p>
    <w:p w:rsidR="00F2036A" w:rsidRPr="00E72B02" w:rsidRDefault="00F2036A" w:rsidP="004551E9">
      <w:r w:rsidRPr="00E72B02">
        <w:rPr>
          <w:lang w:val="es-ES_tradnl"/>
        </w:rPr>
        <w:t xml:space="preserve">Debido a que nos encontramos ante un mecanismo “en desarrollo”, el </w:t>
      </w:r>
      <w:r w:rsidRPr="00E72B02">
        <w:t xml:space="preserve">artículo 33.2 no se refiere a ningún estándar internacional existente. La principal característica que debe presentar el mecanismo previsto por el 33.2 es que sea independiente del poder ejecutivo. Puede ser una comisión nacional de derechos humanos, una comisión sobre discapacidad, un defensor oficial u </w:t>
      </w:r>
      <w:r w:rsidRPr="00E72B02">
        <w:rPr>
          <w:i/>
        </w:rPr>
        <w:t>ombusperson</w:t>
      </w:r>
      <w:r w:rsidRPr="00E72B02">
        <w:t>, o similares.</w:t>
      </w:r>
      <w:r w:rsidRPr="00E72B02">
        <w:rPr>
          <w:rStyle w:val="Refdenotaalpie"/>
        </w:rPr>
        <w:footnoteReference w:id="455"/>
      </w:r>
      <w:r w:rsidRPr="00E72B02">
        <w:t xml:space="preserve"> Asimismo, el mandato del mecanismo de seguimiento debe incluir el más amplio espectro de funciones necesarias para promover y proteger los derechos humanos, incorporando la CDPD y otros instrumentos internacionales de derechos humanos pertinentes, cubriendo de un modo eficaz los derechos de las personas con discapacidad. La normativa debe incluir disposiciones que establezcan funciones, poderes y obligaciones relativas a personas con discapacidad, que les permitan desempeñar su mandato de un modo eficaz, incluyendo la facultad de recibir denuncias o recopilar toda la información o los </w:t>
      </w:r>
      <w:r w:rsidRPr="00E72B02">
        <w:lastRenderedPageBreak/>
        <w:t>documentos necesarios para evaluar las actuaciones dentro de sus competencias.</w:t>
      </w:r>
      <w:r w:rsidRPr="00E72B02">
        <w:rPr>
          <w:rStyle w:val="Refdenotaalpie"/>
        </w:rPr>
        <w:footnoteReference w:id="456"/>
      </w:r>
      <w:r w:rsidRPr="00E72B02">
        <w:t xml:space="preserve">    </w:t>
      </w:r>
    </w:p>
    <w:p w:rsidR="00F2036A" w:rsidRPr="00E72B02" w:rsidRDefault="00F2036A" w:rsidP="004551E9">
      <w:r w:rsidRPr="00E72B02">
        <w:t>Sin perjuicio de la falta de indicaciones legales claras señaladas anteriormente, en el propio artículo 33.2 nos encontramos con una especie de “cartel indicativo” que nos señala el camino hacia los llamados Principios relativos al Estatuto de las Instituciones Nacionales para la Protección y Promoción de los Derechos Humanos</w:t>
      </w:r>
      <w:r w:rsidR="009557FF" w:rsidRPr="00E72B02">
        <w:t xml:space="preserve"> (INsDH)</w:t>
      </w:r>
      <w:r w:rsidRPr="00E72B02">
        <w:t>, también conocidos como “Principios de París”.</w:t>
      </w:r>
      <w:r w:rsidRPr="00E72B02">
        <w:rPr>
          <w:rStyle w:val="Refdenotaalpie"/>
        </w:rPr>
        <w:footnoteReference w:id="457"/>
      </w:r>
      <w:r w:rsidRPr="00E72B02">
        <w:t xml:space="preserve"> Adoptados por la </w:t>
      </w:r>
      <w:r w:rsidR="009557FF" w:rsidRPr="00E72B02">
        <w:t xml:space="preserve">AG de la ONU </w:t>
      </w:r>
      <w:r w:rsidRPr="00E72B02">
        <w:t>en 1993, los Principios de París se han constituido en la principal fuente de estándares normativos para el establecimiento y funcionamiento de las INsDH.</w:t>
      </w:r>
      <w:r w:rsidRPr="00E72B02">
        <w:rPr>
          <w:rStyle w:val="Refdenotaalpie"/>
        </w:rPr>
        <w:footnoteReference w:id="458"/>
      </w:r>
      <w:r w:rsidRPr="00E72B02">
        <w:t xml:space="preserve"> A pesar de su importancia y aceptación generalizada, los principios tienen un mero carácter recomendatorio y no vinculante. </w:t>
      </w:r>
    </w:p>
    <w:p w:rsidR="00F2036A" w:rsidRPr="00E72B02" w:rsidRDefault="00F2036A" w:rsidP="004551E9">
      <w:r w:rsidRPr="00E72B02">
        <w:t>Los Principios funcionan como directrices, por lo que no especifican el modo en que las instituciones nacionales deben crearse o funcionar.</w:t>
      </w:r>
      <w:r w:rsidRPr="00E72B02">
        <w:rPr>
          <w:rStyle w:val="Refdenotaalpie"/>
        </w:rPr>
        <w:footnoteReference w:id="459"/>
      </w:r>
      <w:r w:rsidRPr="00E72B02">
        <w:t xml:space="preserve"> De este modo, y en relación con el mecanismo previsto en el artículo 33.2, los Principios deben utilizarse como guía de buenas prácticas y no como requisitos legales rígidos. Lo importante del mecanismo establecido a la luz del artículo 33.2 es que tenga las competencias necesarias para ejercer las funciones de seguimiento nacional de un modo eficaz, y que tenga independencia formal y real del ejecutivo, o en un sentido más general, de aquellos a quienes debe supervisar. </w:t>
      </w:r>
    </w:p>
    <w:p w:rsidR="00F2036A" w:rsidRPr="00E72B02" w:rsidRDefault="00F2036A" w:rsidP="004551E9">
      <w:r w:rsidRPr="00E72B02">
        <w:lastRenderedPageBreak/>
        <w:t>El tercer y último elemento central del artículo 33 lo encontramos en su te</w:t>
      </w:r>
      <w:r w:rsidR="007614C6" w:rsidRPr="00E72B02">
        <w:t>rcer párrafo que establece que “…</w:t>
      </w:r>
      <w:r w:rsidRPr="00E72B02">
        <w:t>La sociedad civil, y en particular las personas con discapacidad y las organizaciones que las representan, estarán integradas y participarán plenamente en todos los niveles del proceso de seguimiento</w:t>
      </w:r>
      <w:r w:rsidR="007614C6" w:rsidRPr="00E72B02">
        <w:t>...</w:t>
      </w:r>
      <w:r w:rsidRPr="00E72B02">
        <w:t>.”</w:t>
      </w:r>
      <w:r w:rsidR="007614C6" w:rsidRPr="00E72B02">
        <w:t xml:space="preserve">. </w:t>
      </w:r>
      <w:r w:rsidRPr="00E72B02">
        <w:t>Esta disposición debe ser leída a su vez conjuntamente con el artículo 4(3)</w:t>
      </w:r>
      <w:r w:rsidR="007614C6" w:rsidRPr="00E72B02">
        <w:t xml:space="preserve">. </w:t>
      </w:r>
      <w:r w:rsidRPr="00E72B02">
        <w:t xml:space="preserve"> </w:t>
      </w:r>
    </w:p>
    <w:p w:rsidR="00F2036A" w:rsidRPr="00E72B02" w:rsidRDefault="00121735" w:rsidP="004551E9">
      <w:r>
        <w:t>Como se ha señalado ya, la</w:t>
      </w:r>
      <w:r w:rsidR="00F2036A" w:rsidRPr="00E72B02">
        <w:t xml:space="preserve"> CDPD también marca un cambio fundamental en relación con “</w:t>
      </w:r>
      <w:r w:rsidR="00F2036A" w:rsidRPr="00E72B02">
        <w:rPr>
          <w:i/>
        </w:rPr>
        <w:t>el nada para nosotros sin nosotros</w:t>
      </w:r>
      <w:r w:rsidR="00F2036A" w:rsidRPr="00E72B02">
        <w:t>” ya que ahora el mismo ha pasado a ser una obligación jurídicamente vinculante para los Estados que ratifiquen el texto. En otras palabras, ahora la participación activa de las personas con discapacidad, y en especial de sus organizaciones representativas, en el diseño e implementación de leyes y políticas públicas que directa o indirectamente pueda afectar al sector de la discapacidad, es una obligación jurídica y ya no sólo un imperativo moral.</w:t>
      </w:r>
    </w:p>
    <w:p w:rsidR="00F2036A" w:rsidRPr="00E72B02" w:rsidRDefault="00F2036A" w:rsidP="004551E9">
      <w:r w:rsidRPr="00E72B02">
        <w:rPr>
          <w:rStyle w:val="apple-style-span"/>
          <w:color w:val="000000"/>
          <w:lang w:val="es-ES"/>
        </w:rPr>
        <w:t>Se considera que la gestación del modelo social de la discapacidad pudo haber dado origen a un nuevo movimiento social, esto es, “el movimiento de la discapacidad”.</w:t>
      </w:r>
      <w:r w:rsidRPr="00E72B02">
        <w:rPr>
          <w:rStyle w:val="Refdenotaalpie"/>
          <w:color w:val="000000"/>
        </w:rPr>
        <w:footnoteReference w:id="460"/>
      </w:r>
      <w:r w:rsidRPr="00E72B02">
        <w:rPr>
          <w:rStyle w:val="apple-style-span"/>
          <w:color w:val="000000"/>
          <w:lang w:val="es-ES"/>
        </w:rPr>
        <w:t xml:space="preserve"> Y este movimiento de la discapacidad se caracteriza principalmente por haberse generado “</w:t>
      </w:r>
      <w:r w:rsidRPr="00E72B02">
        <w:rPr>
          <w:rStyle w:val="apple-style-span"/>
          <w:i/>
          <w:color w:val="000000"/>
          <w:lang w:val="es-ES"/>
        </w:rPr>
        <w:t>por</w:t>
      </w:r>
      <w:r w:rsidRPr="00E72B02">
        <w:rPr>
          <w:rStyle w:val="apple-style-span"/>
          <w:color w:val="000000"/>
          <w:lang w:val="es-ES"/>
        </w:rPr>
        <w:t>” y no “</w:t>
      </w:r>
      <w:r w:rsidRPr="00E72B02">
        <w:rPr>
          <w:rStyle w:val="apple-style-span"/>
          <w:i/>
          <w:color w:val="000000"/>
          <w:lang w:val="es-ES"/>
        </w:rPr>
        <w:t>para</w:t>
      </w:r>
      <w:r w:rsidRPr="00E72B02">
        <w:rPr>
          <w:rStyle w:val="apple-style-span"/>
          <w:color w:val="000000"/>
          <w:lang w:val="es-ES"/>
        </w:rPr>
        <w:t>” las personas con discapacidad. Es decir, desde el propio colectivo de las personas con discapacidad que, en muchos casos, cansadas de que sean siempre “</w:t>
      </w:r>
      <w:r w:rsidRPr="00E72B02">
        <w:rPr>
          <w:rStyle w:val="apple-style-span"/>
          <w:i/>
          <w:color w:val="000000"/>
          <w:lang w:val="es-ES"/>
        </w:rPr>
        <w:t>otros</w:t>
      </w:r>
      <w:r w:rsidRPr="00E72B02">
        <w:rPr>
          <w:rStyle w:val="apple-style-span"/>
          <w:color w:val="000000"/>
          <w:lang w:val="es-ES"/>
        </w:rPr>
        <w:t>” los que decidas por “</w:t>
      </w:r>
      <w:r w:rsidRPr="00E72B02">
        <w:rPr>
          <w:rStyle w:val="apple-style-span"/>
          <w:i/>
          <w:color w:val="000000"/>
          <w:lang w:val="es-ES"/>
        </w:rPr>
        <w:t>ellos</w:t>
      </w:r>
      <w:r w:rsidRPr="00E72B02">
        <w:rPr>
          <w:rStyle w:val="apple-style-span"/>
          <w:color w:val="000000"/>
          <w:lang w:val="es-ES"/>
        </w:rPr>
        <w:t xml:space="preserve">” se erigieron como los principales actores del movimiento social, que en un principio, se gestó al margen de los sistemas políticos tradicionales. Este nuevo movimiento de la discapacidad parte del </w:t>
      </w:r>
      <w:r w:rsidRPr="00E72B02">
        <w:rPr>
          <w:rStyle w:val="apple-style-span"/>
          <w:i/>
          <w:color w:val="000000"/>
          <w:lang w:val="es-ES"/>
        </w:rPr>
        <w:t>respeto por la diferencia y la aceptación de las personas con discapacidad como parte de la diversidad y la condición humanas</w:t>
      </w:r>
      <w:r w:rsidRPr="00E72B02">
        <w:rPr>
          <w:rStyle w:val="apple-style-span"/>
          <w:color w:val="000000"/>
          <w:lang w:val="es-ES"/>
        </w:rPr>
        <w:t xml:space="preserve">. Se trata de </w:t>
      </w:r>
      <w:r w:rsidRPr="00E72B02">
        <w:rPr>
          <w:lang w:val="es-ES_tradnl"/>
        </w:rPr>
        <w:t xml:space="preserve">conectar lo personal -o cultural- con el reino de lo político. Así, </w:t>
      </w:r>
      <w:r w:rsidRPr="00E72B02">
        <w:t xml:space="preserve">la politización de las personas con discapacidad tiene sus raíces en la afirmación de que </w:t>
      </w:r>
      <w:r w:rsidRPr="00E72B02">
        <w:rPr>
          <w:i/>
          <w:iCs/>
        </w:rPr>
        <w:t xml:space="preserve">lo </w:t>
      </w:r>
      <w:r w:rsidRPr="00E72B02">
        <w:rPr>
          <w:i/>
          <w:iCs/>
        </w:rPr>
        <w:lastRenderedPageBreak/>
        <w:t>personal es político</w:t>
      </w:r>
      <w:r w:rsidRPr="00E72B02">
        <w:t>, que sus experiencias personales respecto a la denegación de oportunidades no deben ser explicadas mediante sus limitaciones corporales, sino a través de las barreras sociales, ambientales y de actitud, que forman parte de sus vidas cotidianas.</w:t>
      </w:r>
    </w:p>
    <w:p w:rsidR="00F2036A" w:rsidRPr="00E72B02" w:rsidRDefault="00F2036A" w:rsidP="004551E9">
      <w:r w:rsidRPr="00E72B02">
        <w:t>Es preciso entender la historia y la ideología del modelo social y del movimiento de la discapacidad para lograr entender el papel que ha jugado la sociedad civil en la negociación e implementación de la CDPD. No fue sólo la sociedad civil organizada de personas con discapacidad la hizo posible la CDPD, sino también esa relación entre lo personal y lo político que la caracterizó y la hizo fuerte, con total convicción de lo que se estaba demandando.</w:t>
      </w:r>
    </w:p>
    <w:p w:rsidR="00F2036A" w:rsidRPr="00E72B02" w:rsidRDefault="00F2036A" w:rsidP="004551E9">
      <w:r w:rsidRPr="00E72B02">
        <w:t xml:space="preserve">Por ello, no puede pasarse por alto, o relativizar el mandato del inciso 3 del artículo 33 que obliga al Estado a incluir a las propias personas con discapacidad en el proceso de aplicación y seguimiento de la CDPD. E inclusión no es meramente informar sobre lo que se decide, o invitar a un grupo de ONGs de forma presencial, sino inclusión política, con recursos necesarios, y toma de decisiones.  </w:t>
      </w:r>
    </w:p>
    <w:p w:rsidR="00F2036A" w:rsidRPr="00E72B02" w:rsidRDefault="00F2036A" w:rsidP="004551E9"/>
    <w:p w:rsidR="00F2036A" w:rsidRPr="00B14FA4" w:rsidRDefault="00F2036A" w:rsidP="00B14FA4">
      <w:pPr>
        <w:pStyle w:val="TTULO90"/>
      </w:pPr>
      <w:r w:rsidRPr="00B14FA4">
        <w:t>3.8.4 El seguimiento internacional: El Comité de la CDPD</w:t>
      </w:r>
    </w:p>
    <w:p w:rsidR="00F2036A" w:rsidRPr="00E72B02" w:rsidRDefault="00F2036A" w:rsidP="004551E9"/>
    <w:p w:rsidR="00F2036A" w:rsidRPr="00E72B02" w:rsidRDefault="00F2036A" w:rsidP="004551E9">
      <w:r w:rsidRPr="00E72B02">
        <w:t xml:space="preserve">En el ámbito de los derechos humanos “si bien es al Estado a quien compete, en primer lugar, protegerlos derechos de los individuos sometidos a su jurisdicción, dicha competencia la ejerce en tanto que deriva de una obligación general que le viene impuesta por el Derecho Internacional y, por </w:t>
      </w:r>
      <w:r w:rsidRPr="00E72B02">
        <w:lastRenderedPageBreak/>
        <w:t>consiguiente, sometida a control a través de mecanismos internacionales”.</w:t>
      </w:r>
      <w:r w:rsidRPr="00E72B02">
        <w:rPr>
          <w:rStyle w:val="Refdenotaalpie"/>
        </w:rPr>
        <w:footnoteReference w:id="461"/>
      </w:r>
      <w:r w:rsidRPr="00E72B02">
        <w:t xml:space="preserve"> En otras palabras, no sólo compete al derecho internacional, el generar normas internacionales vinculantes para los Estados, sino también, y una vez que las mismas hayan entrado en vigor, controlar el cumplimiento de las mismas. Así surge la noción de “control internacional” que el profesor </w:t>
      </w:r>
      <w:r w:rsidRPr="00E72B02">
        <w:rPr>
          <w:caps/>
        </w:rPr>
        <w:t>Mariño</w:t>
      </w:r>
      <w:r w:rsidRPr="00E72B02">
        <w:t xml:space="preserve"> caracteriza como el “conjunto de procedimientos y técnicas destinados a verificar si el comportamiento de los Estados se adecúa o no a lo exigido por normas de conducta internacionales, que son por lo general normas jurídicamente obligatorias establecidas por tratados internacionales”.</w:t>
      </w:r>
      <w:r w:rsidRPr="00E72B02">
        <w:rPr>
          <w:rStyle w:val="Refdenotaalpie"/>
        </w:rPr>
        <w:footnoteReference w:id="462"/>
      </w:r>
      <w:r w:rsidRPr="00E72B02">
        <w:t xml:space="preserve"> Esta noción de control internacional también ha sido definida en diferentes textos internacionales como “seguimiento”, “supervisión, “vigilancia”, o “monitoreo”. Todos estos conceptos suelen tener la mismas finalidad, es decir verificar si una conducta estatal se adecúa a una norma internacional.</w:t>
      </w:r>
    </w:p>
    <w:p w:rsidR="00F2036A" w:rsidRPr="00E72B02" w:rsidRDefault="00F2036A" w:rsidP="004551E9">
      <w:r w:rsidRPr="00E72B02">
        <w:t xml:space="preserve">La cuestión relativa al seguimiento nacional e internacional fue objeto de intensos debates durante el proceso de negociación </w:t>
      </w:r>
      <w:r w:rsidRPr="00E72B02">
        <w:rPr>
          <w:rFonts w:eastAsia="Calibri"/>
        </w:rPr>
        <w:t xml:space="preserve">tanto por parte de las delegaciones nacionales, como, y especialmente, por los representantes de la </w:t>
      </w:r>
      <w:r w:rsidRPr="00E72B02">
        <w:rPr>
          <w:rFonts w:eastAsia="Calibri"/>
        </w:rPr>
        <w:lastRenderedPageBreak/>
        <w:t>sociedad civil.</w:t>
      </w:r>
      <w:r w:rsidRPr="00E72B02">
        <w:rPr>
          <w:rStyle w:val="Refdenotaalpie"/>
          <w:rFonts w:eastAsia="Calibri"/>
        </w:rPr>
        <w:footnoteReference w:id="463"/>
      </w:r>
      <w:r w:rsidRPr="00E72B02">
        <w:t xml:space="preserve"> Estos últimos manifestaron mayoritariamente su firme deseo de lograr establecer en el cuerpo del texto un sistema de aplicación y seguimiento acorde a las necesidades actuales, de modo de evitar las falencias evidentes del sistema general de supervisión existente en el marco de los Tratados de derechos humanos. </w:t>
      </w:r>
    </w:p>
    <w:p w:rsidR="00F2036A" w:rsidRPr="00E72B02" w:rsidRDefault="00F2036A" w:rsidP="004551E9">
      <w:r w:rsidRPr="00E72B02">
        <w:t xml:space="preserve">Simultáneamente al proceso negociador de la Convención, las Naciones Unidas en general, y el sistema de supervisión de Tratados de derechos humanos en particular, se encontraban inmersos en un importante proceso de reforma institucional. Ello motivó que las Delegaciones reflexionaran sobre la pertinencia de establecer un nuevo Comité cuando se hablaba de la creación de un órgano unificado y fuerte para la supervisión de todos los Tratados. La falta de certeza sobre la creación del mencionado órgano unificado, sumado al tiempo en el que se vislumbraba un posible resultado, impulsó a las Delegaciones a optar por el establecimiento de un Comité especializado.  </w:t>
      </w:r>
    </w:p>
    <w:p w:rsidR="00F2036A" w:rsidRPr="00E72B02" w:rsidRDefault="00F2036A" w:rsidP="004551E9">
      <w:r w:rsidRPr="00E72B02">
        <w:t>El entusiasmo inicial de muchas Delegaciones y de los representantes de la sociedad civil sobre la posibilidad de establecer un mecanismo de base convencional eficaz y con amplias funciones, como emitir recomendaciones sin necesidad de analizar previamente los informes de los Estados Parte, o recibir denuncias individuales, fue poco a poco perdiendo fuerza a medida que las negociaciones avanzaban hacia un texto consolidado. Así, de la idea de establecer una especie de “Super-Comité” se pasó en los últimos momentos previos a la adopción final del texto, a poner en tela de juicio incluso la misma necesidad de contar con un órgano especializado.</w:t>
      </w:r>
      <w:r w:rsidRPr="00E72B02">
        <w:rPr>
          <w:rStyle w:val="Refdenotaalpie"/>
        </w:rPr>
        <w:footnoteReference w:id="464"/>
      </w:r>
      <w:r w:rsidRPr="00E72B02">
        <w:t xml:space="preserve"> </w:t>
      </w:r>
    </w:p>
    <w:p w:rsidR="00F2036A" w:rsidRPr="00E72B02" w:rsidRDefault="00F2036A" w:rsidP="004551E9">
      <w:r w:rsidRPr="00E72B02">
        <w:lastRenderedPageBreak/>
        <w:t>El tema de la supervisión recibió un importante tratamiento en la recta final de las negociaciones, destacándose en dicho proceso las contribuciones de la Delegación de México</w:t>
      </w:r>
      <w:r w:rsidRPr="00E72B02">
        <w:rPr>
          <w:rStyle w:val="Refdenotaalpie"/>
        </w:rPr>
        <w:footnoteReference w:id="465"/>
      </w:r>
      <w:r w:rsidRPr="00E72B02">
        <w:t xml:space="preserve"> como facilitador por un lado, y de </w:t>
      </w:r>
      <w:r w:rsidRPr="00E72B02">
        <w:rPr>
          <w:bCs/>
          <w:noProof/>
          <w:lang w:val="es-ES_tradnl"/>
        </w:rPr>
        <w:t xml:space="preserve">la </w:t>
      </w:r>
      <w:r w:rsidRPr="00E72B02">
        <w:rPr>
          <w:noProof/>
          <w:lang w:val="es-ES_tradnl"/>
        </w:rPr>
        <w:t>Oficina del Alto Comisionado de las Naciones Unidas para los Derechos Humanos por otro. Este último órgano preparó dos importanes documentos sobre supervisión que presentó en las, (Q</w:t>
      </w:r>
      <w:r w:rsidRPr="00E72B02">
        <w:rPr>
          <w:lang w:val="es-ES_tradnl"/>
        </w:rPr>
        <w:t>uinta</w:t>
      </w:r>
      <w:r w:rsidRPr="00E72B02">
        <w:t xml:space="preserve"> y Séptima), reuniones de trabajo del Comité Especial, respectivamente.</w:t>
      </w:r>
      <w:r w:rsidRPr="00E72B02">
        <w:rPr>
          <w:rStyle w:val="Refdenotaalpie"/>
        </w:rPr>
        <w:footnoteReference w:id="466"/>
      </w:r>
    </w:p>
    <w:p w:rsidR="00F2036A" w:rsidRPr="00E72B02" w:rsidRDefault="00F2036A" w:rsidP="004551E9">
      <w:r w:rsidRPr="00E72B02">
        <w:t>Finalmente, y al igual que el resto de tratados de derechos humanos, la CDPD establece un Comité sobre los Derechos de las Personas con Discapacidad (artículo 34.1), compuesto de 12 miembros expertos e independientes (extensible a 18 una vez alcanzada la 60ª ratificación), y elegidos por los Estados Parte, sobre la base de una distribución geográfica equitativa, la representación de las diferentes formas de civilización y los principales ordenamientos jurídicos, una representación de género equilibrada y la participación de expertos con discapacidad.</w:t>
      </w:r>
      <w:r w:rsidRPr="00E72B02">
        <w:rPr>
          <w:rStyle w:val="Refdenotaalpie"/>
          <w:lang w:val="es-ES"/>
        </w:rPr>
        <w:footnoteReference w:id="467"/>
      </w:r>
      <w:r w:rsidRPr="00E72B02">
        <w:t xml:space="preserve">  </w:t>
      </w:r>
    </w:p>
    <w:p w:rsidR="00F2036A" w:rsidRPr="00E72B02" w:rsidRDefault="00F2036A" w:rsidP="004551E9">
      <w:r w:rsidRPr="00E72B02">
        <w:lastRenderedPageBreak/>
        <w:t xml:space="preserve">Por su parte, los Estados que hayan ratificado </w:t>
      </w:r>
      <w:smartTag w:uri="urn:schemas-microsoft-com:office:smarttags" w:element="PersonName">
        <w:smartTagPr>
          <w:attr w:name="ProductID" w:val="la Convenci￳n"/>
        </w:smartTagPr>
        <w:r w:rsidRPr="00E72B02">
          <w:t>la Convención</w:t>
        </w:r>
      </w:smartTag>
      <w:r w:rsidRPr="00E72B02">
        <w:t xml:space="preserve"> deberán presentar un primer informe exhaustivo sobre las medidas que hayan adoptado para cumplir sus obligaciones recogidas en las disposiciones de </w:t>
      </w:r>
      <w:smartTag w:uri="urn:schemas-microsoft-com:office:smarttags" w:element="PersonName">
        <w:smartTagPr>
          <w:attr w:name="ProductID" w:val="la Convenci￳n"/>
        </w:smartTagPr>
        <w:r w:rsidRPr="00E72B02">
          <w:t>la Convención</w:t>
        </w:r>
      </w:smartTag>
      <w:r w:rsidRPr="00E72B02">
        <w:t xml:space="preserve">, así como sobre los progresos realizados al respecto en el plazo de dos años contado a partir de la entrada en vigor del texto. Con posterioridad a dicho plazo, </w:t>
      </w:r>
      <w:r w:rsidRPr="00E72B02">
        <w:rPr>
          <w:spacing w:val="2"/>
        </w:rPr>
        <w:t>los Estados Partes deberán presentar informes ulteriores</w:t>
      </w:r>
      <w:r w:rsidRPr="00E72B02">
        <w:t xml:space="preserve"> al menos cada cuatro años y en las demás ocasiones en que el Comité se lo solicite (art.35.1-2).</w:t>
      </w:r>
      <w:r w:rsidRPr="00E72B02">
        <w:rPr>
          <w:rStyle w:val="Refdenotaalpie"/>
          <w:lang w:val="es-ES"/>
        </w:rPr>
        <w:footnoteReference w:id="468"/>
      </w:r>
    </w:p>
    <w:p w:rsidR="00F2036A" w:rsidRPr="00E72B02" w:rsidRDefault="00F2036A" w:rsidP="004551E9">
      <w:r w:rsidRPr="00E72B02">
        <w:t>En cuanto al contenido de los informes, y si perjuicio de las Directrices adoptadas por el Comité,</w:t>
      </w:r>
      <w:r w:rsidRPr="00E72B02">
        <w:rPr>
          <w:rStyle w:val="Refdenotaalpie"/>
          <w:lang w:val="es-ES"/>
        </w:rPr>
        <w:footnoteReference w:id="469"/>
      </w:r>
      <w:r w:rsidRPr="00E72B02">
        <w:t xml:space="preserve"> la CDPD invita a los Estados Partes a que, cuando preparen informes para el Comité, lo hagan mediante un procedimiento abierto y transparente y tengan en cuenta debidamente lo dispuesto en el párrafo 3 del artículo 4 (art.35.3-4); es decir, la obligación de los Estados Partes de celebrar consultas estrechas y en colaboración activa con las personas con discapacidad, incluidos los niños y las niñas con discapacidad, a través de las organizaciones que las representan. </w:t>
      </w:r>
    </w:p>
    <w:p w:rsidR="00F2036A" w:rsidRPr="00E72B02" w:rsidRDefault="00F2036A" w:rsidP="004551E9">
      <w:r w:rsidRPr="00E72B02">
        <w:t xml:space="preserve">Con la presentación del informe por el </w:t>
      </w:r>
      <w:r w:rsidR="0074119B" w:rsidRPr="00E72B02">
        <w:t>Estado Parte</w:t>
      </w:r>
      <w:r w:rsidRPr="00E72B02">
        <w:t xml:space="preserve">, se inicia un proceso de diálogo entre el Comité y el respectivo Estado, que puede suponer los siguiente pasos. En primer lugar, es obligación convencional para cada </w:t>
      </w:r>
      <w:r w:rsidR="0074119B" w:rsidRPr="00E72B02">
        <w:t>Estado Parte</w:t>
      </w:r>
      <w:r w:rsidRPr="00E72B02">
        <w:t xml:space="preserve"> presentar el informe, el cual deberá ser considerado por parte del Comité pudiendo emitir las sugerencias y recomendaciones que estime pertinentes las cuales, deberá notificar inmediatamente al Estado en cuestión. En este punto, el Estado podrá responder al Comité enviándole </w:t>
      </w:r>
      <w:r w:rsidRPr="00E72B02">
        <w:lastRenderedPageBreak/>
        <w:t>cualquier información que estime oportuna. Finalmente, el Comité podrá solicitar a los Estados Partes más información con respecto a la aplicación de las disposiciones recogidas en la CDPD (art.36.1)</w:t>
      </w:r>
    </w:p>
    <w:p w:rsidR="00F2036A" w:rsidRPr="00E72B02" w:rsidRDefault="00F2036A" w:rsidP="004551E9">
      <w:r w:rsidRPr="00E72B02">
        <w:t xml:space="preserve">Pero asimismo, la CDPD recoge una disposición que tiene como principal objetivo dar una respuesta a una situación, a menudo muy usual en los Estados Parte, esto es, la demora considerable en la presentación de los informes. Si no hay informe, en principio, no puede haber sugerencias y recomendaciones. Por ello, el apartado 2º del artículo 36 contempla la posibilidad de que, ante una considerable demora de un </w:t>
      </w:r>
      <w:r w:rsidR="0074119B" w:rsidRPr="00E72B02">
        <w:t>Estado Parte</w:t>
      </w:r>
      <w:r w:rsidRPr="00E72B02">
        <w:t xml:space="preserve"> en la presentación del informe, el Comité pueda notificarle a dicho Estado la necesidad de examinar la aplicación de </w:t>
      </w:r>
      <w:smartTag w:uri="urn:schemas-microsoft-com:office:smarttags" w:element="PersonName">
        <w:smartTagPr>
          <w:attr w:name="ProductID" w:val="la Convenci￳n"/>
        </w:smartTagPr>
        <w:r w:rsidRPr="00E72B02">
          <w:t>la Convención</w:t>
        </w:r>
      </w:smartTag>
      <w:r w:rsidRPr="00E72B02">
        <w:t xml:space="preserve">, sobre la base de información fiable que se ponga a disposición del propio Comité, siempre y cuando el informe pertinente no se presente en un plazo de tres meses desde la notificación.   </w:t>
      </w:r>
    </w:p>
    <w:p w:rsidR="00F2036A" w:rsidRPr="00E72B02" w:rsidRDefault="00F2036A" w:rsidP="004551E9">
      <w:r w:rsidRPr="00E72B02">
        <w:t>Los informes deben tener un carácter primordialmente públicos, de modo que permita a los otros Estados Parte conocer la situación que se recoge en el respectivo documento.  Asimismo, cada Estado debe procurar dar la mayor publicidad posible dentro de su ámbito nacional, tanto a los informes propiamente dichos, como respecto de las sugerencias y recomendaciones señaladas por el Comité (art.36.5).</w:t>
      </w:r>
    </w:p>
    <w:p w:rsidR="00F2036A" w:rsidRPr="00E72B02" w:rsidRDefault="00F2036A" w:rsidP="004551E9">
      <w:r w:rsidRPr="00E72B02">
        <w:t xml:space="preserve">La efectiva implementación y supervisión de las disposiciones contenidas en la CDPD dependen en gran medida de la cooperación tanto entre los </w:t>
      </w:r>
      <w:r w:rsidR="0074119B" w:rsidRPr="00E72B02">
        <w:t>Estado Parte</w:t>
      </w:r>
      <w:r w:rsidRPr="00E72B02">
        <w:t xml:space="preserve"> y el propio Comité (art.37), como entre el Comité y otros órganos especializados de Naciones Unidas (art.38), así como con relación a otros órganos pertinentes instituidos en virtud de Tratados internacionales de derechos humanos. </w:t>
      </w:r>
    </w:p>
    <w:p w:rsidR="00F2036A" w:rsidRPr="00E72B02" w:rsidRDefault="00F2036A" w:rsidP="004551E9">
      <w:r w:rsidRPr="00E72B02">
        <w:t xml:space="preserve">Asimismo, el Comité podrá hacer sugerencias y recomendaciones de carácter general, basadas en el examen de los informes y datos recibidos de los Estados Partes en </w:t>
      </w:r>
      <w:smartTag w:uri="urn:schemas-microsoft-com:office:smarttags" w:element="PersonName">
        <w:smartTagPr>
          <w:attr w:name="ProductID" w:val="la Convenci￳n"/>
        </w:smartTagPr>
        <w:r w:rsidRPr="00E72B02">
          <w:t>la Convención</w:t>
        </w:r>
      </w:smartTag>
      <w:r w:rsidRPr="00E72B02">
        <w:t xml:space="preserve">, las cuales se incluirán en el informe </w:t>
      </w:r>
      <w:r w:rsidRPr="00E72B02">
        <w:lastRenderedPageBreak/>
        <w:t xml:space="preserve">sobre sus actividades que el Comité deberá presentar cada dos años a </w:t>
      </w:r>
      <w:smartTag w:uri="urn:schemas-microsoft-com:office:smarttags" w:element="PersonName">
        <w:smartTagPr>
          <w:attr w:name="ProductID" w:val="la Asamblea General"/>
        </w:smartTagPr>
        <w:r w:rsidRPr="00E72B02">
          <w:t>la Asamblea General</w:t>
        </w:r>
      </w:smartTag>
      <w:r w:rsidRPr="00E72B02">
        <w:t xml:space="preserve"> y al Consejo Económico y Social. </w:t>
      </w:r>
    </w:p>
    <w:p w:rsidR="00F2036A" w:rsidRPr="00E72B02" w:rsidRDefault="00F2036A" w:rsidP="004551E9">
      <w:r w:rsidRPr="00E72B02">
        <w:t xml:space="preserve">Finalmente, el Comité podrá emitir “comentarios generales” que tienen un importante valor al momento de clarificar o interpretar aspectos poco claros de las obligaciones recogidas en </w:t>
      </w:r>
      <w:smartTag w:uri="urn:schemas-microsoft-com:office:smarttags" w:element="PersonName">
        <w:smartTagPr>
          <w:attr w:name="ProductID" w:val="la Convenci￳n."/>
        </w:smartTagPr>
        <w:r w:rsidRPr="00E72B02">
          <w:t>la Convención.</w:t>
        </w:r>
      </w:smartTag>
      <w:r w:rsidRPr="00E72B02">
        <w:t xml:space="preserve"> </w:t>
      </w:r>
      <w:r w:rsidRPr="00E72B02">
        <w:rPr>
          <w:rStyle w:val="Refdenotaalpie"/>
          <w:lang w:val="es-ES"/>
        </w:rPr>
        <w:footnoteReference w:id="470"/>
      </w:r>
    </w:p>
    <w:p w:rsidR="00F2036A" w:rsidRPr="00E72B02" w:rsidRDefault="00F2036A" w:rsidP="004551E9">
      <w:r w:rsidRPr="00E72B02">
        <w:t xml:space="preserve">En cuanto a la posibilidad de analizar reclamaciones individuales, aunque no se logró, como pretendían en su gran mayoría los representantes de la sociedad civil, el reconocimiento de la competencia del Comité para considerar denuncias de particulares en el propio Texto de la CDPD, se adoptó de modo adicional al Convenio principal un Protocolo Facultativo. El artículo 1.1 de dicho Protocolo reconoce la competencia del Comité para recibir y considerar las comunicaciones presentadas por personas o grupos de personas sujetos a su jurisdicción que aleguen ser víctimas de una violación por ese </w:t>
      </w:r>
      <w:r w:rsidR="0074119B" w:rsidRPr="00E72B02">
        <w:t>Estado Parte</w:t>
      </w:r>
      <w:r w:rsidRPr="00E72B02">
        <w:t xml:space="preserve"> de cualquiera de las disposiciones de </w:t>
      </w:r>
      <w:smartTag w:uri="urn:schemas-microsoft-com:office:smarttags" w:element="PersonName">
        <w:smartTagPr>
          <w:attr w:name="ProductID" w:val="la Convenci￳n"/>
        </w:smartTagPr>
        <w:r w:rsidRPr="00E72B02">
          <w:t>la Convención</w:t>
        </w:r>
      </w:smartTag>
      <w:r w:rsidRPr="00E72B02">
        <w:t>, o en nombre de esas personas o grupos de personas.</w:t>
      </w:r>
    </w:p>
    <w:p w:rsidR="00F2036A" w:rsidRPr="00E72B02" w:rsidRDefault="00F2036A" w:rsidP="004551E9">
      <w:r w:rsidRPr="00E72B02">
        <w:t xml:space="preserve">Pese a su carácter anexo al Convenio principal, el Protocolo constituye en sí mismo un Tratado internacional independiente, por lo que requiere de una ratificación propia para vincular a un </w:t>
      </w:r>
      <w:r w:rsidR="0074119B" w:rsidRPr="00E72B02">
        <w:t>Estado Parte</w:t>
      </w:r>
      <w:r w:rsidRPr="00E72B02">
        <w:t xml:space="preserve">. Por ello, el Comité no podrá recibir comunicación alguna que concierna a un </w:t>
      </w:r>
      <w:r w:rsidR="0074119B" w:rsidRPr="00E72B02">
        <w:t>Estado Parte</w:t>
      </w:r>
      <w:r w:rsidRPr="00E72B02">
        <w:t xml:space="preserve"> en </w:t>
      </w:r>
      <w:smartTag w:uri="urn:schemas-microsoft-com:office:smarttags" w:element="PersonName">
        <w:smartTagPr>
          <w:attr w:name="ProductID" w:val="la Convenci￳n"/>
        </w:smartTagPr>
        <w:r w:rsidRPr="00E72B02">
          <w:t>la Convención</w:t>
        </w:r>
      </w:smartTag>
      <w:r w:rsidRPr="00E72B02">
        <w:t xml:space="preserve"> que no sea parte a su vez del Protocolo (art.1.2) </w:t>
      </w:r>
    </w:p>
    <w:p w:rsidR="00F2036A" w:rsidRPr="00E72B02" w:rsidRDefault="00F2036A" w:rsidP="004551E9">
      <w:r w:rsidRPr="00E72B02">
        <w:t>Con la denuncia particular (el texto habla de comunicaciones),</w:t>
      </w:r>
      <w:r w:rsidRPr="00E72B02">
        <w:rPr>
          <w:rStyle w:val="Refdenotaalpie"/>
          <w:rFonts w:eastAsia="Calibri"/>
          <w:lang w:val="es-ES"/>
        </w:rPr>
        <w:footnoteReference w:id="471"/>
      </w:r>
      <w:r w:rsidRPr="00E72B02">
        <w:t xml:space="preserve"> y siempre que la misma no se encuentre dentro de las causales de inadmisibilidad del </w:t>
      </w:r>
      <w:r w:rsidRPr="00E72B02">
        <w:lastRenderedPageBreak/>
        <w:t>artículo 2º,</w:t>
      </w:r>
      <w:r w:rsidRPr="00E72B02">
        <w:rPr>
          <w:rStyle w:val="Refdenotaalpie"/>
          <w:rFonts w:eastAsia="Calibri"/>
        </w:rPr>
        <w:footnoteReference w:id="472"/>
      </w:r>
      <w:r w:rsidRPr="00E72B02">
        <w:t xml:space="preserve"> se inicia un procedimiento que, según sea el caso, puede tomar diferentes rumbos. Como primer paso, el Comité debe poner en conocimiento al Estado denunciado, de forma confidencial, toda comunicación que recibida. A partir de entonces, y dentro de un plazo de seis meses, ese </w:t>
      </w:r>
      <w:r w:rsidR="0074119B" w:rsidRPr="00E72B02">
        <w:t>Estado Parte</w:t>
      </w:r>
      <w:r w:rsidRPr="00E72B02">
        <w:t xml:space="preserve"> deberá presentar al Comité por escrito explicaciones o declaraciones en las que se aclare la cuestión y se indiquen las medidas correctivas que hubiere adoptado dicho Estado, de haberlas.    </w:t>
      </w:r>
    </w:p>
    <w:p w:rsidR="00F2036A" w:rsidRPr="00E72B02" w:rsidRDefault="00F2036A" w:rsidP="004551E9">
      <w:r w:rsidRPr="00E72B02">
        <w:t xml:space="preserve">Mientras tanto, el Comité examinará en sesiones privadas las comunicaciones que reciba, haciendo llegar sus sugerencias y recomendaciones, si las hubiere, al </w:t>
      </w:r>
      <w:r w:rsidR="0074119B" w:rsidRPr="00E72B02">
        <w:t>Estado Parte</w:t>
      </w:r>
      <w:r w:rsidRPr="00E72B02">
        <w:t xml:space="preserve"> interesado y al comunicante (art.5). Si la situación lo demanda, el Comité podrá, antes de llegar a una conclusión sobre el fondo de una comunicación, remitir en cualquier momento al </w:t>
      </w:r>
      <w:r w:rsidR="0074119B" w:rsidRPr="00E72B02">
        <w:t>Estado Parte</w:t>
      </w:r>
      <w:r w:rsidRPr="00E72B02">
        <w:t xml:space="preserve"> interesado, a los fines de su examen urgente, una solicitud para que adopte las medidas provisionales necesarias a fin de evitar posibles daños irreparables a la víctima o las víctimas de la supuesta violación (art.4).</w:t>
      </w:r>
      <w:r w:rsidRPr="00E72B02">
        <w:rPr>
          <w:rStyle w:val="Refdenotaalpie"/>
          <w:rFonts w:eastAsia="Calibri"/>
          <w:lang w:val="es-ES"/>
        </w:rPr>
        <w:footnoteReference w:id="473"/>
      </w:r>
      <w:r w:rsidRPr="00E72B02">
        <w:t xml:space="preserve"> </w:t>
      </w:r>
    </w:p>
    <w:p w:rsidR="00F2036A" w:rsidRPr="00E72B02" w:rsidRDefault="00F2036A" w:rsidP="004551E9">
      <w:r w:rsidRPr="00E72B02">
        <w:lastRenderedPageBreak/>
        <w:t xml:space="preserve">Particular mención merece lo establecido en el artículo 6 respecto de aquellos casos en los que exista información fidedigna que revele violaciones graves o sistemáticas, por un </w:t>
      </w:r>
      <w:r w:rsidR="0074119B" w:rsidRPr="00E72B02">
        <w:t>Estado Parte</w:t>
      </w:r>
      <w:r w:rsidRPr="00E72B02">
        <w:t xml:space="preserve">, de los derechos recogidos en </w:t>
      </w:r>
      <w:smartTag w:uri="urn:schemas-microsoft-com:office:smarttags" w:element="PersonName">
        <w:smartTagPr>
          <w:attr w:name="ProductID" w:val="la Convenci￳n. En"/>
        </w:smartTagPr>
        <w:r w:rsidRPr="00E72B02">
          <w:t>la Convención. En</w:t>
        </w:r>
      </w:smartTag>
      <w:r w:rsidRPr="00E72B02">
        <w:t xml:space="preserve"> dicha ocasión, el Comité se encuentra facultado, tras considerar las observaciones que haya presentado el </w:t>
      </w:r>
      <w:r w:rsidR="0074119B" w:rsidRPr="00E72B02">
        <w:t>Estado Parte</w:t>
      </w:r>
      <w:r w:rsidRPr="00E72B02">
        <w:t xml:space="preserve"> interesado, así como toda información fidedigna que esté a su disposición, para encargar a uno o más de sus miembros una investigación confidencial que si cuenta con el consentimiento del Estado en cuestión, puede incluir una visita a su territorio, presentando como corolario y con carácter urgente, un informe al Comité. Examinadas las conclusiones de la investigación, el Comité trasmite las mismas al </w:t>
      </w:r>
      <w:r w:rsidR="0074119B" w:rsidRPr="00E72B02">
        <w:t>Estado Parte</w:t>
      </w:r>
      <w:r w:rsidRPr="00E72B02">
        <w:t xml:space="preserve"> interesado, junto con las observaciones y recomendaciones que estime oportunas, abriéndose, a partir de entonces, un plazo de seis meses en el que el </w:t>
      </w:r>
      <w:r w:rsidR="0074119B" w:rsidRPr="00E72B02">
        <w:t>Estado Parte</w:t>
      </w:r>
      <w:r w:rsidRPr="00E72B02">
        <w:t xml:space="preserve"> interesado deberá presentar sus propias observaciones al Comité. </w:t>
      </w:r>
    </w:p>
    <w:p w:rsidR="00F2036A" w:rsidRPr="00E72B02" w:rsidRDefault="00F2036A" w:rsidP="004551E9">
      <w:r w:rsidRPr="00E72B02">
        <w:t xml:space="preserve">Con relación a lo anterior, el artículo 7 faculta al Comité, una vez transcurrido el plazo de seis meses señalado anteriormente, a invitar al </w:t>
      </w:r>
      <w:r w:rsidR="0074119B" w:rsidRPr="00E72B02">
        <w:t>Estado Parte</w:t>
      </w:r>
      <w:r w:rsidRPr="00E72B02">
        <w:t xml:space="preserve"> interesado a que le informe sobre cualquier medida adoptada como resultado de la investigación, así como que incluya en el informe establecido en el artículo 35 de </w:t>
      </w:r>
      <w:smartTag w:uri="urn:schemas-microsoft-com:office:smarttags" w:element="PersonName">
        <w:smartTagPr>
          <w:attr w:name="ProductID" w:val="la Convenci￳n"/>
        </w:smartTagPr>
        <w:r w:rsidRPr="00E72B02">
          <w:t>la Convención</w:t>
        </w:r>
      </w:smartTag>
      <w:r w:rsidRPr="00E72B02">
        <w:t xml:space="preserve">, los pormenores sobre cualesquiera medidas que hubiere adoptado en respuesta a una investigación. </w:t>
      </w:r>
    </w:p>
    <w:p w:rsidR="00F2036A" w:rsidRPr="00E72B02" w:rsidRDefault="00F2036A" w:rsidP="004551E9"/>
    <w:p w:rsidR="00F2036A" w:rsidRPr="00C00CC8" w:rsidRDefault="00F2036A" w:rsidP="00C00CC8">
      <w:pPr>
        <w:pStyle w:val="TITULO9"/>
        <w:jc w:val="both"/>
        <w:rPr>
          <w:b w:val="0"/>
          <w:bCs w:val="0"/>
          <w:sz w:val="24"/>
        </w:rPr>
      </w:pPr>
      <w:r w:rsidRPr="00C00CC8">
        <w:rPr>
          <w:b w:val="0"/>
          <w:bCs w:val="0"/>
          <w:sz w:val="24"/>
        </w:rPr>
        <w:lastRenderedPageBreak/>
        <w:t>3.8.5 La Conferencia de Estados Partes</w:t>
      </w:r>
    </w:p>
    <w:p w:rsidR="00F2036A" w:rsidRPr="00E72B02" w:rsidRDefault="00F2036A" w:rsidP="004551E9"/>
    <w:p w:rsidR="00F2036A" w:rsidRPr="00E72B02" w:rsidRDefault="00F2036A" w:rsidP="004551E9">
      <w:r w:rsidRPr="00E72B02">
        <w:rPr>
          <w:rFonts w:eastAsia="Calibri"/>
        </w:rPr>
        <w:t>Finalmente el Artículo 40 de la CDPD denominado “Conferencia de los Estados Partes</w:t>
      </w:r>
      <w:r w:rsidR="007614C6" w:rsidRPr="00E72B02">
        <w:rPr>
          <w:rFonts w:eastAsia="Calibri"/>
        </w:rPr>
        <w:t>” establece que “…</w:t>
      </w:r>
      <w:r w:rsidRPr="00E72B02">
        <w:t>Los Estados Partes se reunirán periódicamente en una Conferencia de los Estados Partes, a fin de considerar todo asunto relativo a la aplicación de la presente Convención</w:t>
      </w:r>
      <w:r w:rsidR="007614C6" w:rsidRPr="00E72B02">
        <w:t>…” y que “…</w:t>
      </w:r>
      <w:r w:rsidRPr="00E72B02">
        <w:t>El Secretario General de las Naciones Unidas convocará la Conferencia de los Estados Partes en un plazo que no superará los seis meses contados a partir de la entrada en vigor de la presente Convención. Las reuniones ulteriores, con periodicidad bienal o cuando lo decida la Conferencia de los Estados Partes, serán convocadas por el Secretario General de las Naciones Unidas</w:t>
      </w:r>
      <w:r w:rsidR="007614C6" w:rsidRPr="00E72B02">
        <w:t>…”</w:t>
      </w:r>
    </w:p>
    <w:p w:rsidR="00F2036A" w:rsidRPr="00E72B02" w:rsidRDefault="00F2036A" w:rsidP="004551E9">
      <w:r w:rsidRPr="00E72B02">
        <w:t>La celebración de las diferentes reuniones de la Conferencia de Estados Partes (CEP) he demostrado la importancia y utilidad de este tipo de mecanismo internacional de seguimiento de la CDPD. Aunque en rigor no se trata de un Órgano Internacional de seguimiento, la modalidad de trabajo y la representatividad que confiere la presencia de las delegaciones diplomáticas de los Estados Partes y de miembros de la sociedad civil, confiere a la CEP una importante legitimidad para adoptar medidas internacionales tendentes a considerar cuestiones relativas a la aplicación de la CDPD a nivel nacional e internacional.</w:t>
      </w:r>
      <w:r w:rsidRPr="00E72B02">
        <w:rPr>
          <w:rStyle w:val="Refdenotaalpie"/>
          <w:lang w:val="es-ES"/>
        </w:rPr>
        <w:footnoteReference w:id="474"/>
      </w:r>
      <w:r w:rsidRPr="00E72B02">
        <w:t xml:space="preserve"> Más allá de la nominación y elección de los miembros del Comité de la CDPD, la CEP ha servido como medio para el debate y la discusión de cuestiones tales como: la relación de la CDPD y las Metas del Milenio para el Desarrollo;</w:t>
      </w:r>
      <w:r w:rsidRPr="00E72B02">
        <w:rPr>
          <w:rStyle w:val="Refdenotaalpie"/>
          <w:lang w:val="es-ES"/>
        </w:rPr>
        <w:footnoteReference w:id="475"/>
      </w:r>
      <w:r w:rsidRPr="00E72B02">
        <w:t xml:space="preserve"> accesibilidad y </w:t>
      </w:r>
      <w:r w:rsidRPr="00E72B02">
        <w:lastRenderedPageBreak/>
        <w:t>ajustes razonables; igualdad ante la ley, acceso a la justicia y toma de decisiones con apoyos;</w:t>
      </w:r>
      <w:r w:rsidRPr="00E72B02">
        <w:rPr>
          <w:rStyle w:val="Refdenotaalpie"/>
          <w:lang w:val="es-ES"/>
        </w:rPr>
        <w:footnoteReference w:id="476"/>
      </w:r>
      <w:r w:rsidRPr="00E72B02">
        <w:t xml:space="preserve"> inclusión y vida en la comunidad, inclusión de derecho a la educación, implementación de la CDPD por el sistema de la ONU;</w:t>
      </w:r>
      <w:r w:rsidRPr="00E72B02">
        <w:rPr>
          <w:rStyle w:val="Refdenotaalpie"/>
          <w:lang w:val="es-ES"/>
        </w:rPr>
        <w:footnoteReference w:id="477"/>
      </w:r>
      <w:r w:rsidRPr="00E72B02">
        <w:t xml:space="preserve"> cooperación internacional, participación en la vida política y pública;</w:t>
      </w:r>
      <w:r w:rsidRPr="00E72B02">
        <w:rPr>
          <w:rStyle w:val="Refdenotaalpie"/>
          <w:lang w:val="es-ES"/>
        </w:rPr>
        <w:footnoteReference w:id="478"/>
      </w:r>
      <w:r w:rsidRPr="00E72B02">
        <w:t xml:space="preserve"> accesibilidad y tecnología, niños y niñas con discapacidad, mujeres con discapacidad</w:t>
      </w:r>
      <w:r w:rsidR="00F14459" w:rsidRPr="00E72B02">
        <w:t>,</w:t>
      </w:r>
      <w:r w:rsidRPr="00E72B02">
        <w:rPr>
          <w:rStyle w:val="Refdenotaalpie"/>
          <w:lang w:val="es-ES"/>
        </w:rPr>
        <w:footnoteReference w:id="479"/>
      </w:r>
      <w:r w:rsidR="00F14459" w:rsidRPr="00E72B02">
        <w:t xml:space="preserve"> y garantía de un nivel de vida adecuado.</w:t>
      </w:r>
      <w:r w:rsidR="00F14459" w:rsidRPr="00E72B02">
        <w:rPr>
          <w:rStyle w:val="Refdenotaalpie"/>
          <w:lang w:val="es-ES"/>
        </w:rPr>
        <w:footnoteReference w:id="480"/>
      </w:r>
    </w:p>
    <w:p w:rsidR="00043C86" w:rsidRPr="00E72B02" w:rsidRDefault="00043C86" w:rsidP="004551E9">
      <w:r w:rsidRPr="00E72B02">
        <w:br w:type="page"/>
      </w:r>
    </w:p>
    <w:p w:rsidR="00300019" w:rsidRDefault="00300019" w:rsidP="004551E9">
      <w:pPr>
        <w:rPr>
          <w:rFonts w:cs="Arial"/>
          <w:kern w:val="32"/>
          <w:sz w:val="28"/>
          <w:szCs w:val="28"/>
        </w:rPr>
      </w:pPr>
      <w:r>
        <w:lastRenderedPageBreak/>
        <w:br w:type="page"/>
      </w:r>
    </w:p>
    <w:p w:rsidR="00F7053B" w:rsidRDefault="00F7053B" w:rsidP="004551E9">
      <w:pPr>
        <w:pStyle w:val="Ttulo1"/>
      </w:pPr>
    </w:p>
    <w:p w:rsidR="00F7053B" w:rsidRPr="00A71F97" w:rsidRDefault="00F7053B" w:rsidP="00A71F97">
      <w:pPr>
        <w:pStyle w:val="TITULO10"/>
      </w:pPr>
    </w:p>
    <w:p w:rsidR="00717089" w:rsidRPr="00C00CC8" w:rsidRDefault="00717089" w:rsidP="00A71F97">
      <w:pPr>
        <w:pStyle w:val="TITULO10"/>
        <w:rPr>
          <w:sz w:val="28"/>
          <w:szCs w:val="28"/>
        </w:rPr>
      </w:pPr>
      <w:r w:rsidRPr="00C00CC8">
        <w:rPr>
          <w:sz w:val="28"/>
          <w:szCs w:val="28"/>
        </w:rPr>
        <w:t>PARTE II</w:t>
      </w:r>
    </w:p>
    <w:p w:rsidR="00717089" w:rsidRPr="00C00CC8" w:rsidRDefault="00717089" w:rsidP="00A71F97">
      <w:pPr>
        <w:pStyle w:val="TITULO10"/>
        <w:rPr>
          <w:sz w:val="28"/>
          <w:szCs w:val="28"/>
        </w:rPr>
      </w:pPr>
      <w:r w:rsidRPr="00C00CC8">
        <w:rPr>
          <w:sz w:val="28"/>
          <w:szCs w:val="28"/>
        </w:rPr>
        <w:t>CAPACIDAD JURÍDICA Y DERECHOS HUMANOS</w:t>
      </w:r>
    </w:p>
    <w:p w:rsidR="00717089" w:rsidRPr="00E72B02" w:rsidRDefault="00717089" w:rsidP="00A71F97">
      <w:pPr>
        <w:pStyle w:val="TITULO10"/>
        <w:rPr>
          <w:kern w:val="32"/>
          <w:sz w:val="28"/>
          <w:szCs w:val="28"/>
        </w:rPr>
      </w:pPr>
      <w:r w:rsidRPr="00E72B02">
        <w:br w:type="page"/>
      </w:r>
    </w:p>
    <w:p w:rsidR="00717089" w:rsidRPr="00E72B02" w:rsidRDefault="00717089" w:rsidP="004551E9">
      <w:pPr>
        <w:rPr>
          <w:kern w:val="32"/>
          <w:sz w:val="28"/>
          <w:szCs w:val="28"/>
        </w:rPr>
      </w:pPr>
      <w:r w:rsidRPr="00E72B02">
        <w:lastRenderedPageBreak/>
        <w:br w:type="page"/>
      </w:r>
    </w:p>
    <w:p w:rsidR="00043C86" w:rsidRPr="00AD5CEE" w:rsidRDefault="00AD5CEE" w:rsidP="00745BB8">
      <w:pPr>
        <w:pStyle w:val="TTULO11"/>
        <w:rPr>
          <w:sz w:val="28"/>
          <w:szCs w:val="28"/>
        </w:rPr>
      </w:pPr>
      <w:r w:rsidRPr="00AD5CEE">
        <w:rPr>
          <w:sz w:val="28"/>
          <w:szCs w:val="28"/>
        </w:rPr>
        <w:lastRenderedPageBreak/>
        <w:t>CAPÍTULO 4</w:t>
      </w:r>
    </w:p>
    <w:p w:rsidR="00043C86" w:rsidRPr="00AD5CEE" w:rsidRDefault="00AD5CEE" w:rsidP="00745BB8">
      <w:pPr>
        <w:pStyle w:val="TTULO11"/>
        <w:rPr>
          <w:sz w:val="28"/>
          <w:szCs w:val="28"/>
        </w:rPr>
      </w:pPr>
      <w:r w:rsidRPr="00AD5CEE">
        <w:rPr>
          <w:sz w:val="28"/>
          <w:szCs w:val="28"/>
        </w:rPr>
        <w:t>LA PROTECCIÓN DE LA CAPACIDAD JURÍDICA EN EL DERECHO INTERNACIONAL DE LOS DERECHOS HUMANOS</w:t>
      </w:r>
    </w:p>
    <w:p w:rsidR="00043C86" w:rsidRPr="00E72B02" w:rsidRDefault="00043C86" w:rsidP="004551E9"/>
    <w:p w:rsidR="00043C86" w:rsidRPr="00E72B02" w:rsidRDefault="00043C86" w:rsidP="004551E9">
      <w:r w:rsidRPr="00E72B02">
        <w:br w:type="page"/>
      </w:r>
    </w:p>
    <w:p w:rsidR="00717089" w:rsidRPr="00E72B02" w:rsidRDefault="00717089" w:rsidP="004551E9">
      <w:r w:rsidRPr="00E72B02">
        <w:lastRenderedPageBreak/>
        <w:br w:type="page"/>
      </w:r>
    </w:p>
    <w:p w:rsidR="00043C86" w:rsidRPr="00AD5CEE" w:rsidRDefault="00AD5CEE" w:rsidP="00AD5CEE">
      <w:pPr>
        <w:pStyle w:val="TTULO11"/>
        <w:jc w:val="both"/>
        <w:rPr>
          <w:sz w:val="24"/>
          <w:szCs w:val="24"/>
        </w:rPr>
      </w:pPr>
      <w:r w:rsidRPr="00AD5CEE">
        <w:rPr>
          <w:sz w:val="24"/>
          <w:szCs w:val="24"/>
        </w:rPr>
        <w:lastRenderedPageBreak/>
        <w:t>4.1. LA PERSONA CON SUJETO DE DERECHO INTERNACIONAL EN EL ÁMBITO DE LOS DERECHOS HUMANOS.</w:t>
      </w:r>
    </w:p>
    <w:p w:rsidR="00043C86" w:rsidRPr="00E72B02" w:rsidRDefault="00043C86" w:rsidP="004551E9"/>
    <w:p w:rsidR="00043C86" w:rsidRPr="00E72B02" w:rsidRDefault="00043C86" w:rsidP="004551E9">
      <w:r w:rsidRPr="00E72B02">
        <w:t>Aunque a primera vista la subjetividad de la persona frente al ordenamiento jurídico internacional parece no tener una relación directa con el derecho al ejercicio de la capacidad jurídica a nivel interno, si analizamos la cuestión en detenimiento, vamos a descubrir aspectos verdaderamente similares. Como señala el profesor MARIÑO “</w:t>
      </w:r>
      <w:r w:rsidRPr="00E72B02">
        <w:rPr>
          <w:i/>
        </w:rPr>
        <w:t>todo ordenamiento jurídico, de acuerdo con los fines que persigue y las exigencias de la comunidad que regula, contiene normas que determinan cuáles son sus sujetos y en qué medida éstos poseen capacidad jurídica y de obrar. Tal situación se da también en el ordenamiento jurídico internacional</w:t>
      </w:r>
      <w:r w:rsidRPr="00E72B02">
        <w:t>”.</w:t>
      </w:r>
      <w:r w:rsidRPr="00E72B02">
        <w:rPr>
          <w:rStyle w:val="Refdenotaalpie"/>
          <w:lang w:val="es-ES"/>
        </w:rPr>
        <w:footnoteReference w:id="481"/>
      </w:r>
      <w:r w:rsidRPr="00E72B02">
        <w:t xml:space="preserve"> </w:t>
      </w:r>
    </w:p>
    <w:p w:rsidR="00043C86" w:rsidRPr="00E72B02" w:rsidRDefault="00043C86" w:rsidP="004551E9">
      <w:r w:rsidRPr="00E72B02">
        <w:t>Así la diversidad de sujetos de derecho internacional también puede analizarse desde la doble dimensión de capacidad de titularidad (personalidad jurídica internacional), y de capacidad de ejercicio (capacidad internacional de obrar). Mientras los sujetos denominados «originarios», se consideran como sujetos con plena capacidad de titularidad y de ejercicio, los sujetos denominados «derivados», se consideran que suelen tener capacidad jurídica parcial según su condición o su estatuto constitutivo.</w:t>
      </w:r>
      <w:r w:rsidRPr="00E72B02">
        <w:rPr>
          <w:rStyle w:val="Refdenotaalpie"/>
          <w:lang w:val="es-ES"/>
        </w:rPr>
        <w:footnoteReference w:id="482"/>
      </w:r>
      <w:r w:rsidRPr="00E72B02">
        <w:t xml:space="preserve"> Por ello, resulta procedente analizar la subjetividad internacional de la persona en relación con su capacidad jurídica de obrar frente a la comunidad internacional, así como frente al poder del propio Estado. </w:t>
      </w:r>
    </w:p>
    <w:p w:rsidR="00043C86" w:rsidRPr="00E72B02" w:rsidRDefault="00043C86" w:rsidP="004551E9">
      <w:r w:rsidRPr="00E72B02">
        <w:t xml:space="preserve">Como destaca MARIÑO, “si adaptamos la perspectiva de la protección de los derechos de una persona natural cualquiera, lo cierto es que toda persona humana es hoy en día destinataria de normas (y, por ello, es titular de </w:t>
      </w:r>
      <w:r w:rsidRPr="00E72B02">
        <w:lastRenderedPageBreak/>
        <w:t>derechos, obligaciones y –en su caso- “capacidades de obrar” o poderes) pertenecientes a diferentes ordenamientos jurídicos: las del orden del Estado en cuyo territorio o bajo cuya jurisdicción se halle; las del orden del Estado de su nacionalidad, si es diferente del anterior, y las normas generales del ordenamiento internacional que protegen los derechos y libertades fundamentales de cualquier persona, los cuales integran lo que se ha convenido llamar el “estándar mínimo de los derechos humanos”.</w:t>
      </w:r>
      <w:r w:rsidRPr="00E72B02">
        <w:rPr>
          <w:rStyle w:val="Refdenotaalpie"/>
          <w:lang w:val="es-ES"/>
        </w:rPr>
        <w:footnoteReference w:id="483"/>
      </w:r>
      <w:r w:rsidRPr="00E72B02">
        <w:t xml:space="preserve"> Entre los más indiscutibles se encuentran “el derecho a la vida, el derecho a la integridad física y moral, el derecho a no ser sometido a esclavitud o servidumbre, el derecho a una personalidad jurídica propia y el derecho a un proceso debido”.</w:t>
      </w:r>
      <w:r w:rsidRPr="00E72B02">
        <w:rPr>
          <w:rStyle w:val="Refdenotaalpie"/>
          <w:lang w:val="es-ES"/>
        </w:rPr>
        <w:footnoteReference w:id="484"/>
      </w:r>
      <w:r w:rsidRPr="00E72B02">
        <w:t xml:space="preserve"> </w:t>
      </w:r>
    </w:p>
    <w:p w:rsidR="00043C86" w:rsidRPr="00E72B02" w:rsidRDefault="00043C86" w:rsidP="004551E9">
      <w:r w:rsidRPr="00E72B02">
        <w:t>En resumidas cuentas, la subjetividad de la persona frente al ordenamiento jurídico internacional de derechos humanos, puede analizarse desde una doble dimensión. Por un lado la subjetividad de la persona frente a la jurisdicción del Estado respecto del cual se encuentra, y por otro lado, la subjetividad de la persona frente a los otros sujetos de derecho internacional, esto es, otros Estados, Organizaciones internacionales, etc.</w:t>
      </w:r>
      <w:r w:rsidRPr="00E72B02">
        <w:rPr>
          <w:rStyle w:val="Refdenotaalpie"/>
          <w:lang w:val="es-ES"/>
        </w:rPr>
        <w:footnoteReference w:id="485"/>
      </w:r>
      <w:r w:rsidRPr="00E72B02">
        <w:t xml:space="preserve"> A su vez cada una de dichas dimensiones debe analizarse desde la doble </w:t>
      </w:r>
      <w:r w:rsidRPr="00E72B02">
        <w:lastRenderedPageBreak/>
        <w:t xml:space="preserve">perspectiva de capacidad de titularidad y capacidad de ejercicio de los derechos conferidos por las normas internacionales. </w:t>
      </w:r>
    </w:p>
    <w:p w:rsidR="00043C86" w:rsidRPr="00E72B02" w:rsidRDefault="00043C86" w:rsidP="004551E9">
      <w:r w:rsidRPr="00E72B02">
        <w:t xml:space="preserve">Como destaca </w:t>
      </w:r>
      <w:r w:rsidRPr="00E72B02">
        <w:rPr>
          <w:caps/>
        </w:rPr>
        <w:t>Cançado Trindade</w:t>
      </w:r>
      <w:r w:rsidRPr="00E72B02">
        <w:t xml:space="preserve"> “todo el nuevo corpus juris del Derecho Internacional de los Derechos Humanos ha sido construido sobre la base de los imperativos de protección y los intereses superiores del ser humano, independientemente de su vínculo de nacionalidad o de su estatuto político, o cualquiera otra situación o circunstancia. De ahí la importancia que asume, en ese nuevo derecho de protección, la personalidad jurídica del individuo, como sujeto del derecho tanto interno como internacional. Hoy se reconoce la responsabilidad del Estado por todos sus actos - tanto jure gestionis como jure imperii - y todas sus omisiones, lo que pone de relieve la personalidad jurídica de los individuos y su acceso directo a la jurisdicción internacional para hacer valer sus derechos (inclusive contra el propio Estado)”.</w:t>
      </w:r>
      <w:r w:rsidRPr="00E72B02">
        <w:rPr>
          <w:rStyle w:val="Refdenotaalpie"/>
          <w:lang w:val="es-ES"/>
        </w:rPr>
        <w:footnoteReference w:id="486"/>
      </w:r>
      <w:r w:rsidRPr="00E72B02">
        <w:t xml:space="preserve"> </w:t>
      </w:r>
    </w:p>
    <w:p w:rsidR="00043C86" w:rsidRPr="00E72B02" w:rsidRDefault="00043C86" w:rsidP="004551E9">
      <w:r w:rsidRPr="00E72B02">
        <w:t>No obstante, en el contexto del Derecho Internacional General, como afirma PORTMANN, “es aún discutido si la afirmación del TIJ sobre derecho individuales (adicionalmente a los derechos de los Estados) fuera del contexto de los derechos humanos en las sentencias LaGrand y Avena puede afirmar la personalidad internacional del individuo o incluso, como se ha s</w:t>
      </w:r>
      <w:r w:rsidR="00CD1B75" w:rsidRPr="00E72B02">
        <w:t>ugerido, por analogía respecto de o</w:t>
      </w:r>
      <w:r w:rsidRPr="00E72B02">
        <w:t>tr</w:t>
      </w:r>
      <w:r w:rsidR="00CD1B75" w:rsidRPr="00E72B02">
        <w:t>a</w:t>
      </w:r>
      <w:r w:rsidRPr="00E72B02">
        <w:t>s entidades no-estatales”.</w:t>
      </w:r>
      <w:r w:rsidRPr="00E72B02">
        <w:rPr>
          <w:rStyle w:val="Refdenotaalpie"/>
          <w:lang w:val="es-ES"/>
        </w:rPr>
        <w:footnoteReference w:id="487"/>
      </w:r>
      <w:r w:rsidRPr="00E72B02">
        <w:t xml:space="preserve"> </w:t>
      </w:r>
    </w:p>
    <w:p w:rsidR="00043C86" w:rsidRPr="00E72B02" w:rsidRDefault="00043C86" w:rsidP="004551E9"/>
    <w:p w:rsidR="00043C86" w:rsidRPr="00AD5CEE" w:rsidRDefault="00AD5CEE" w:rsidP="00AD5CEE">
      <w:pPr>
        <w:pStyle w:val="TITULO11"/>
        <w:jc w:val="both"/>
        <w:rPr>
          <w:sz w:val="24"/>
          <w:szCs w:val="24"/>
        </w:rPr>
      </w:pPr>
      <w:r w:rsidRPr="00AD5CEE">
        <w:rPr>
          <w:sz w:val="24"/>
          <w:szCs w:val="24"/>
        </w:rPr>
        <w:t xml:space="preserve"> 4.1.1 LA SUBJETIVIDAD FRENTE AL PROPIO ESTADO: </w:t>
      </w:r>
    </w:p>
    <w:p w:rsidR="00043C86" w:rsidRPr="00E72B02" w:rsidRDefault="00043C86" w:rsidP="004551E9"/>
    <w:p w:rsidR="00043C86" w:rsidRPr="00E72B02" w:rsidRDefault="00043C86" w:rsidP="004551E9">
      <w:r w:rsidRPr="00E72B02">
        <w:lastRenderedPageBreak/>
        <w:t>El desarrollo del Derecho Internacional claramente ha afianzado la noción de que la relación jurídica entre persona y Estado, en materia de respeto y protección de derechos humanos, debe considerarse desde el criterio de jurisdiccionalidad y no restrictivamente desde un criterio de nacionalidad.</w:t>
      </w:r>
      <w:r w:rsidR="00CD1B75" w:rsidRPr="00E72B02">
        <w:t xml:space="preserve"> </w:t>
      </w:r>
      <w:r w:rsidRPr="00E72B02">
        <w:t>En otras palabras, lo que vincula jurídicamente a la persona con el Estado es, al menos en materia de los derechos que conforman el estándar mínimo y universal de derechos humanos, el hecho de encontrarse la persona dentro de la jurisdicción territorial del Estado en cuestión, o dentro del espacio donde dicho Estado ejerce un control real y efectivo de los poderes públicos y/o militares.</w:t>
      </w:r>
      <w:r w:rsidRPr="00E72B02">
        <w:rPr>
          <w:rStyle w:val="Refdenotaalpie"/>
          <w:lang w:val="es-ES"/>
        </w:rPr>
        <w:footnoteReference w:id="488"/>
      </w:r>
      <w:r w:rsidRPr="00E72B02">
        <w:t xml:space="preserve"> </w:t>
      </w:r>
    </w:p>
    <w:p w:rsidR="00043C86" w:rsidRPr="00E72B02" w:rsidRDefault="00043C86" w:rsidP="004551E9">
      <w:r w:rsidRPr="00E72B02">
        <w:t>Ahora bien, en la relación entre la persona y el propio Estado, no cabe duda que el derecho internacional confiere a la persona la titularidad de ciertos derechos exigibles hacia dicho Estado. Es más disputado, sin embargo, si el propio Estado debe reconocer tales derechos a través de una norma de derecho interno, o si por lo contrario, resultan directamente aplicables en virtud del propio instrumento internacional que los recoge. Dicho dilema, que se suele denominar como el carácter programático u operativo de las normas internacionales de derechos humanos, no pone en observación la titularidad del derecho, sino más bien, los recursos legales o las garantías judiciales disponibles para su reclamación.</w:t>
      </w:r>
      <w:r w:rsidRPr="00E72B02">
        <w:rPr>
          <w:rStyle w:val="Refdenotaalpie"/>
          <w:lang w:val="es-ES"/>
        </w:rPr>
        <w:footnoteReference w:id="489"/>
      </w:r>
      <w:r w:rsidRPr="00E72B02">
        <w:t xml:space="preserve"> Otra cuestión diferente a la señalada es el reconocimiento de la capacidad jurídica de ejercicio de los </w:t>
      </w:r>
      <w:r w:rsidRPr="00E72B02">
        <w:lastRenderedPageBreak/>
        <w:t>derechos humanos cuya titularidad es conferida, como se ha visto, por el derecho internacional. Hasta tiempos recientes, las potestades relativas a las condiciones de ejercicio de los derechos (capacidad de obrar), incluso de los derechos humanos reconocidos universalmente, han sido consideradas como asuntos domésticos reservados generalmente al ámbito del derecho privado de los Estados. Como se verá más adelante, esta concepción es seriamente cuestionada por la CDPD, pero también por otros instrumentos específicos de derechos humanos. Con lo cual, también la dimensión relativa a la capacidad de obrar de la persona se encuentra alcanzada por el derecho internacional de los derechos humanos.</w:t>
      </w:r>
      <w:r w:rsidRPr="00E72B02">
        <w:rPr>
          <w:rStyle w:val="Refdenotaalpie"/>
          <w:lang w:val="es-ES"/>
        </w:rPr>
        <w:footnoteReference w:id="490"/>
      </w:r>
      <w:r w:rsidRPr="00E72B02">
        <w:t xml:space="preserve"> Esta dimensión de análisis, es decir, la incidencia del derecho internacional de los derechos humanos frente al poder del Estado soberano de regular las condiciones de ejercicio de los derechos humanos, constituye la base sobre la cual se estructura el objeto del presente trabajo.</w:t>
      </w:r>
      <w:r w:rsidR="00C441EF">
        <w:rPr>
          <w:rStyle w:val="Refdenotaalpie"/>
          <w:lang w:val="es-ES"/>
        </w:rPr>
        <w:footnoteReference w:id="491"/>
      </w:r>
      <w:r w:rsidRPr="00E72B02">
        <w:t xml:space="preserve"> </w:t>
      </w:r>
    </w:p>
    <w:p w:rsidR="00043C86" w:rsidRPr="00E72B02" w:rsidRDefault="00043C86" w:rsidP="004551E9"/>
    <w:p w:rsidR="00043C86" w:rsidRPr="00AD5CEE" w:rsidRDefault="00AD5CEE" w:rsidP="00AD5CEE">
      <w:pPr>
        <w:pStyle w:val="TITULO11"/>
        <w:jc w:val="both"/>
        <w:rPr>
          <w:sz w:val="24"/>
          <w:szCs w:val="24"/>
        </w:rPr>
      </w:pPr>
      <w:r w:rsidRPr="00AD5CEE">
        <w:rPr>
          <w:sz w:val="24"/>
          <w:szCs w:val="24"/>
        </w:rPr>
        <w:t xml:space="preserve">4.1.2 LA SUBJETIVIDAD FRENTE A OTROS SUJETOS DE DERECHO INTERNACIONAL </w:t>
      </w:r>
    </w:p>
    <w:p w:rsidR="00043C86" w:rsidRPr="00E72B02" w:rsidRDefault="00043C86" w:rsidP="004551E9"/>
    <w:p w:rsidR="00043C86" w:rsidRPr="00E72B02" w:rsidRDefault="00043C86" w:rsidP="004551E9">
      <w:r w:rsidRPr="00E72B02">
        <w:t xml:space="preserve">Resulta lógico que si el derecho internacional le confiere a la persona la titularidad de ciertos derechos humanos frente a su propio Estado, dicha titularidad también le sea reconocida frente a otros sujetos de derecho </w:t>
      </w:r>
      <w:r w:rsidRPr="00E72B02">
        <w:lastRenderedPageBreak/>
        <w:t>internacional, claro está, siempre que se encuentren jurídicamente vinculados por la norma que le reconoce la titularidad de dichos derechos.</w:t>
      </w:r>
      <w:r w:rsidRPr="00E72B02">
        <w:rPr>
          <w:rStyle w:val="Refdenotaalpie"/>
          <w:lang w:val="es-ES"/>
        </w:rPr>
        <w:footnoteReference w:id="492"/>
      </w:r>
      <w:r w:rsidRPr="00E72B02">
        <w:t xml:space="preserve"> Ahora bien, mientras la persona es indudablemente titular de derechos humanos de carácter internacional, es decir, oponible frente a los sujetos de derecho internacional, “</w:t>
      </w:r>
      <w:r w:rsidRPr="000352E5">
        <w:rPr>
          <w:i/>
        </w:rPr>
        <w:t>carece de capacidad de obrar en el derecho internacional general</w:t>
      </w:r>
      <w:r w:rsidRPr="00E72B02">
        <w:t>”,</w:t>
      </w:r>
      <w:r w:rsidRPr="00E72B02">
        <w:rPr>
          <w:rStyle w:val="Refdenotaalpie"/>
          <w:lang w:val="es-ES"/>
        </w:rPr>
        <w:footnoteReference w:id="493"/>
      </w:r>
      <w:r w:rsidRPr="00E72B02">
        <w:t xml:space="preserve"> y sólo posee un capacidad procesal muy restringida frente a ciertas instancias internacionales. Es decir, la persona es titular de derechos frente a la comunidad internacional pero es prácticamente incapaz de ejercerlos en nombre propio. Y es correcto hablar de “prácticamente incapaz” ya que las pocas y excepcionales potestades de obrar del individuo frente a los sujetos de derecho internacional se encuentran reservadas exclusivamente a cuestiones de “capacidad procesal” que constituye un aspecto puntual y muy acotado de lo que supone o implica jurídicamente la capacidad de obrar plena. Paradójicamente, el derecho internacional de las últimas dos décadas ha evolucionado asimétricamente sobre la contracara de la noción de capacidad jurídica de obrar, esto es, la responsabilidad internacional individual. Es difícil de entender cómo una persona puede carecer de capacidad jurídica de obrar frente a</w:t>
      </w:r>
      <w:r w:rsidR="00731A62" w:rsidRPr="00E72B02">
        <w:t>l</w:t>
      </w:r>
      <w:r w:rsidRPr="00E72B02">
        <w:t xml:space="preserve"> derecho internacional,</w:t>
      </w:r>
      <w:r w:rsidRPr="00E72B02">
        <w:rPr>
          <w:rStyle w:val="Refdenotaalpie"/>
          <w:lang w:val="es-ES"/>
        </w:rPr>
        <w:footnoteReference w:id="494"/>
      </w:r>
      <w:r w:rsidRPr="00E72B02">
        <w:t xml:space="preserve"> pero al mismo, resultar penal</w:t>
      </w:r>
      <w:r w:rsidRPr="00E72B02">
        <w:rPr>
          <w:rStyle w:val="Refdenotaalpie"/>
          <w:lang w:val="es-ES"/>
        </w:rPr>
        <w:footnoteReference w:id="495"/>
      </w:r>
      <w:r w:rsidRPr="00E72B02">
        <w:t xml:space="preserve"> o civilmente</w:t>
      </w:r>
      <w:r w:rsidRPr="00E72B02">
        <w:rPr>
          <w:rStyle w:val="Refdenotaalpie"/>
          <w:lang w:val="es-ES"/>
        </w:rPr>
        <w:footnoteReference w:id="496"/>
      </w:r>
      <w:r w:rsidRPr="00E72B02">
        <w:t xml:space="preserve"> responsable </w:t>
      </w:r>
      <w:r w:rsidRPr="00E72B02">
        <w:lastRenderedPageBreak/>
        <w:t xml:space="preserve">a nivel internacional por la violación de los derechos humanos de los cuales es también titular. </w:t>
      </w:r>
    </w:p>
    <w:p w:rsidR="00043C86" w:rsidRPr="00E72B02" w:rsidRDefault="00043C86" w:rsidP="004551E9">
      <w:r w:rsidRPr="00E72B02">
        <w:t xml:space="preserve">Como ha podido apreciarse, el análisis de la subjetividad del individuo frente al derecho internacional nos ha permitido comprender que la distinción entre titularidad y ejercicio de derechos y obligaciones, en la práctica, puede vaciar de contenido real al derecho que se pretende reconocer, cuando su reclamación descansa fuera del alcance de la propia persona en manos del Estado que, en mucho casos, se conforma en juez y parte de la relación jurídica intersubjetiva. A raíz de ello, el derecho internacional ha desarrollado mecanismos internacionales de reclamación que han permitido comenzar a derribar el muro infranqueable del Estado soberano, y donde, la persona puede acudir con plena capacidad de obrar propia. Ahora bien, en la medida en que el derecho internacional siga estando al margen de la regulación de las condiciones de ejercicio de los derechos humanos por parte de las legislaciones domésticas, las escasas opciones de acceder a instancias internacionales podrán verse denegadas por normas de derecho interno que tengan una aplicación discriminatoria frente a ciertos grupos en situación de vulnerabilidad. Pensemos por ejemplo en normas de derecho interno que no le permitan a la mujer acceder a un tribunal sin el asentimiento o presencia de su marido, o en las normas domésticas que establecen la incapacidad procesal del menor sin la representación o presencia de sus padres, o en la declaración de incapacidad </w:t>
      </w:r>
      <w:r w:rsidRPr="00E72B02">
        <w:lastRenderedPageBreak/>
        <w:t xml:space="preserve">de una persona con discapacidad intelectual o mental que no le permite celebrar ningún acto jurídico válido, incluido la reclamación judicial, sin la representación de su tutor o curador. Si el derecho internacional de los derechos humanos no es capaz de introducirse en este tipo de legislaciones, y de velar mínimamente por el principio de no discriminación, entonces, la titularidad de estos derechos a favor de estos colectivos resulta retórica y vacía. </w:t>
      </w:r>
    </w:p>
    <w:p w:rsidR="00043C86" w:rsidRPr="00E72B02" w:rsidRDefault="00043C86" w:rsidP="004551E9">
      <w:r w:rsidRPr="00E72B02">
        <w:t>Resultan ilustrativas en este sentido las reflexiones del Juez Cançado Trindade en su Voto Concurrente de la Opinión Consultiva de la CIADH sobre la “</w:t>
      </w:r>
      <w:r w:rsidRPr="00E72B02">
        <w:rPr>
          <w:i/>
        </w:rPr>
        <w:t>Condición Jurídica y Derechos Humanos del Niño</w:t>
      </w:r>
      <w:r w:rsidRPr="00E72B02">
        <w:t>”, al señalar que “</w:t>
      </w:r>
      <w:r w:rsidRPr="00E72B02">
        <w:rPr>
          <w:i/>
        </w:rPr>
        <w:t>es innegable que la subjetividad jurídica internacional del ser humano se ha afirmado y expandido en las últimas décadas (cf. supra), y que el niño (como titular de derechos) no hace excepción a ésto. Frente a las limitaciones de capacidad jurídica del niño (para ejercer por sí mismo sus derechos), se le reconoce un representante legal. Pero independientemente de dichas limitaciones, la personalidad jurídica del niño, - como de todo ser humano, - se proyecta en el plano internacional. Como no es posible concebir derechos - emanados directamente del Derecho Internacional - sin la prerrogativa de reivindicarlos, toda la evolución de la materia se ha orientado hacia la consagración del derecho del individuo - inclusive el niño - de recurrir directamente a las jurisdicciones internacionales</w:t>
      </w:r>
      <w:r w:rsidRPr="00E72B02">
        <w:t>”. A lo cual añade que: “</w:t>
      </w:r>
      <w:r w:rsidRPr="00E72B02">
        <w:rPr>
          <w:i/>
        </w:rPr>
        <w:t xml:space="preserve">de ese modo, un niño, aunque no disponga de capacidad jurídica en el sistema jurídico nacional en cuestión, puede, sin embargo, hacer uso del derecho de petición individual a las instancias internacionales de protección de sus derechos. Pero una vez interpuesta la petición, debe, naturalmente, contar con un representante legal, si es legalmente incapaz. Dicha representación no tiene por qué estar condicionada por disposiciones de cualquier derecho interno. Tal como me permití señalar en mi supracitado Voto Concurrente en el caso Castillo Petruzzi y Otros versus Perú (Excepciones Preliminares, 1998) ante la Corte Interamericana, las condiciones para el ejercicio del derecho de </w:t>
      </w:r>
      <w:r w:rsidRPr="00E72B02">
        <w:rPr>
          <w:i/>
        </w:rPr>
        <w:lastRenderedPageBreak/>
        <w:t>petición individual internacional no coinciden necesariamente con los criterios de derecho interno relativos al locus standi, y hay toda una jurisprudence constante en claro apoyo a la autonomía del derecho de petición individual en el plano internacional vis-à-vis conceptos y disposiciones del derecho interno (párrs. 21-22</w:t>
      </w:r>
      <w:r w:rsidRPr="00E72B02">
        <w:t>)”.</w:t>
      </w:r>
      <w:r w:rsidRPr="00E72B02">
        <w:rPr>
          <w:rStyle w:val="Refdenotaalpie"/>
          <w:lang w:val="es-ES"/>
        </w:rPr>
        <w:footnoteReference w:id="497"/>
      </w:r>
    </w:p>
    <w:p w:rsidR="00043C86" w:rsidRPr="00E72B02" w:rsidRDefault="00043C86" w:rsidP="004551E9"/>
    <w:p w:rsidR="00043C86" w:rsidRPr="00AD5CEE" w:rsidRDefault="00AD5CEE" w:rsidP="00AD5CEE">
      <w:pPr>
        <w:pStyle w:val="TTULO11"/>
        <w:jc w:val="both"/>
        <w:rPr>
          <w:sz w:val="24"/>
          <w:szCs w:val="24"/>
        </w:rPr>
      </w:pPr>
      <w:r w:rsidRPr="00AD5CEE">
        <w:rPr>
          <w:sz w:val="24"/>
          <w:szCs w:val="24"/>
        </w:rPr>
        <w:t xml:space="preserve">4.2 EL DERECHO AL RECONOCIMIENTO DE LA PERSONALIDAD Y DE LA CAPACIDAD JURÍDICA EN EL DERECHO INTERNACIONAL DE LOS DERECHOS HUMANOS </w:t>
      </w:r>
    </w:p>
    <w:p w:rsidR="00043C86" w:rsidRPr="00E72B02" w:rsidRDefault="00043C86" w:rsidP="004551E9"/>
    <w:p w:rsidR="00043C86" w:rsidRPr="00E72B02" w:rsidRDefault="00043C86" w:rsidP="004551E9">
      <w:r w:rsidRPr="00E72B02">
        <w:t xml:space="preserve">Como se ha visto en el punto anterior, el ordenamiento jurídico internacional, y en especial, el derecho internacional de los derechos humanos, parece indicar que los derechos universalmente reconocidos a todos los seres humanos, al ser analizados desde un plano jurídico, deben leerse desde la doble perspectiva de titularidad y de ejercicio de los mismos. Aunque la teoría del derecho reconoce esta doble perspectiva como una seña necesaria e inevitable de todo ordenamiento jurídico, lo cierto es que desde un punto de vista semántico, presenta grandes diferencias según lenguas, países, regiones, o sistemas jurídicos, lo que ha generado, problemas interpretativos importantes. Un claro ejemplo de esto lo podemos encontrar, sin ir más lejos, en las negociaciones de la propia CDPD, más precisamente, en relación con el artículo 12. Desde el momento que el concepto de “capacidad jurídica” apareció en el primer borrador, comenzaron a surgir </w:t>
      </w:r>
      <w:r w:rsidRPr="00E72B02">
        <w:lastRenderedPageBreak/>
        <w:t>intensas discusiones sobre su significado jurídico.</w:t>
      </w:r>
      <w:r w:rsidRPr="00E72B02">
        <w:rPr>
          <w:rStyle w:val="Refdenotaalpie"/>
          <w:lang w:val="es-ES"/>
        </w:rPr>
        <w:footnoteReference w:id="498"/>
      </w:r>
      <w:r w:rsidRPr="00E72B02">
        <w:t xml:space="preserve"> En términos generales, la disputa se centró en definir si, capacidad jurídica, debía implicar únicamente “capacidad de tener derechos”, o si por lo contrario, debía incluir también “capacidad de obrar”. </w:t>
      </w:r>
    </w:p>
    <w:p w:rsidR="00043C86" w:rsidRPr="00E72B02" w:rsidRDefault="00043C86" w:rsidP="004551E9">
      <w:r w:rsidRPr="00E72B02">
        <w:t>Ante esto, el ACNUDH presentó ante los Estados conferenciantes, un informe sobre el asunto de la capacidad jurídica, que merece ser destacado en sus puntos principales.</w:t>
      </w:r>
      <w:r w:rsidRPr="00E72B02">
        <w:rPr>
          <w:rStyle w:val="Refdenotaalpie"/>
          <w:lang w:val="es-ES"/>
        </w:rPr>
        <w:footnoteReference w:id="499"/>
      </w:r>
      <w:r w:rsidR="00956B2A" w:rsidRPr="00E72B02">
        <w:t xml:space="preserve"> </w:t>
      </w:r>
      <w:r w:rsidRPr="00E72B02">
        <w:t>Dicho informe ofrece una aproximación general sobre el modo en el cual los términos “personalidad jurídica” y “capacidad jurídica” son utilizados en los tratados de derechos humanos existentes, y en algunos sistemas nacionales específicos.</w:t>
      </w:r>
      <w:r w:rsidRPr="00E72B02">
        <w:rPr>
          <w:rStyle w:val="Refdenotaalpie"/>
          <w:lang w:val="es-ES"/>
        </w:rPr>
        <w:footnoteReference w:id="500"/>
      </w:r>
      <w:r w:rsidRPr="00E72B02">
        <w:t xml:space="preserve"> </w:t>
      </w:r>
    </w:p>
    <w:p w:rsidR="00043C86" w:rsidRPr="00E72B02" w:rsidRDefault="00043C86" w:rsidP="004551E9">
      <w:r w:rsidRPr="00E72B02">
        <w:t>Haciendo uso de las técnicas de interpretación del derecho internacional, el informe explora las disposiciones análogas como el artículo 16 del PIDCP</w:t>
      </w:r>
      <w:r w:rsidRPr="00E72B02">
        <w:rPr>
          <w:rStyle w:val="Refdenotaalpie"/>
        </w:rPr>
        <w:footnoteReference w:id="501"/>
      </w:r>
      <w:r w:rsidRPr="00E72B02">
        <w:t xml:space="preserve">, y disposiciones similares de los tratados regionales de derechos </w:t>
      </w:r>
      <w:r w:rsidRPr="00E72B02">
        <w:lastRenderedPageBreak/>
        <w:t>humanos, o como el artículo 15.2 de la CEFDM</w:t>
      </w:r>
      <w:r w:rsidR="000352E5">
        <w:t>,</w:t>
      </w:r>
      <w:r w:rsidRPr="00E72B02">
        <w:rPr>
          <w:rStyle w:val="Refdenotaalpie"/>
        </w:rPr>
        <w:footnoteReference w:id="502"/>
      </w:r>
      <w:r w:rsidRPr="00E72B02">
        <w:t xml:space="preserve"> para concluir que del análisis de</w:t>
      </w:r>
      <w:r w:rsidR="00470597" w:rsidRPr="00E72B02">
        <w:t>l</w:t>
      </w:r>
      <w:r w:rsidRPr="00E72B02">
        <w:t xml:space="preserve"> contexto histórico de negociaciones del artículo 16 del PIDCP y del artículo 15(2) de la CEFDM, al igual que la evaluación del modo en el cual los términos “capacidad jurídica” y “personalidad jurídica” (o sus equivalentes) son utilizados en los diferentes ordenamientos jurídicos, muestran que ambos términos son diferentes.</w:t>
      </w:r>
    </w:p>
    <w:p w:rsidR="00043C86" w:rsidRPr="00E72B02" w:rsidRDefault="00043C86" w:rsidP="004551E9">
      <w:r w:rsidRPr="00E72B02">
        <w:t>El derecho al reconocimiento a la “personalidad jurídica” confiere al individuo la capacidad de ser reconocido como persona ante la ley, y por tanto, es un requisito previo a todos los otros derechos. El concepto de “capacidad jurídica” es un concepto más amplio que lógicamente presupone la capacidad de ser sujeto de derechos y obligaciones (elemento estático), pero también presupone la capacidad de ejercer dichos derechos, o asumir obligaciones a través de sus propias decisiones (elemento dinámico)</w:t>
      </w:r>
      <w:r w:rsidRPr="00E72B02">
        <w:rPr>
          <w:rStyle w:val="Refdenotaalpie"/>
        </w:rPr>
        <w:footnoteReference w:id="503"/>
      </w:r>
      <w:r w:rsidRPr="00E72B02">
        <w:t xml:space="preserve">. </w:t>
      </w:r>
    </w:p>
    <w:p w:rsidR="00043C86" w:rsidRPr="00E72B02" w:rsidRDefault="00043C86" w:rsidP="004551E9">
      <w:r w:rsidRPr="00E72B02">
        <w:lastRenderedPageBreak/>
        <w:t>Por ello, y según este informe, la capacidad jurídica incluye la “capacidad de obrar”, entendida como la capacidad y la facultad de una persona en virtud del derecho de asumir compromisos o transacciones particulares, mantener un estatus determinado, o una relación con otro, o en un sentido más general, de crear, modificar, o extinguir relaciones jurídicas.</w:t>
      </w:r>
      <w:r w:rsidRPr="00E72B02">
        <w:rPr>
          <w:rStyle w:val="Refdenotaalpie"/>
          <w:lang w:val="es-ES"/>
        </w:rPr>
        <w:footnoteReference w:id="504"/>
      </w:r>
    </w:p>
    <w:p w:rsidR="00043C86" w:rsidRPr="00E72B02" w:rsidRDefault="00043C86" w:rsidP="004551E9"/>
    <w:p w:rsidR="00043C86" w:rsidRPr="00AD5CEE" w:rsidRDefault="00AD5CEE" w:rsidP="00AD5CEE">
      <w:pPr>
        <w:pStyle w:val="TITULO11"/>
        <w:jc w:val="both"/>
        <w:rPr>
          <w:sz w:val="24"/>
          <w:szCs w:val="24"/>
        </w:rPr>
      </w:pPr>
      <w:r w:rsidRPr="00AD5CEE">
        <w:rPr>
          <w:sz w:val="24"/>
          <w:szCs w:val="24"/>
        </w:rPr>
        <w:t xml:space="preserve">4.2.1 EL DERECHO A LA PERSONALIDAD JURÍDICA </w:t>
      </w:r>
    </w:p>
    <w:p w:rsidR="00043C86" w:rsidRPr="00AD5CEE" w:rsidRDefault="00043C86" w:rsidP="004551E9">
      <w:pPr>
        <w:rPr>
          <w:lang w:val="es-ES"/>
        </w:rPr>
      </w:pPr>
    </w:p>
    <w:p w:rsidR="00043C86" w:rsidRPr="00E72B02" w:rsidRDefault="00043C86" w:rsidP="004551E9">
      <w:r w:rsidRPr="00E72B02">
        <w:t>El primer instrumento en recoger una referencia a la «personalidad jurídica» fue la DUDH cuyo artículo 6 establece que “todo ser humano tiene derecho, en todas partes, al reconocimiento de su personalidad jurídica”. Prácticamente todos los instrumentos generales de derecho humanos que le sucedieron adoptaron una formulación muy similar, como es el caso del artículo 16 del PIDCP,</w:t>
      </w:r>
      <w:r w:rsidRPr="00E72B02">
        <w:rPr>
          <w:rStyle w:val="Refdenotaalpie"/>
          <w:lang w:val="es-ES"/>
        </w:rPr>
        <w:footnoteReference w:id="505"/>
      </w:r>
      <w:r w:rsidRPr="00E72B02">
        <w:t xml:space="preserve"> el artículo 3 de la CADH</w:t>
      </w:r>
      <w:r w:rsidRPr="00E72B02">
        <w:rPr>
          <w:rStyle w:val="Refdenotaalpie"/>
        </w:rPr>
        <w:footnoteReference w:id="506"/>
      </w:r>
      <w:r w:rsidRPr="00E72B02">
        <w:t>, y en el artículo 5 de la CADHP.</w:t>
      </w:r>
      <w:r w:rsidRPr="00E72B02">
        <w:rPr>
          <w:rStyle w:val="Refdenotaalpie"/>
        </w:rPr>
        <w:footnoteReference w:id="507"/>
      </w:r>
      <w:r w:rsidRPr="00E72B02">
        <w:t xml:space="preserve"> El CEDH no cuenta con artículo o mención expresa, aunque en opinión del Comité de Expertos del Consejo de Europa, su inclusión no era necesaria ya que puede deducirse de otros artículos del Convenio.</w:t>
      </w:r>
    </w:p>
    <w:p w:rsidR="00043C86" w:rsidRPr="00E72B02" w:rsidRDefault="00043C86" w:rsidP="004551E9">
      <w:r w:rsidRPr="00E72B02">
        <w:t>El concepto de personalidad jurídica (también en algunos instrumentos internacionales formulado como “igualdad como persona ante la ley”),</w:t>
      </w:r>
      <w:r w:rsidRPr="00E72B02">
        <w:rPr>
          <w:rStyle w:val="Refdenotaalpie"/>
          <w:lang w:val="es-ES"/>
        </w:rPr>
        <w:footnoteReference w:id="508"/>
      </w:r>
      <w:r w:rsidRPr="00E72B02">
        <w:t xml:space="preserve"> </w:t>
      </w:r>
      <w:r w:rsidRPr="00E72B02">
        <w:lastRenderedPageBreak/>
        <w:t>aunque no ha sido definido en ningún instrumento internacional, nos sitúa indefectiblemente ante la mismísima esencia de los derechos humanos, es decir, ante la conexión entre la persona y los derechos. O dicho de otro modo, la personalidad jurídica parece referirse a la condición o condiciones que determinan que una persona sea investida de derechos. Por ello, no resulta del todo claro si su formulación como «derecho» no sería, en rigor, una contradicción con el concepto y fundamento de los derechos humanos. ¿Es posible tener un derecho a tener derecho?</w:t>
      </w:r>
      <w:r w:rsidRPr="00E72B02">
        <w:rPr>
          <w:rStyle w:val="Refdenotaalpie"/>
          <w:lang w:val="es-ES"/>
        </w:rPr>
        <w:footnoteReference w:id="509"/>
      </w:r>
      <w:r w:rsidRPr="00E72B02">
        <w:t xml:space="preserve"> Claramente el concepto de personalidad jurídica se encuentra íntimamente conectado con la formulación del artículo 1 de la DUDH cuando declara que “todos los seres humanos nacen libres e iguales en dignidad y derechos”.</w:t>
      </w:r>
    </w:p>
    <w:p w:rsidR="00043C86" w:rsidRPr="00E72B02" w:rsidRDefault="00043C86" w:rsidP="004551E9">
      <w:r w:rsidRPr="00E72B02">
        <w:t xml:space="preserve">A pesar de que su formulación pudiera resultar tautológica, o incluso si se quiere contradictoria, el reconocimiento al derecho a la personalidad jurídica se ha constituido como una condición previa e ineludible para el goce y ejercicio de todos los derechos individuales. En su comentario al PIDCP </w:t>
      </w:r>
      <w:r w:rsidRPr="00E72B02">
        <w:rPr>
          <w:caps/>
        </w:rPr>
        <w:t>Nowak</w:t>
      </w:r>
      <w:r w:rsidRPr="00E72B02">
        <w:t xml:space="preserve"> destaca que “</w:t>
      </w:r>
      <w:r w:rsidRPr="000352E5">
        <w:rPr>
          <w:i/>
        </w:rPr>
        <w:t>sin este derecho, el individuo podría ser reducido a un mero bien (legal object), donde dicho individuo no sería considerado una persona en el sentido jurídico, y por tanto, podría ser privado de todos los demás derechos, incluido el derecho a la vida</w:t>
      </w:r>
      <w:r w:rsidR="000352E5">
        <w:t>”</w:t>
      </w:r>
      <w:r w:rsidRPr="00E72B02">
        <w:t>.</w:t>
      </w:r>
      <w:r w:rsidRPr="00E72B02">
        <w:rPr>
          <w:rStyle w:val="Refdenotaalpie"/>
          <w:sz w:val="20"/>
        </w:rPr>
        <w:footnoteReference w:id="510"/>
      </w:r>
      <w:r w:rsidRPr="00E72B02">
        <w:t xml:space="preserve"> Por ello, debido a que el reconocimiento a la personalidad jurídica representa un requisito </w:t>
      </w:r>
      <w:r w:rsidRPr="00E72B02">
        <w:rPr>
          <w:i/>
        </w:rPr>
        <w:t>sine qua non</w:t>
      </w:r>
      <w:r w:rsidRPr="00E72B02">
        <w:t xml:space="preserve"> para todos los otros derechos, este derecho se incluye en el listado de los derechos civiles y políticos que no pueden ser derogados ante </w:t>
      </w:r>
      <w:r w:rsidRPr="00E72B02">
        <w:lastRenderedPageBreak/>
        <w:t>situaciones de emergencia pública o amenaza para la seguridad de un Estado.</w:t>
      </w:r>
      <w:r w:rsidRPr="00E72B02">
        <w:rPr>
          <w:rStyle w:val="Refdenotaalpie"/>
          <w:lang w:val="es-ES"/>
        </w:rPr>
        <w:footnoteReference w:id="511"/>
      </w:r>
    </w:p>
    <w:p w:rsidR="00043C86" w:rsidRPr="00E72B02" w:rsidRDefault="00043C86" w:rsidP="004551E9">
      <w:r w:rsidRPr="00E72B02">
        <w:t xml:space="preserve">Ahora bien, es cierto que el derecho al reconocimiento de la personalidad jurídica ha sido universalmente reconocido en todos los instrumentos vinculantes de derechos humanos, en especial en el artículo 16 del PIDCP, y también parece indudable que se trata de un derecho que se adquiere con el nacimiento y se extingue con la muerte. </w:t>
      </w:r>
    </w:p>
    <w:p w:rsidR="00043C86" w:rsidRPr="00E72B02" w:rsidRDefault="00043C86" w:rsidP="004551E9">
      <w:pPr>
        <w:rPr>
          <w:lang w:val="es-ES_tradnl"/>
        </w:rPr>
      </w:pPr>
      <w:r w:rsidRPr="00E72B02">
        <w:rPr>
          <w:lang w:val="es-ES_tradnl"/>
        </w:rPr>
        <w:t>En el ámbito Interamericano, la CIADH ha señalado que el derecho a la personalidad jurídica implica el reconocimiento de toda persona como sujeto de derechos y obligaciones</w:t>
      </w:r>
      <w:r w:rsidR="000352E5">
        <w:rPr>
          <w:lang w:val="es-ES_tradnl"/>
        </w:rPr>
        <w:t>.</w:t>
      </w:r>
      <w:r w:rsidRPr="00E72B02">
        <w:rPr>
          <w:rStyle w:val="Refdenotaalpie"/>
        </w:rPr>
        <w:footnoteReference w:id="512"/>
      </w:r>
      <w:r w:rsidRPr="00E72B02">
        <w:rPr>
          <w:lang w:val="es-ES_tradnl"/>
        </w:rPr>
        <w:t xml:space="preserve"> De esta forma, la personalidad jurídica trae consigo la capacidad de ser sujeto de derechos y obligaciones por la simple condición de ser humanos,</w:t>
      </w:r>
      <w:r w:rsidRPr="00E72B02">
        <w:rPr>
          <w:rStyle w:val="Refdenotaalpie"/>
          <w:lang w:val="es-ES_tradnl"/>
        </w:rPr>
        <w:footnoteReference w:id="513"/>
      </w:r>
      <w:r w:rsidRPr="00E72B02">
        <w:rPr>
          <w:lang w:val="es-ES_tradnl"/>
        </w:rPr>
        <w:t xml:space="preserve"> por lo que se erige como un derecho fundamental para el goce de todos los demás derechos.</w:t>
      </w:r>
      <w:r w:rsidRPr="00E72B02">
        <w:rPr>
          <w:rStyle w:val="Refdenotaalpie"/>
        </w:rPr>
        <w:footnoteReference w:id="514"/>
      </w:r>
      <w:r w:rsidRPr="00E72B02">
        <w:rPr>
          <w:lang w:val="es-ES_tradnl"/>
        </w:rPr>
        <w:t xml:space="preserve"> </w:t>
      </w:r>
    </w:p>
    <w:p w:rsidR="00043C86" w:rsidRPr="00E72B02" w:rsidRDefault="00043C86" w:rsidP="004551E9">
      <w:pPr>
        <w:rPr>
          <w:lang w:val="es-ES_tradnl"/>
        </w:rPr>
      </w:pPr>
      <w:r w:rsidRPr="00E72B02">
        <w:rPr>
          <w:lang w:val="es-ES_tradnl"/>
        </w:rPr>
        <w:t xml:space="preserve">La CIADH ha considerado que el contenido propio del derecho al reconocimiento de la personalidad jurídica es que se reconozca a la persona, en cualquier parte, como sujeto de derechos y obligaciones, y a gozar de los derechos civiles fundamentales, lo cual implica la capacidad de ser titular de derechos (capacidad y goce) y de deberes. La violación de aquel </w:t>
      </w:r>
      <w:r w:rsidRPr="00E72B02">
        <w:rPr>
          <w:lang w:val="es-ES_tradnl"/>
        </w:rPr>
        <w:lastRenderedPageBreak/>
        <w:t>reconocimiento supone desconocer en términos absolutos la posibilidad de ser titular de los derechos y deberes civiles y fundamentales.</w:t>
      </w:r>
      <w:r w:rsidRPr="00E72B02">
        <w:rPr>
          <w:rStyle w:val="Refdenotaalpie"/>
        </w:rPr>
        <w:footnoteReference w:id="515"/>
      </w:r>
    </w:p>
    <w:p w:rsidR="00043C86" w:rsidRPr="00E72B02" w:rsidRDefault="00043C86" w:rsidP="004551E9">
      <w:pPr>
        <w:rPr>
          <w:lang w:val="es-ES_tradnl"/>
        </w:rPr>
      </w:pPr>
      <w:r w:rsidRPr="00E72B02">
        <w:rPr>
          <w:lang w:val="es-ES_tradnl"/>
        </w:rPr>
        <w:t>La Corte estima que  la falta del reconocimiento de la personalidad jurídica lesiona la dignidad humana, ya que niega de forma absoluta su condición de sujeto de derechos y hace al individuo vulnerable frente a la no observancia de sus derechos por el Estado o por particulares.</w:t>
      </w:r>
      <w:r w:rsidRPr="00E72B02">
        <w:rPr>
          <w:rStyle w:val="Refdenotaalpie"/>
        </w:rPr>
        <w:footnoteReference w:id="516"/>
      </w:r>
    </w:p>
    <w:p w:rsidR="00043C86" w:rsidRPr="00E72B02" w:rsidRDefault="00043C86" w:rsidP="004551E9">
      <w:pPr>
        <w:rPr>
          <w:lang w:val="es-ES_tradnl"/>
        </w:rPr>
      </w:pPr>
      <w:r w:rsidRPr="00E72B02">
        <w:rPr>
          <w:lang w:val="es-ES_tradnl"/>
        </w:rPr>
        <w:t>De este modo, el contenido del derecho al reconocimiento de la personalidad jurídica se refiere al correlativo deber general del Estado de procurar los medios y condiciones jurídicas para que ese derecho pueda ser ejercido libre y plenamente por sus titulares o, en su caso, la obligación de no vulnerar dicho derecho.</w:t>
      </w:r>
      <w:r w:rsidRPr="00E72B02">
        <w:rPr>
          <w:rStyle w:val="Refdenotaalpie"/>
        </w:rPr>
        <w:footnoteReference w:id="517"/>
      </w:r>
      <w:r w:rsidRPr="00E72B02">
        <w:rPr>
          <w:lang w:val="es-ES_tradnl"/>
        </w:rPr>
        <w:t xml:space="preserve"> El deber del Estado de garantizar las condiciones jurídicas y administrativas que aseguren el ejercicio de este derecho, en atención al principio de igualdad ante la ley, cobra especial relevancia frente a “</w:t>
      </w:r>
      <w:r w:rsidRPr="000352E5">
        <w:rPr>
          <w:i/>
          <w:lang w:val="es-ES_tradnl"/>
        </w:rPr>
        <w:t>aquellas personas en situación de vulnerabilidad, marginalización y discriminación</w:t>
      </w:r>
      <w:r w:rsidRPr="00E72B02">
        <w:rPr>
          <w:lang w:val="es-ES_tradnl"/>
        </w:rPr>
        <w:t>”</w:t>
      </w:r>
      <w:r w:rsidR="000352E5">
        <w:rPr>
          <w:lang w:val="es-ES_tradnl"/>
        </w:rPr>
        <w:t>.</w:t>
      </w:r>
      <w:r w:rsidRPr="00E72B02">
        <w:rPr>
          <w:rStyle w:val="Refdenotaalpie"/>
        </w:rPr>
        <w:footnoteReference w:id="518"/>
      </w:r>
    </w:p>
    <w:p w:rsidR="00043C86" w:rsidRPr="00E72B02" w:rsidRDefault="00043C86" w:rsidP="004551E9">
      <w:pPr>
        <w:rPr>
          <w:lang w:val="es-ES_tradnl"/>
        </w:rPr>
      </w:pPr>
      <w:r w:rsidRPr="00E72B02">
        <w:rPr>
          <w:lang w:val="es-ES_tradnl"/>
        </w:rPr>
        <w:t xml:space="preserve">De esta forma, los Estados tienen la obligación de respetar y procurar los medios y condiciones jurídicas para que el derecho al reconocimiento de la personalidad jurídica pueda ser ejercido libre y plenamente por sus </w:t>
      </w:r>
      <w:r w:rsidRPr="00E72B02">
        <w:rPr>
          <w:lang w:val="es-ES_tradnl"/>
        </w:rPr>
        <w:lastRenderedPageBreak/>
        <w:t>titulares</w:t>
      </w:r>
      <w:r w:rsidR="000352E5">
        <w:rPr>
          <w:lang w:val="es-ES_tradnl"/>
        </w:rPr>
        <w:t>.</w:t>
      </w:r>
      <w:r w:rsidRPr="00E72B02">
        <w:rPr>
          <w:rStyle w:val="Refdenotaalpie"/>
        </w:rPr>
        <w:footnoteReference w:id="519"/>
      </w:r>
      <w:r w:rsidRPr="00E72B02">
        <w:rPr>
          <w:lang w:val="es-ES_tradnl"/>
        </w:rPr>
        <w:t xml:space="preserve"> Ello es fundamental en tanto dicho reconocimiento determina su existencia efectiva ante la sociedad y el Estado, lo que le permite ser titular de derechos y obligaciones, lo cual constituye un derecho inherente al ser humano que no puede ser en ningún momento derogado por el Estado</w:t>
      </w:r>
      <w:r w:rsidR="000352E5">
        <w:rPr>
          <w:lang w:val="es-ES_tradnl"/>
        </w:rPr>
        <w:t>.</w:t>
      </w:r>
      <w:r w:rsidRPr="00E72B02">
        <w:rPr>
          <w:rStyle w:val="Refdenotaalpie"/>
        </w:rPr>
        <w:footnoteReference w:id="520"/>
      </w:r>
    </w:p>
    <w:p w:rsidR="00043C86" w:rsidRPr="00E72B02" w:rsidRDefault="00043C86" w:rsidP="004551E9">
      <w:r w:rsidRPr="00E72B02">
        <w:t xml:space="preserve">Ahora bien, fuera del contexto del DIDH y de los órganos internacionales específicos en la materia, la personalidad jurídica del individuo es mucho más discutida. No fue hasta 2001 cuando el TIJ, máximo intérprete del Derecho Internacional General, reconoció expresamente que algunas normas internacionales confieren derechos individuales los cuales resultan oponibles frente al propio Estado como respecto de terceros Estados. En el caso </w:t>
      </w:r>
      <w:r w:rsidRPr="00E72B02">
        <w:rPr>
          <w:i/>
        </w:rPr>
        <w:t>LaGrand</w:t>
      </w:r>
      <w:r w:rsidRPr="00E72B02">
        <w:t xml:space="preserve"> el TIJ señaló que el Artículo 63, párrafo 1, de la Convención de Viena sobre Relaciones Consultares de 1963, “</w:t>
      </w:r>
      <w:r w:rsidRPr="00E72B02">
        <w:rPr>
          <w:i/>
        </w:rPr>
        <w:t>crea derechos individuales, los cuales por virtud del Artículo 1 del Protocolo Facultativ</w:t>
      </w:r>
      <w:r w:rsidR="00DB11AD" w:rsidRPr="00E72B02">
        <w:rPr>
          <w:i/>
        </w:rPr>
        <w:t>o</w:t>
      </w:r>
      <w:r w:rsidRPr="00E72B02">
        <w:rPr>
          <w:i/>
        </w:rPr>
        <w:t>, pueden ser invocados en este Tribunal por parte del Estado de la nacionalidad de la persona detenida</w:t>
      </w:r>
      <w:r w:rsidRPr="00E72B02">
        <w:t>”.</w:t>
      </w:r>
      <w:r w:rsidRPr="00E72B02">
        <w:rPr>
          <w:rStyle w:val="Refdenotaalpie"/>
          <w:lang w:val="es-ES"/>
        </w:rPr>
        <w:footnoteReference w:id="521"/>
      </w:r>
      <w:r w:rsidRPr="00E72B02">
        <w:t xml:space="preserve"> Dicha afirmación fue posteriormente reafirmada en el caso </w:t>
      </w:r>
      <w:r w:rsidRPr="00E72B02">
        <w:rPr>
          <w:i/>
        </w:rPr>
        <w:t>Avina</w:t>
      </w:r>
      <w:r w:rsidRPr="00E72B02">
        <w:t xml:space="preserve"> en 2004.</w:t>
      </w:r>
      <w:r w:rsidRPr="00E72B02">
        <w:rPr>
          <w:rStyle w:val="Refdenotaalpie"/>
          <w:lang w:val="es-ES"/>
        </w:rPr>
        <w:footnoteReference w:id="522"/>
      </w:r>
    </w:p>
    <w:p w:rsidR="00043C86" w:rsidRPr="00E72B02" w:rsidRDefault="00043C86" w:rsidP="004551E9">
      <w:r w:rsidRPr="00E72B02">
        <w:t xml:space="preserve">Más recientemente, el TIJ en el marco del caso </w:t>
      </w:r>
      <w:r w:rsidRPr="00E72B02">
        <w:rPr>
          <w:i/>
        </w:rPr>
        <w:t>Diallo</w:t>
      </w:r>
      <w:r w:rsidRPr="00E72B02">
        <w:t xml:space="preserve">, ha vuelto a reiterar su doctrina sobre la existencia de derechos individuales de fuente de derecho internacional los cuales pueden ser reclamados ante dicho tribunal por parte del Estado de su nacionalidad frente a otros sujetos de Derecho Internacional legitimados para litigar ente el máximo tribunal </w:t>
      </w:r>
      <w:r w:rsidRPr="00E72B02">
        <w:lastRenderedPageBreak/>
        <w:t>internacional.</w:t>
      </w:r>
      <w:r w:rsidRPr="00E72B02">
        <w:rPr>
          <w:rStyle w:val="Refdenotaalpie"/>
          <w:lang w:val="es-ES"/>
        </w:rPr>
        <w:footnoteReference w:id="523"/>
      </w:r>
      <w:r w:rsidRPr="00E72B02">
        <w:t xml:space="preserve"> Cabe aclarar que el TIJ no dedica gran atención o esfuerzo por interpretar o aportar fundamentos sobre esta afirmación, lo cual resulta entendible dado la naturaleza su jurisdicción </w:t>
      </w:r>
      <w:r w:rsidRPr="00E72B02">
        <w:rPr>
          <w:i/>
        </w:rPr>
        <w:t>ratione materiae</w:t>
      </w:r>
      <w:r w:rsidRPr="00E72B02">
        <w:t xml:space="preserve">, y </w:t>
      </w:r>
      <w:r w:rsidRPr="00E72B02">
        <w:rPr>
          <w:i/>
        </w:rPr>
        <w:t>ratione personae</w:t>
      </w:r>
      <w:r w:rsidRPr="00E72B02">
        <w:t>. A pesar de ello, es de destacar que el propio TIJ afirma en este caso el valor fundamental de los organismos internacionales de derechos humanos (en especial del C</w:t>
      </w:r>
      <w:r w:rsidR="0026465D" w:rsidRPr="00E72B02">
        <w:t>teDH</w:t>
      </w:r>
      <w:r w:rsidRPr="00E72B02">
        <w:t>) como intérpretes autorizados de los instrumentos internacionales de derechos humanos.</w:t>
      </w:r>
      <w:r w:rsidRPr="00E72B02">
        <w:rPr>
          <w:rStyle w:val="Refdenotaalpie"/>
          <w:lang w:val="es-ES"/>
        </w:rPr>
        <w:footnoteReference w:id="524"/>
      </w:r>
      <w:r w:rsidRPr="00E72B02">
        <w:t xml:space="preserve"> </w:t>
      </w:r>
    </w:p>
    <w:p w:rsidR="00043C86" w:rsidRPr="00E72B02" w:rsidRDefault="00043C86" w:rsidP="004551E9"/>
    <w:p w:rsidR="00043C86" w:rsidRPr="00AD5CEE" w:rsidRDefault="00AD5CEE" w:rsidP="00AD5CEE">
      <w:pPr>
        <w:pStyle w:val="TITULO11"/>
        <w:jc w:val="both"/>
        <w:rPr>
          <w:sz w:val="24"/>
          <w:szCs w:val="24"/>
        </w:rPr>
      </w:pPr>
      <w:r w:rsidRPr="00AD5CEE">
        <w:rPr>
          <w:sz w:val="24"/>
          <w:szCs w:val="24"/>
        </w:rPr>
        <w:t>4.2.2 EL DERECHO A LA CAPACIDAD JURÍDICA</w:t>
      </w:r>
    </w:p>
    <w:p w:rsidR="00043C86" w:rsidRPr="00E72B02" w:rsidRDefault="00043C86" w:rsidP="004551E9"/>
    <w:p w:rsidR="00043C86" w:rsidRPr="00E72B02" w:rsidRDefault="00043C86" w:rsidP="004551E9">
      <w:r w:rsidRPr="00E72B02">
        <w:t>A diferencia del derecho a la personalidad jurídica, el concepto de “capacidad jurídica” ha sido escasamente recogido en los instrumentos internacionales de derechos humanos. Ello quizás pueda explicarse dado que la institución de la capacidad jurídica ha sido tradicionalmente abordada desde la perspectiva del derecho privado sobre la base de los antecedentes históricos del derecho romano, y como consecuencia de ello, como un asunto reservado a la jurisdicción interna de los Estados.</w:t>
      </w:r>
    </w:p>
    <w:p w:rsidR="00043C86" w:rsidRPr="00E72B02" w:rsidRDefault="00043C86" w:rsidP="004551E9">
      <w:r w:rsidRPr="00E72B02">
        <w:t xml:space="preserve">Como hemos visto, históricamente los derechos humanos han velado por garantizar la puerta de acceso a la titularidad de los derechos, estableciendo estándares mínimos de reconocimiento a nivel universal, incluso por encima de cualquier valor o consideración cultural, religiosa, política o de cualquier otra índole. Sin embargo, en los últimos tiempos, la comunidad internacional parece haber hecho eco de la necesidad de incorporar al discurso de los derechos humanos la necesidad de velar por garantizar la </w:t>
      </w:r>
      <w:r w:rsidRPr="00E72B02">
        <w:lastRenderedPageBreak/>
        <w:t xml:space="preserve">puerta de acceso al ejercicio de los derechos, y más precisamente, introducirse en las condiciones de dicho acceso. </w:t>
      </w:r>
    </w:p>
    <w:p w:rsidR="00043C86" w:rsidRPr="00E72B02" w:rsidRDefault="00043C86" w:rsidP="004551E9">
      <w:r w:rsidRPr="00E72B02">
        <w:t xml:space="preserve">Por ello, la conexión entre capacidad jurídica, entendida como la dimensión de acceso al ejercicio de los derechos, y los derechos humanos nos permite situar a las condiciones de ejercicio estipuladas en normas universales, por encima de toda consideración nacional, cultural, religiosa, e incluso cuestionar instituciones jurídicas con más de un milenio de vigencia, guiados por el principio </w:t>
      </w:r>
      <w:r w:rsidRPr="00E72B02">
        <w:rPr>
          <w:i/>
        </w:rPr>
        <w:t xml:space="preserve">pro </w:t>
      </w:r>
      <w:r w:rsidR="00DB11AD" w:rsidRPr="00E72B02">
        <w:rPr>
          <w:i/>
        </w:rPr>
        <w:t>persona</w:t>
      </w:r>
      <w:r w:rsidRPr="00E72B02">
        <w:t xml:space="preserve"> como máxima aspiración de justicia.</w:t>
      </w:r>
      <w:r w:rsidRPr="00E72B02">
        <w:rPr>
          <w:rStyle w:val="Refdenotaalpie"/>
        </w:rPr>
        <w:footnoteReference w:id="525"/>
      </w:r>
    </w:p>
    <w:p w:rsidR="00043C86" w:rsidRPr="00E72B02" w:rsidRDefault="00043C86" w:rsidP="004551E9">
      <w:r w:rsidRPr="00E72B02">
        <w:t>El primer instrumento internacional de carácter vinculante que recoge la noción de “capacidad jurídica” es el artículo 15 de la CEFDM cuyos incisos 2 y</w:t>
      </w:r>
      <w:r w:rsidR="0026465D" w:rsidRPr="00E72B02">
        <w:t xml:space="preserve"> </w:t>
      </w:r>
      <w:r w:rsidRPr="00E72B02">
        <w:t>3 establecen que:</w:t>
      </w:r>
    </w:p>
    <w:p w:rsidR="00043C86" w:rsidRPr="00E72B02" w:rsidRDefault="00043C86" w:rsidP="004551E9">
      <w:pPr>
        <w:pStyle w:val="Cita"/>
      </w:pPr>
      <w:r w:rsidRPr="00E72B02">
        <w:t>“2. Los Estados Partes reconocerán a la mujer, en materias civiles, una capacidad jurídica idéntica a la del hombre y las mismas oportunidades para el ejercicio de esa capacidad. En particular, le reconocerán a la mujer iguales derechos para firmar contratos y administrar bienes y le dispensarán un trato igual en todas las etapas del procedimiento en las cortes de justicia y los tribunales.</w:t>
      </w:r>
    </w:p>
    <w:p w:rsidR="00043C86" w:rsidRPr="00E72B02" w:rsidRDefault="00043C86" w:rsidP="004551E9">
      <w:pPr>
        <w:pStyle w:val="Cita"/>
      </w:pPr>
      <w:r w:rsidRPr="00E72B02">
        <w:t xml:space="preserve">3. Los Estados Partes convienen en que todo contrato o cualquier otro instrumento privado con efecto jurídico que tienda a limitar la capacidad jurídica de la mujer se considerará nulo.”    </w:t>
      </w:r>
    </w:p>
    <w:p w:rsidR="00043C86" w:rsidRPr="00E72B02" w:rsidRDefault="00043C86" w:rsidP="004551E9">
      <w:r w:rsidRPr="00E72B02">
        <w:t xml:space="preserve">El artículo 15(2) de la CEFDM asegura la igual “capacidad jurídica” de la mujer respecto del hombre y las mismas oportunidades para “ejercer dicha capacidad”. Esta disposición, que tiene su corolario en el principio de </w:t>
      </w:r>
      <w:r w:rsidRPr="00E72B02">
        <w:lastRenderedPageBreak/>
        <w:t>autonomía o auto-determinación, según el cual se presume que cada individuo es capaz de adoptar sus propias elecciones de vida y de actuar de un modo independiente sobre la base de su consciencia. Al referirse a la capacidad de llevar a cabo ciertas acciones o ser parte de relaciones jurídicas particulares, este definición parece sugerir que el término “capacidad jurídica” tiene elementos comunes con el de “capacidad de obrar”, es decir, capacidad de celebrar actos con efectos jurídicos.</w:t>
      </w:r>
      <w:r w:rsidRPr="00E72B02">
        <w:rPr>
          <w:rStyle w:val="Refdenotaalpie"/>
          <w:lang w:val="es-ES"/>
        </w:rPr>
        <w:footnoteReference w:id="526"/>
      </w:r>
    </w:p>
    <w:p w:rsidR="00043C86" w:rsidRPr="00E72B02" w:rsidRDefault="00043C86" w:rsidP="004551E9">
      <w:r w:rsidRPr="00E72B02">
        <w:t>El C</w:t>
      </w:r>
      <w:r w:rsidR="0026465D" w:rsidRPr="00E72B02">
        <w:t>te</w:t>
      </w:r>
      <w:r w:rsidRPr="00E72B02">
        <w:t>EDM, ha señalado en su Recomendación General nº 21 que “cuando la mujer no puede celebrar un contrato en absoluto, ni pedir créditos, o sólo puede hacerlo con el consentimiento o el aval del marido o un pariente varón, se le niega su autonomía jurídica. Toda restricción de este género le impide poseer bienes como propietaria exclusiva y le imposibilita la administración legal de sus propios negocios o la celebración de cualquier otro tipo de contrato. Las restricciones de esta índole limitan seriamente su capacidad de proveer a sus necesidades o las de sus familiares a cargo”.</w:t>
      </w:r>
      <w:r w:rsidRPr="00E72B02">
        <w:rPr>
          <w:rStyle w:val="Refdenotaalpie"/>
          <w:lang w:val="es-ES"/>
        </w:rPr>
        <w:footnoteReference w:id="527"/>
      </w:r>
      <w:r w:rsidRPr="00E72B02">
        <w:t xml:space="preserve"> </w:t>
      </w:r>
    </w:p>
    <w:p w:rsidR="00043C86" w:rsidRPr="00E72B02" w:rsidRDefault="00043C86" w:rsidP="004551E9">
      <w:r w:rsidRPr="00E72B02">
        <w:t xml:space="preserve">Como señala un comentario al Artículo 15(2) de la CEFDM, al centrarse en lograr el mismo reconocimiento de la capacidad jurídica en relación con los hombres, la Convención aborda el des-empoderamiento de las mujeres por motivo de género que se encuentra arraizado en muchos sistemas jurídicos. El Artículo 15(2) establece que las mujeres deben gozar de las mismas oportunidades para ejercer su capacidad jurídica. Ello supone que será necesario implementar sistemas de apoyos para ejercer los derechos económicos y sociales incorporados en la Convención tales como el </w:t>
      </w:r>
      <w:r w:rsidRPr="00E72B02">
        <w:lastRenderedPageBreak/>
        <w:t xml:space="preserve">Artículo </w:t>
      </w:r>
      <w:r w:rsidR="00DB11AD" w:rsidRPr="00E72B02">
        <w:t>1</w:t>
      </w:r>
      <w:r w:rsidRPr="00E72B02">
        <w:t>0 sobre educación, o los Artículos 3 y 14 que implícitamente abordan la pobreza.</w:t>
      </w:r>
      <w:r w:rsidRPr="00E72B02">
        <w:rPr>
          <w:rStyle w:val="Refdenotaalpie"/>
          <w:lang w:val="es-ES"/>
        </w:rPr>
        <w:footnoteReference w:id="528"/>
      </w:r>
    </w:p>
    <w:p w:rsidR="000E22B3" w:rsidRPr="00E72B02" w:rsidRDefault="00043C86" w:rsidP="004551E9">
      <w:r w:rsidRPr="00E72B02">
        <w:t xml:space="preserve">   Por su parte la CDN, y sin mencionar expresamente la noción de capacidad jurídica, recoge en sus disposiciones (principalmente por intermedio del Artículo 12) el derecho del niño a </w:t>
      </w:r>
      <w:r w:rsidRPr="00E72B02">
        <w:rPr>
          <w:rFonts w:eastAsia="Calibri"/>
        </w:rPr>
        <w:t>participar en la toma de decisiones que se realicen sobre aquellos asuntos que directamente le afecten</w:t>
      </w:r>
      <w:r w:rsidRPr="00E72B02">
        <w:t>.</w:t>
      </w:r>
      <w:r w:rsidRPr="00E72B02">
        <w:rPr>
          <w:rStyle w:val="Refdenotaalpie"/>
          <w:lang w:val="es-ES"/>
        </w:rPr>
        <w:footnoteReference w:id="529"/>
      </w:r>
      <w:r w:rsidRPr="00E72B02">
        <w:t xml:space="preserve"> Aquí la CDN también intenta penetrar en materia de regulación de la capacidad jurídica por parte de los Estados en relación con los niños y niñas. </w:t>
      </w:r>
      <w:r w:rsidR="000E22B3">
        <w:t xml:space="preserve">Prueba fehaciente de lo señalado lo podemos evidenciar en la reciente entrada en vigor del III Protocolo </w:t>
      </w:r>
      <w:r w:rsidR="000E22B3" w:rsidRPr="000E22B3">
        <w:t xml:space="preserve"> Facultativo de la Convención sobre los Derechos del Niño relativo a un procedimiento de comunicacione</w:t>
      </w:r>
      <w:r w:rsidR="000E22B3">
        <w:t>s,</w:t>
      </w:r>
      <w:r w:rsidR="000E22B3">
        <w:rPr>
          <w:rStyle w:val="Refdenotaalpie"/>
          <w:lang w:val="es-ES"/>
        </w:rPr>
        <w:footnoteReference w:id="530"/>
      </w:r>
      <w:r w:rsidR="000E22B3">
        <w:t xml:space="preserve"> el cual otorga legitimación directa a los niños y niñas cuyos derechos son protegidos por la CDN. Al respecto el artículo 5 señala que las comunicaciones individuales podrán ser presentadas “</w:t>
      </w:r>
      <w:r w:rsidR="000E22B3" w:rsidRPr="0099047C">
        <w:rPr>
          <w:i/>
        </w:rPr>
        <w:t>por, o en nombre de, personas o grupos de personas sujetas a la jurisdicción de un Estado parte que afirmen ser</w:t>
      </w:r>
      <w:r w:rsidR="0099047C" w:rsidRPr="0099047C">
        <w:rPr>
          <w:i/>
        </w:rPr>
        <w:t xml:space="preserve"> </w:t>
      </w:r>
      <w:r w:rsidR="000E22B3" w:rsidRPr="0099047C">
        <w:rPr>
          <w:i/>
        </w:rPr>
        <w:t>víctimas de una violación por el Estado parte de cualquiera de los derechos</w:t>
      </w:r>
      <w:r w:rsidR="0099047C" w:rsidRPr="0099047C">
        <w:rPr>
          <w:i/>
        </w:rPr>
        <w:t xml:space="preserve"> </w:t>
      </w:r>
      <w:r w:rsidR="000E22B3" w:rsidRPr="0099047C">
        <w:rPr>
          <w:i/>
        </w:rPr>
        <w:t>enunciados</w:t>
      </w:r>
      <w:r w:rsidR="0099047C">
        <w:t>” en la CDN y sus Protocolos Facultativos. Con lo cual para el Protocolo, cualquier niño o niña, independientemente del reconocimiento de su capacidad de obrar en virtud del derecho doméstico del Estado cuya violación se alega, tendrá capacidad jurídica internacional para presentar una denuncia ante el Comité. Más aún, el segundo párrafo del citado Artículo 5 señala que “…</w:t>
      </w:r>
      <w:r w:rsidR="0099047C" w:rsidRPr="0099047C">
        <w:rPr>
          <w:i/>
        </w:rPr>
        <w:t xml:space="preserve">Cuando se presente una comunicación en nombre de una persona o un grupo  de personas, se requerirá su </w:t>
      </w:r>
      <w:r w:rsidR="0099047C" w:rsidRPr="0099047C">
        <w:rPr>
          <w:i/>
        </w:rPr>
        <w:lastRenderedPageBreak/>
        <w:t>consentimiento, a menos que el autor pueda justificar el actuar en su nombre sin tal consentimiento</w:t>
      </w:r>
      <w:r w:rsidR="0099047C">
        <w:t xml:space="preserve">”.  Con lo cual se podría señalar que el Protocolo no solo reconoce la capacidad jurídica internacional de los niños y niñas, al menos en lo que respecta a la legitimación activa ante el procedimiento de comunicaciones individuales, sino que también </w:t>
      </w:r>
      <w:r w:rsidR="00574199">
        <w:t xml:space="preserve">establece salvaguardias para garantizar que incluso en los casos de representación legal, el consentimiento del niño o niña </w:t>
      </w:r>
      <w:r w:rsidR="001171A7">
        <w:t>sea</w:t>
      </w:r>
      <w:r w:rsidR="00574199">
        <w:t xml:space="preserve"> requerido. </w:t>
      </w:r>
    </w:p>
    <w:p w:rsidR="00043C86" w:rsidRPr="00E72B02" w:rsidRDefault="00043C86" w:rsidP="004551E9">
      <w:r w:rsidRPr="00E72B02">
        <w:t>Finalmente la CDPD en su Artículo 12(2) vuelve a reiterar el concepto utilizado por el Artículo 15 de la CEDFM en un contexto similar al señalar que “</w:t>
      </w:r>
      <w:r w:rsidRPr="000352E5">
        <w:rPr>
          <w:i/>
        </w:rPr>
        <w:t>los Estados Partes reconocerán que las personas con discapacidad tienen capacidad jurídica en igualdad de condiciones con las demás en todos los aspectos de la vida</w:t>
      </w:r>
      <w:r w:rsidRPr="00E72B02">
        <w:t>”.</w:t>
      </w:r>
    </w:p>
    <w:p w:rsidR="00043C86" w:rsidRPr="00E72B02" w:rsidRDefault="00043C86" w:rsidP="004551E9">
      <w:r w:rsidRPr="00E72B02">
        <w:t>Con lo cual, el contexto actual del desarrollo del DIDH no</w:t>
      </w:r>
      <w:r w:rsidR="00DB11AD" w:rsidRPr="00E72B02">
        <w:t>s</w:t>
      </w:r>
      <w:r w:rsidRPr="00E72B02">
        <w:t xml:space="preserve"> permite </w:t>
      </w:r>
      <w:r w:rsidR="0078741B">
        <w:t xml:space="preserve">concluir </w:t>
      </w:r>
      <w:r w:rsidRPr="00E72B02">
        <w:t>que la capacidad jurídica es una derivación del derecho a la personalidad jurídica. Ahora bien, y sin perjuicio de ello, mientras la personalidad jurídica se erige como un derecho absoluto y no sujeto a ningún tipo de restricción por parte de los Estados, en el reconocimiento y regulación de la capacidad jurídica los Estados goza de un cierto margen de apreciación.</w:t>
      </w:r>
      <w:r w:rsidRPr="00E72B02">
        <w:rPr>
          <w:rStyle w:val="Refdenotaalpie"/>
          <w:lang w:val="es-ES"/>
        </w:rPr>
        <w:footnoteReference w:id="531"/>
      </w:r>
      <w:r w:rsidRPr="00E72B02">
        <w:t xml:space="preserve"> Dicho margen de apreciación se encuentra limitado por el principio general de no discriminación reconocido universalmente por todos los instrumentos internacionales de derechos humanos vinculantes.</w:t>
      </w:r>
      <w:r w:rsidR="004D4555">
        <w:rPr>
          <w:rStyle w:val="Refdenotaalpie"/>
          <w:lang w:val="es-ES"/>
        </w:rPr>
        <w:footnoteReference w:id="532"/>
      </w:r>
      <w:r w:rsidRPr="00E72B02">
        <w:t xml:space="preserve"> Más aún, algunos instrumentos internacionales específicos comienzan a incluir cláusulas </w:t>
      </w:r>
      <w:r w:rsidRPr="00E72B02">
        <w:lastRenderedPageBreak/>
        <w:t xml:space="preserve">específicas de no discriminación en relación con ciertos grupos o colectivos de personas, tales como mujeres, niños </w:t>
      </w:r>
      <w:r w:rsidR="00DB11AD" w:rsidRPr="00E72B02">
        <w:t xml:space="preserve">y niñas </w:t>
      </w:r>
      <w:r w:rsidRPr="00E72B02">
        <w:t xml:space="preserve">y personas con discapacidad. </w:t>
      </w:r>
    </w:p>
    <w:p w:rsidR="00043C86" w:rsidRPr="00E72B02" w:rsidRDefault="00043C86" w:rsidP="004551E9"/>
    <w:p w:rsidR="00043C86" w:rsidRPr="00AD5CEE" w:rsidRDefault="00AD5CEE" w:rsidP="00AD5CEE">
      <w:pPr>
        <w:pStyle w:val="TITULO11"/>
        <w:jc w:val="both"/>
        <w:rPr>
          <w:b/>
          <w:sz w:val="24"/>
          <w:szCs w:val="24"/>
        </w:rPr>
      </w:pPr>
      <w:r w:rsidRPr="00AD5CEE">
        <w:rPr>
          <w:b/>
          <w:sz w:val="24"/>
          <w:szCs w:val="24"/>
        </w:rPr>
        <w:t>4.3. EL EJERCICIO DE LA CAPACIDAD JURÍDICA COMO GARANTÍA DE ACCESO AL GOCE Y EJERCICIO DE TODOS LOS DERECHOS HUMANOS</w:t>
      </w:r>
    </w:p>
    <w:p w:rsidR="00043C86" w:rsidRPr="00E72B02" w:rsidRDefault="00043C86" w:rsidP="004551E9"/>
    <w:p w:rsidR="00043C86" w:rsidRPr="00E72B02" w:rsidRDefault="00043C86" w:rsidP="004551E9">
      <w:r w:rsidRPr="00E72B02">
        <w:t xml:space="preserve">Más allá de los debates y las intensas discusiones que se generaron a lo largo del proceso de negociación de la CDPD, la inclusión final del texto del Artículo 12 en dicho instrumento ha puesto en evidencia </w:t>
      </w:r>
      <w:r w:rsidR="00DB11AD" w:rsidRPr="00E72B02">
        <w:t>algo que el DIDH no había logrado</w:t>
      </w:r>
      <w:r w:rsidRPr="00E72B02">
        <w:t xml:space="preserve"> situar en la agenda internacional de los Estados, de los órganos de seguimiento y de los tribunales regionales, esto es, la relevancia jurídica y práctica del reconocimiento de la “capacidad jurídica” de las personas </w:t>
      </w:r>
      <w:r w:rsidR="00DB11AD" w:rsidRPr="00E72B02">
        <w:t xml:space="preserve">para el </w:t>
      </w:r>
      <w:r w:rsidRPr="00E72B02">
        <w:t>goce efectivo de todos los derechos humanos reconocidos universalmente. Por ello, el acceso real y efectivo al ejercicio de la capacidad jurídica, se presenta como un pre-requisito esencial, o como puerta de acceso a los derechos humanos.</w:t>
      </w:r>
    </w:p>
    <w:p w:rsidR="00043C86" w:rsidRPr="00E72B02" w:rsidRDefault="00043C86" w:rsidP="004551E9">
      <w:pPr>
        <w:rPr>
          <w:lang w:val="es-MX"/>
        </w:rPr>
      </w:pPr>
      <w:r w:rsidRPr="00E72B02">
        <w:rPr>
          <w:lang w:val="es-MX"/>
        </w:rPr>
        <w:t xml:space="preserve">A este respecto, hay que tener en cuenta que los derechos humanos se refieren a los derechos inalienables de la persona y se definen por el sólo hecho de ser persona. De ahí la relación entre la titularidad de los derechos con los derechos humanos. Los derechos humanos reconocen, desde una perspectiva universal, que por el hecho de ser </w:t>
      </w:r>
      <w:r w:rsidR="002F4491">
        <w:rPr>
          <w:lang w:val="es-MX"/>
        </w:rPr>
        <w:t>persona</w:t>
      </w:r>
      <w:r w:rsidRPr="00E72B02">
        <w:rPr>
          <w:lang w:val="es-MX"/>
        </w:rPr>
        <w:t xml:space="preserve">, se tiene la titularidad de los derechos. </w:t>
      </w:r>
    </w:p>
    <w:p w:rsidR="00043C86" w:rsidRPr="00E72B02" w:rsidRDefault="00043C86" w:rsidP="004551E9">
      <w:pPr>
        <w:rPr>
          <w:lang w:val="es-MX"/>
        </w:rPr>
      </w:pPr>
      <w:r w:rsidRPr="00E72B02">
        <w:rPr>
          <w:lang w:val="es-MX"/>
        </w:rPr>
        <w:t xml:space="preserve">Sin embargo, como hemos visto más arriba, el PIDCP parece no ir más allá de la titularidad y considera que el Estado es el encargado de regular el ejercicio de esos derechos con lo cual, a pesar de que la persona ha sido reconocida como titular de los derechos humanos, la regulación del ejercicio de éstos queda encomendada al ámbito doméstico. </w:t>
      </w:r>
    </w:p>
    <w:p w:rsidR="00043C86" w:rsidRPr="00E72B02" w:rsidRDefault="00043C86" w:rsidP="004551E9">
      <w:pPr>
        <w:rPr>
          <w:lang w:val="es-MX"/>
        </w:rPr>
      </w:pPr>
      <w:r w:rsidRPr="00E72B02">
        <w:rPr>
          <w:lang w:val="es-MX"/>
        </w:rPr>
        <w:lastRenderedPageBreak/>
        <w:t>A partir de la aplicación del discurso de los derechos humanos, comienzan a identificarse problemáticas con respecto al ejercicio de dichos derechos, principalmente, por parte de las mujeres, aunque también en ciertos aspectos, en relación con los niños y niñas. Ello condujo a afinar la noción de que los derechos humanos no sólo están relacionados con la titularidad de derechos sino también con su ejercicio, con lo cual el derecho internacional de los derechos humanos irrumpe en el ámbito del derecho nacional, principalmente en el ámbito del Derecho Civil.</w:t>
      </w:r>
    </w:p>
    <w:p w:rsidR="00043C86" w:rsidRPr="00E72B02" w:rsidRDefault="00043C86" w:rsidP="004551E9">
      <w:pPr>
        <w:rPr>
          <w:lang w:val="es-MX"/>
        </w:rPr>
      </w:pPr>
      <w:r w:rsidRPr="00E72B02">
        <w:rPr>
          <w:lang w:val="es-MX"/>
        </w:rPr>
        <w:t>En efecto, los derechos humanos empiezan a cuestionar el concepto del ejercicio de los derechos al considerar que el ejercicio es precisamente parte intrínseca de los mismos. Los derechos humanos tienen que garantizar igualdad en el ejercicio de los derechos, lo que significa necesariamente irrumpir en el sistema clásico del derecho civil que viene en nuestros ordenamientos derivados del Derecho Romano, y más directamente del Código Napoleónico.</w:t>
      </w:r>
    </w:p>
    <w:p w:rsidR="00043C86" w:rsidRPr="00E72B02" w:rsidRDefault="00043C86" w:rsidP="004551E9">
      <w:r w:rsidRPr="00E72B02">
        <w:t xml:space="preserve">Más allá de los objetivos particulares subyacentes en cada uno de los derechos humanos reconocidos universalmente, en su conjunto, los derechos humanos tienen como objetivo garantizar el respeto de la dignidad inherente del ser humano, la cual se construye principalmente a través del reconocimiento de la autotomía moral y la posibilidad de perseguir un proyecto de vida personal. </w:t>
      </w:r>
    </w:p>
    <w:p w:rsidR="00043C86" w:rsidRPr="00E72B02" w:rsidRDefault="00043C86" w:rsidP="004551E9">
      <w:r w:rsidRPr="00E72B02">
        <w:t xml:space="preserve">Por ello, hoy día, parece indudable que la regulación de la capacidad jurídica está directamente condicionada por estándares de derechos humanos y libertades fundamentales de carácter universal, esto es, el principio general de no discriminación, y las obligaciones específicas recogidas la CEFDM, la CDN, y la CDPD.  </w:t>
      </w:r>
    </w:p>
    <w:p w:rsidR="00043C86" w:rsidRPr="00E72B02" w:rsidRDefault="00043C86" w:rsidP="004551E9">
      <w:r w:rsidRPr="00E72B02">
        <w:t xml:space="preserve">En el último siglo, la reivindicación y reconocimiento de derechos generales o específicos ha sido incesante, al punto de contar hoy día, con una especie de código universal de derechos humanos. Ahora bien, sin perjuicio del valor histórico, político y social que los derechos han adquirido como </w:t>
      </w:r>
      <w:r w:rsidRPr="00E72B02">
        <w:lastRenderedPageBreak/>
        <w:t>limitaciones al poder</w:t>
      </w:r>
      <w:r w:rsidRPr="00E72B02">
        <w:rPr>
          <w:rStyle w:val="Refdenotaalpie"/>
        </w:rPr>
        <w:footnoteReference w:id="533"/>
      </w:r>
      <w:r w:rsidRPr="00E72B02">
        <w:t>, las reivindicaciones del último medio siglo en materia de derechos humanos ya no apuntan tanto el reconocimiento de derechos, sino más bien al cumplimiento o a la realización de los mismos, para lo cual, previa y necesariamente, es preciso centrarse en el ejercicio, es decir, en la capacidad de una persona de ejercer según su propia voluntad, los derechos reconocidos.</w:t>
      </w:r>
      <w:r w:rsidRPr="00E72B02">
        <w:rPr>
          <w:rStyle w:val="Refdenotaalpie"/>
          <w:lang w:val="es-ES"/>
        </w:rPr>
        <w:footnoteReference w:id="534"/>
      </w:r>
      <w:r w:rsidRPr="00E72B02">
        <w:t xml:space="preserve">    </w:t>
      </w:r>
    </w:p>
    <w:p w:rsidR="00043C86" w:rsidRPr="00E72B02" w:rsidRDefault="00043C86" w:rsidP="004551E9">
      <w:r w:rsidRPr="00E72B02">
        <w:t xml:space="preserve">De este modo, la condición de persona es la puerta de acceso a la titularidad de los derechos, y la capacidad jurídica, es la puerta de acceso al ejercicio de los mismos. Sin un reconocimiento pleno de </w:t>
      </w:r>
      <w:r w:rsidR="005F66B6" w:rsidRPr="00E72B02">
        <w:t xml:space="preserve">la </w:t>
      </w:r>
      <w:r w:rsidRPr="00E72B02">
        <w:t>capacidad jurídica, no es posible acceder verdaderamente al ejercicio de los derechos humanos en general, pero tampoco al exhaustivo y detallado listado de derechos reconocidos por la CDPD a todas las personas con discapacidad.</w:t>
      </w:r>
      <w:r w:rsidRPr="00E72B02">
        <w:rPr>
          <w:rStyle w:val="Refdenotaalpie"/>
        </w:rPr>
        <w:footnoteReference w:id="535"/>
      </w:r>
      <w:r w:rsidRPr="00E72B02">
        <w:t xml:space="preserve">  </w:t>
      </w:r>
    </w:p>
    <w:p w:rsidR="00043C86" w:rsidRPr="00E72B02" w:rsidRDefault="00043C86" w:rsidP="004551E9">
      <w:r w:rsidRPr="00E72B02">
        <w:t xml:space="preserve">Como señala QUINN, “la capacidad jurídica provee la cubierta jurídica a través de la cual se puede mejorar la personalidad en el “mundo de la vida”. En primer lugar permite a las personas hacer su propio universo jurídico, una red de derechos y obligaciones recíprocas, lo cual permite una expresión de voluntad en el mundo de la vida. Éste, es el rol básico de la capacidad jurídica, es decir la capacidad jurídica abre un espacio de libertad </w:t>
      </w:r>
      <w:r w:rsidRPr="00E72B02">
        <w:lastRenderedPageBreak/>
        <w:t>personal. De manera sencilla y sin ningún tipo de coerción permite interacciones y lo hace principalmente mediante contratos jurídicos”.</w:t>
      </w:r>
      <w:r w:rsidRPr="00E72B02">
        <w:rPr>
          <w:rStyle w:val="Refdenotaalpie"/>
          <w:lang w:val="es-ES"/>
        </w:rPr>
        <w:footnoteReference w:id="536"/>
      </w:r>
    </w:p>
    <w:p w:rsidR="00043C86" w:rsidRPr="00E72B02" w:rsidRDefault="00043C86" w:rsidP="004551E9">
      <w:r w:rsidRPr="00E72B02">
        <w:t xml:space="preserve"> </w:t>
      </w:r>
      <w:r w:rsidRPr="00E72B02">
        <w:rPr>
          <w:caps/>
        </w:rPr>
        <w:t>Bach</w:t>
      </w:r>
      <w:r w:rsidRPr="00E72B02">
        <w:t xml:space="preserve"> destaca que “tener capacidad jurídica de obrar propia resulta central para la forma en que una persona puede formar su potestad como persona. Si uno puede heredar un bien (en virtud del derecho a la personalidad jurídica reconocida según la interpretación mayoritaria del artículo 16 del PIDCP), pero no puede enajenar dicho bien para adquirir otros bienes necesarios para un proyecto de vida personal (debido a que se considera que uno no dispone de la capacidad jurídica necesaria para realizar tales actos), es difícil ver el modo en el cual la personalidad de la persona se ve efectivamente reconocida y protegida”.</w:t>
      </w:r>
      <w:r w:rsidRPr="00E72B02">
        <w:rPr>
          <w:rStyle w:val="Refdenotaalpie"/>
          <w:lang w:val="es-ES"/>
        </w:rPr>
        <w:footnoteReference w:id="537"/>
      </w:r>
    </w:p>
    <w:p w:rsidR="00043C86" w:rsidRPr="00E72B02" w:rsidRDefault="00043C86" w:rsidP="004551E9">
      <w:r w:rsidRPr="00E72B02">
        <w:t>Ahora bien, más allá de las reflexiones teóricas esbozadas anteriormente, el fundamento en torno al reconocimiento de la capacidad jurídica como garantía de acceso real y efectivo a todos los derechos humanos puede ser defendido desde la tipología de las obligaciones emergentes para los Estados en materia de derechos humanos, es decir, obligación de respetar, proteger y realizar.</w:t>
      </w:r>
      <w:r w:rsidRPr="00E72B02">
        <w:rPr>
          <w:rStyle w:val="Refdenotaalpie"/>
          <w:lang w:val="es-ES"/>
        </w:rPr>
        <w:footnoteReference w:id="538"/>
      </w:r>
      <w:r w:rsidRPr="00E72B02">
        <w:t xml:space="preserve"> </w:t>
      </w:r>
    </w:p>
    <w:p w:rsidR="00043C86" w:rsidRPr="00E72B02" w:rsidRDefault="00043C86" w:rsidP="004551E9">
      <w:r w:rsidRPr="00E72B02">
        <w:t xml:space="preserve">La relación entre las obligaciones internacionales en materia de derechos humanos, que surgen principalmente, y como destinatario final, respecto de los Estados, y la regulación de la capacidad jurídica, resulta evidente, en tanto que por un lado el DIDH le impone al Estado una serie de obligaciones (lo que genera derechos en cabeza  de las personas), pero el mismo tiempo le otorga cierta discrecionalidad para regular las condiciones </w:t>
      </w:r>
      <w:r w:rsidRPr="00E72B02">
        <w:lastRenderedPageBreak/>
        <w:t xml:space="preserve">jurídicas y prácticas para acceder efectivamente a dichos derechos (capacidad jurídica).  </w:t>
      </w:r>
    </w:p>
    <w:p w:rsidR="00043C86" w:rsidRPr="00E72B02" w:rsidRDefault="00043C86" w:rsidP="004551E9"/>
    <w:p w:rsidR="00043C86" w:rsidRPr="00AD5CEE" w:rsidRDefault="00AD5CEE" w:rsidP="00AD5CEE">
      <w:pPr>
        <w:pStyle w:val="TITULO11"/>
        <w:jc w:val="both"/>
        <w:rPr>
          <w:sz w:val="24"/>
          <w:szCs w:val="24"/>
        </w:rPr>
      </w:pPr>
      <w:r w:rsidRPr="00AD5CEE">
        <w:rPr>
          <w:sz w:val="24"/>
          <w:szCs w:val="24"/>
        </w:rPr>
        <w:t>4.3.1 CAPACIDAD JURÍDICA COMO GARANTÍA DE RESPETO</w:t>
      </w:r>
    </w:p>
    <w:p w:rsidR="00043C86" w:rsidRPr="00E72B02" w:rsidRDefault="00043C86" w:rsidP="004551E9"/>
    <w:p w:rsidR="00043C86" w:rsidRPr="00E72B02" w:rsidRDefault="00043C86" w:rsidP="004551E9">
      <w:pPr>
        <w:rPr>
          <w:lang w:val="es-ES_tradnl" w:eastAsia="es-ES_tradnl"/>
        </w:rPr>
      </w:pPr>
      <w:r w:rsidRPr="00E72B02">
        <w:t xml:space="preserve">Todas las personas tienen el derecho a que se respeten sus derechos humanos. Esto supone que los Estados tienen la responsabilidad de garantizar el respeto de los derechos humanos dentro de su territorio. </w:t>
      </w:r>
      <w:r w:rsidRPr="00E72B02">
        <w:rPr>
          <w:lang w:val="es-ES_tradnl" w:eastAsia="es-ES_tradnl"/>
        </w:rPr>
        <w:t xml:space="preserve">En términos generales, se trata de una obligación de las llamadas de “no-hacer” ya que se exige del Estado principalmente una abstención en su accionar que pueda de algún modo menoscabar los derechos protegidos. </w:t>
      </w:r>
    </w:p>
    <w:p w:rsidR="00043C86" w:rsidRPr="00E72B02" w:rsidRDefault="00043C86" w:rsidP="004551E9">
      <w:pPr>
        <w:rPr>
          <w:lang w:val="es-ES"/>
        </w:rPr>
      </w:pPr>
      <w:r w:rsidRPr="00E72B02">
        <w:rPr>
          <w:lang w:val="es-ES_tradnl" w:eastAsia="es-ES_tradnl"/>
        </w:rPr>
        <w:t xml:space="preserve">Como señalaba el ex Relator Especial </w:t>
      </w:r>
      <w:r w:rsidRPr="00E72B02">
        <w:rPr>
          <w:caps/>
          <w:lang w:val="es-ES_tradnl" w:eastAsia="es-ES_tradnl"/>
        </w:rPr>
        <w:t>Eide</w:t>
      </w:r>
      <w:r w:rsidRPr="00E72B02">
        <w:rPr>
          <w:lang w:val="es-ES_tradnl" w:eastAsia="es-ES_tradnl"/>
        </w:rPr>
        <w:t xml:space="preserve"> “como las obligaciones de los Estados deben examinarse a partir del supuesto de que los seres humanos, las familias o los grupos más amplios procuran buscar soluciones a sus necesidades, los Estados deben (…) respetar los recursos que posee el individuo, su libertad de buscar el trabajo de su preferencia y de aprovechar al máximo sus conocimientos, y la libertad de tomar las medidas necesarias y de utilizar los recursos que hagan falta –sólo o en asociación con otros- para satisfacer sus propias necesidades”.</w:t>
      </w:r>
      <w:r w:rsidRPr="00E72B02">
        <w:rPr>
          <w:rStyle w:val="Refdenotaalpie"/>
          <w:lang w:val="es-ES_tradnl" w:eastAsia="es-ES_tradnl"/>
        </w:rPr>
        <w:footnoteReference w:id="539"/>
      </w:r>
      <w:r w:rsidRPr="00E72B02">
        <w:rPr>
          <w:lang w:val="es-ES"/>
        </w:rPr>
        <w:t xml:space="preserve">  </w:t>
      </w:r>
    </w:p>
    <w:p w:rsidR="00043C86" w:rsidRPr="00E72B02" w:rsidRDefault="00043C86" w:rsidP="004551E9">
      <w:r w:rsidRPr="00E72B02">
        <w:t xml:space="preserve">Ahora bien, sin perjuicio de que la obligación de respetar se proyecta principalmente sobre la vida privada de las personas (relaciones de comercio, relaciones de familia, relaciones laborales, relaciones culturales), también se proyecta sobre una esfera de derechos civiles y políticos fundamentales (respeto de la vida, la libertad, la integridad, a la participación política). El Estado debe abstenerse de una intromisión </w:t>
      </w:r>
      <w:r w:rsidRPr="00E72B02">
        <w:lastRenderedPageBreak/>
        <w:t xml:space="preserve">indebida en las relaciones privadas de las personas, y al mismo tiempo debe abstenerse de interferir en las libertades fundamentales de las personas. </w:t>
      </w:r>
    </w:p>
    <w:p w:rsidR="00043C86" w:rsidRPr="00E72B02" w:rsidRDefault="00043C86" w:rsidP="004551E9">
      <w:r w:rsidRPr="00E72B02">
        <w:t xml:space="preserve">La intromisión indebida del Estado que vulnera la obligación de respetar los derechos humanos puede resultar de una acción directa por intermedio de sus funcionarios públicos (policía, militares, personal sanitario), o puede resultar de la imposición de una norma. Por lo general, cuando se habla que el Estado respete los derechos humanos se piensa en su rol ejecutivo, y se olvida de sus roles legislativos y judiciales. Es justamente en estos últimos roles, principalmente el legislativo, donde el Estado puede incurrir en responsabilidad internacional por incumplimiento de su obligación de respetar los derechos humanos, al sancionar leyes u otro tipo de normas que tengan como propósito o efecto menoscabar el reconocimiento y goce de derechos humanos reconocidos internacionalmente. </w:t>
      </w:r>
    </w:p>
    <w:p w:rsidR="00043C86" w:rsidRPr="00E72B02" w:rsidRDefault="00043C86" w:rsidP="004551E9">
      <w:r w:rsidRPr="00E72B02">
        <w:t xml:space="preserve">La regulación de la capacidad jurídica incide de forma exponencial en el reconocimiento y goce efectivo de los derechos humanos de las personas. Si el Estado reconoce del derecho al matrimonio, al voto, o a poseer y disponer de bienes y servicios, pero al mismo tiempo, priva a ciertas personas de acceder a dichos derechos en nombre propio, entonces en esencia está incumpliendo su obligación de respetar dichos derechos.  </w:t>
      </w:r>
    </w:p>
    <w:p w:rsidR="00043C86" w:rsidRPr="00E72B02" w:rsidRDefault="00043C86" w:rsidP="004551E9"/>
    <w:p w:rsidR="00043C86" w:rsidRPr="00AD5CEE" w:rsidRDefault="00AD5CEE" w:rsidP="00AD5CEE">
      <w:pPr>
        <w:pStyle w:val="TITULO11"/>
        <w:jc w:val="both"/>
        <w:rPr>
          <w:sz w:val="24"/>
          <w:szCs w:val="24"/>
        </w:rPr>
      </w:pPr>
      <w:r w:rsidRPr="00AD5CEE">
        <w:rPr>
          <w:sz w:val="24"/>
          <w:szCs w:val="24"/>
        </w:rPr>
        <w:t>4.3.2 CAPACIDAD JURÍDICA COMO GARANTÍA DE PROTECCIÓN</w:t>
      </w:r>
    </w:p>
    <w:p w:rsidR="00043C86" w:rsidRPr="00E72B02" w:rsidRDefault="00043C86" w:rsidP="004551E9"/>
    <w:p w:rsidR="00043C86" w:rsidRPr="00E72B02" w:rsidRDefault="00043C86" w:rsidP="004551E9">
      <w:pPr>
        <w:rPr>
          <w:lang w:val="es-ES_tradnl" w:eastAsia="es-ES_tradnl"/>
        </w:rPr>
      </w:pPr>
      <w:r w:rsidRPr="00E72B02">
        <w:rPr>
          <w:lang w:val="es-ES_tradnl" w:eastAsia="es-ES_tradnl"/>
        </w:rPr>
        <w:t>La obligación de “proteger” sugiere que el Estado tiene la obligación de adoptar las medidas necesarias para asegurar el goce de los derechos humanos, lo que a su vez, interpretado a la luz de los disposiciones pertinentes de DIDH, supone una doble actuación. La primera de ellas, la obligación por parte del Estado de adoptar medidas preventivas tendentes a evitar la violación de derechos humanos, y la segunda de ellas, la obligación de proveer remedios apropiados una vez que la violación ha ocurrido.</w:t>
      </w:r>
    </w:p>
    <w:p w:rsidR="00043C86" w:rsidRPr="00E72B02" w:rsidRDefault="00043C86" w:rsidP="004551E9">
      <w:r w:rsidRPr="00E72B02">
        <w:lastRenderedPageBreak/>
        <w:t xml:space="preserve">Existe un consenso generalizado en que el derecho se diferencia de la moral en tanto que el primero goza de ejecutividad. Es decir, uno de los rasgos principales de los derechos, y en especial, de los derechos humanos, es que su incumplimiento puede ser reclamado ante diferentes instancias nacionales e internacionales. Sin perjuicio del valor moral, y de la influencia que los derechos humanos generan en la conciencia y la conducta social, lo cierto es que su valor jurídico radica principalmente en la posibilidad de ejecutarlos ante su incumplimiento. </w:t>
      </w:r>
    </w:p>
    <w:p w:rsidR="00043C86" w:rsidRPr="00E72B02" w:rsidRDefault="00043C86" w:rsidP="004551E9">
      <w:r w:rsidRPr="00E72B02">
        <w:t xml:space="preserve">Con lo cual, el reconocimiento internacional y nacional de derechos humanos en cabeza de cualquier persona tiene implícito más allá de la titularidad del derecho, la potestad de reclamarlo. </w:t>
      </w:r>
    </w:p>
    <w:p w:rsidR="00043C86" w:rsidRPr="00E72B02" w:rsidRDefault="005F66B6" w:rsidP="004551E9">
      <w:r w:rsidRPr="00E72B02">
        <w:t>Así</w:t>
      </w:r>
      <w:r w:rsidR="00043C86" w:rsidRPr="00E72B02">
        <w:t xml:space="preserve">, mientras el derecho internacional de los derechos humanos ha reconocido desde sus primeras codificaciones que toda persona tiene derecho a la tutela judicial efectiva, las condiciones legales para acceder efectivamente ante la autoridad correspondiente (sea un tribunal nacional o incluso ante instancias internacionales), suelen estar reguladas por el régimen jurídico de la capacidad jurídica de las personas. En otras palabras, la capacidad jurídica es la puerta de acceso a la reclamación de los derechos humanos, y se erige como una potestad inherente de toda persona. </w:t>
      </w:r>
    </w:p>
    <w:p w:rsidR="00043C86" w:rsidRPr="00E72B02" w:rsidRDefault="00043C86" w:rsidP="004551E9">
      <w:r w:rsidRPr="00E72B02">
        <w:t xml:space="preserve"> Es cierto, como se ha afirmado más arriba, que el DIDH acepta que los Estados tienen un margen de discrecionalidad en la regulación de la capacidad jurídica de las personas. No obstante dicha discrecionalidad se encuentra limitada por el principio de no discriminación, y se present</w:t>
      </w:r>
      <w:r w:rsidR="005F66B6" w:rsidRPr="00E72B02">
        <w:t>a</w:t>
      </w:r>
      <w:r w:rsidRPr="00E72B02">
        <w:t xml:space="preserve"> como una limitación excepcional de un derecho que el ordenamiento jurídico internacional le reconoce a la persona por su calidad de tal. </w:t>
      </w:r>
    </w:p>
    <w:p w:rsidR="00043C86" w:rsidRPr="00E72B02" w:rsidRDefault="00043C86" w:rsidP="004551E9">
      <w:r w:rsidRPr="00E72B02">
        <w:t>Ahora bien, ¿de qué sirve que el Estado reconozca ciertos derechos básicos como la vida, la libertad, o la protección de la integridad persona, y que disponga de todo su aparato jurisdiccional para garantizar a las personas la tutela de dichos derechos, si al mismo tiempo le priva a ciertas personas acceder de forma real y efectiva a los remedios judiciales existentes?</w:t>
      </w:r>
    </w:p>
    <w:p w:rsidR="00043C86" w:rsidRPr="00E72B02" w:rsidRDefault="00043C86" w:rsidP="004551E9">
      <w:r w:rsidRPr="00E72B02">
        <w:lastRenderedPageBreak/>
        <w:t>La regulación de la capa</w:t>
      </w:r>
      <w:r w:rsidR="005F66B6" w:rsidRPr="00E72B02">
        <w:t>cidad jurídica, incide</w:t>
      </w:r>
      <w:r w:rsidRPr="00E72B02">
        <w:t xml:space="preserve"> de forma directa en la potestad de las personas de acceder en nombre propio a cualquier instancia de reclamación de derechos, sea ello en el ámbito estrictamente jurisdiccional, sea ante instancias administrativas. La privación de la capacidad jurídica le impide a una persona solicitar una revisión de una medida de internamiento involuntario, o de demandar a un tercero ante la vulneración de un derecho, o presentar una reclamación administrativa para gozar de algún beneficio social.  </w:t>
      </w:r>
    </w:p>
    <w:p w:rsidR="00043C86" w:rsidRPr="00E72B02" w:rsidRDefault="00043C86" w:rsidP="004551E9"/>
    <w:p w:rsidR="00043C86" w:rsidRPr="00AD5CEE" w:rsidRDefault="00AD5CEE" w:rsidP="00AD5CEE">
      <w:pPr>
        <w:pStyle w:val="TITULO11"/>
        <w:jc w:val="both"/>
        <w:rPr>
          <w:sz w:val="24"/>
          <w:szCs w:val="24"/>
        </w:rPr>
      </w:pPr>
      <w:r w:rsidRPr="00AD5CEE">
        <w:rPr>
          <w:sz w:val="24"/>
          <w:szCs w:val="24"/>
        </w:rPr>
        <w:t xml:space="preserve">4.3.3 CAPACIDAD JURÍDICA COMO GARANTÍA DE REALIZACIÓN </w:t>
      </w:r>
    </w:p>
    <w:p w:rsidR="00043C86" w:rsidRPr="00E72B02" w:rsidRDefault="00043C86" w:rsidP="004551E9"/>
    <w:p w:rsidR="00043C86" w:rsidRPr="00E72B02" w:rsidRDefault="00043C86" w:rsidP="004551E9">
      <w:r w:rsidRPr="00E72B02">
        <w:t>La capacidad jurídica también se presenta como un pre-requisito fundamental para la realización de los derechos humanos. La obligación de realizar los derechos humanos significa que el Estado debe realizar acciones positivas para asegurar que todas las personas, incluyendo las personas con discapacidad, puedan ejercer sus derechos humanos. Deben adoptar leyes y políticas que promuevan los derechos humanos</w:t>
      </w:r>
      <w:r w:rsidR="005F66B6" w:rsidRPr="00E72B02">
        <w:t>,</w:t>
      </w:r>
      <w:r w:rsidRPr="00E72B02">
        <w:t xml:space="preserve"> desarrollar programas y tomar otras medidas para implementar estos derechos, y destinar los recursos necesarios para que las leyes de apliquen y proporcionar fondos necesarios. </w:t>
      </w:r>
    </w:p>
    <w:p w:rsidR="00043C86" w:rsidRPr="00E72B02" w:rsidRDefault="00043C86" w:rsidP="004551E9">
      <w:pPr>
        <w:rPr>
          <w:lang w:val="es-ES_tradnl" w:eastAsia="es-ES_tradnl"/>
        </w:rPr>
      </w:pPr>
      <w:r w:rsidRPr="00E72B02">
        <w:rPr>
          <w:lang w:val="es-ES_tradnl" w:eastAsia="es-ES_tradnl"/>
        </w:rPr>
        <w:t>Las perspectivas de género, de niñez o de discapacidad, no se limitan a demandar el reconocimiento del ejercicio de la capacidad jurídica, o el derecho a ser oído, sino que adicionalmente se requieren de medidas activas que permitan la igualdad real de oportunidades. Una mujer analfabeta, la cual toda su vida las decisiones legales las ha tomado su marido, un adolescente que entra en conflicto sobre decisiones personales con sus padres y que nunca había contemplado la posibilidad de oponerse, o una persona con discapacidad mental que ha vivido 20 años en una institución, todos estos ejemplos demuestran que el reconocimiento</w:t>
      </w:r>
      <w:r w:rsidR="005F66B6" w:rsidRPr="00E72B02">
        <w:rPr>
          <w:lang w:val="es-ES_tradnl" w:eastAsia="es-ES_tradnl"/>
        </w:rPr>
        <w:t>,</w:t>
      </w:r>
      <w:r w:rsidRPr="00E72B02">
        <w:rPr>
          <w:lang w:val="es-ES_tradnl" w:eastAsia="es-ES_tradnl"/>
        </w:rPr>
        <w:t xml:space="preserve"> sin más</w:t>
      </w:r>
      <w:r w:rsidR="005F66B6" w:rsidRPr="00E72B02">
        <w:rPr>
          <w:lang w:val="es-ES_tradnl" w:eastAsia="es-ES_tradnl"/>
        </w:rPr>
        <w:t>,</w:t>
      </w:r>
      <w:r w:rsidRPr="00E72B02">
        <w:rPr>
          <w:lang w:val="es-ES_tradnl" w:eastAsia="es-ES_tradnl"/>
        </w:rPr>
        <w:t xml:space="preserve"> del </w:t>
      </w:r>
      <w:r w:rsidRPr="00E72B02">
        <w:rPr>
          <w:lang w:val="es-ES_tradnl" w:eastAsia="es-ES_tradnl"/>
        </w:rPr>
        <w:lastRenderedPageBreak/>
        <w:t xml:space="preserve">derecho a tomar decisiones en nombre propio, puede suponer un gran reto personal, o incluso situar a la persona ante una nueva forma de desprotección y desigualdad. El Estado debe implementar, conjuntamente con el reconocimiento de la capacidad jurídica de las personas, una serie de medidas activas que permitan la realización de este derecho, que luego sirve de puerta de acceso para el resto de los derechos. Es decir, las personas que han sido históricamente privadas de su derecho a decidir en nombre propio, deben aprender y recibir apoyos para poder ejercerlo en igualdad de condiciones con los demás. </w:t>
      </w:r>
    </w:p>
    <w:p w:rsidR="00043C86" w:rsidRPr="00E72B02" w:rsidRDefault="00043C86" w:rsidP="004551E9">
      <w:pPr>
        <w:rPr>
          <w:lang w:val="es-ES_tradnl" w:eastAsia="es-ES_tradnl"/>
        </w:rPr>
      </w:pPr>
      <w:r w:rsidRPr="00E72B02">
        <w:rPr>
          <w:lang w:val="es-ES_tradnl" w:eastAsia="es-ES_tradnl"/>
        </w:rPr>
        <w:t xml:space="preserve">La CDPD, recoge esta dimensión promocional del Estado de forma mucho más clara y categórica que la CEFDM o la CDN, a través de la noción de apoyos en el ejercicio de la capacidad jurídica del art. 12(3). Para que el reconocimiento del derecho a la capacidad jurídica no sea meramente formal sino real, </w:t>
      </w:r>
      <w:r w:rsidR="005F66B6" w:rsidRPr="00E72B02">
        <w:rPr>
          <w:lang w:val="es-ES_tradnl" w:eastAsia="es-ES_tradnl"/>
        </w:rPr>
        <w:t>y</w:t>
      </w:r>
      <w:r w:rsidRPr="00E72B02">
        <w:rPr>
          <w:lang w:val="es-ES_tradnl" w:eastAsia="es-ES_tradnl"/>
        </w:rPr>
        <w:t xml:space="preserve"> para que dicho reconocimiento no sitúe a la persona en un situación de mayor vulneración de derechos, es preci</w:t>
      </w:r>
      <w:r w:rsidR="005F66B6" w:rsidRPr="00E72B02">
        <w:rPr>
          <w:lang w:val="es-ES_tradnl" w:eastAsia="es-ES_tradnl"/>
        </w:rPr>
        <w:t>s</w:t>
      </w:r>
      <w:r w:rsidRPr="00E72B02">
        <w:rPr>
          <w:lang w:val="es-ES_tradnl" w:eastAsia="es-ES_tradnl"/>
        </w:rPr>
        <w:t>o que el Estado asegure la provisión de los apoyos necesarios para el ejercicio de dicha capacidad jurídica, que en última instancia, no es otra cosa que el apoyo en el ejercicio de los derechos humanos (apoyos para administrar y disponer el patrimonio, apoyo para el ejercicio de los derechos de familia, apoyos para el ejercicio de los derechos políticos, apo</w:t>
      </w:r>
      <w:r w:rsidR="005F66B6" w:rsidRPr="00E72B02">
        <w:rPr>
          <w:lang w:val="es-ES_tradnl" w:eastAsia="es-ES_tradnl"/>
        </w:rPr>
        <w:t>yos para tomar decisiones médica</w:t>
      </w:r>
      <w:r w:rsidRPr="00E72B02">
        <w:rPr>
          <w:lang w:val="es-ES_tradnl" w:eastAsia="es-ES_tradnl"/>
        </w:rPr>
        <w:t>s o sobre el cuerpo, etc.)</w:t>
      </w:r>
    </w:p>
    <w:p w:rsidR="00043C86" w:rsidRPr="00E72B02" w:rsidRDefault="00043C86" w:rsidP="004551E9"/>
    <w:p w:rsidR="00043C86" w:rsidRPr="00AD5CEE" w:rsidRDefault="00AD5CEE" w:rsidP="00AD5CEE">
      <w:pPr>
        <w:pStyle w:val="TITULO11"/>
        <w:jc w:val="both"/>
        <w:rPr>
          <w:sz w:val="24"/>
          <w:szCs w:val="24"/>
        </w:rPr>
      </w:pPr>
      <w:r w:rsidRPr="00AD5CEE">
        <w:rPr>
          <w:sz w:val="24"/>
          <w:szCs w:val="24"/>
        </w:rPr>
        <w:t xml:space="preserve">4.3.4 REPRESENTACIÓN LEGAL (LEGITIMIDAD Y PROPORCIONALIDAD) </w:t>
      </w:r>
    </w:p>
    <w:p w:rsidR="00043C86" w:rsidRPr="00E72B02" w:rsidRDefault="00043C86" w:rsidP="004551E9"/>
    <w:p w:rsidR="00043C86" w:rsidRPr="00E72B02" w:rsidRDefault="00043C86" w:rsidP="004551E9">
      <w:pPr>
        <w:rPr>
          <w:lang w:val="es-MX"/>
        </w:rPr>
      </w:pPr>
      <w:r w:rsidRPr="00E72B02">
        <w:rPr>
          <w:lang w:val="es-MX"/>
        </w:rPr>
        <w:lastRenderedPageBreak/>
        <w:t>La capacidad jurídica es difícil de entender por la ambigüedad que rodea a este concepto desde el punto de vista jurídico.</w:t>
      </w:r>
      <w:r w:rsidRPr="00E72B02">
        <w:rPr>
          <w:rStyle w:val="Refdenotaalpie"/>
          <w:lang w:val="es-MX"/>
        </w:rPr>
        <w:footnoteReference w:id="540"/>
      </w:r>
      <w:r w:rsidRPr="00E72B02">
        <w:rPr>
          <w:lang w:val="es-MX"/>
        </w:rPr>
        <w:t xml:space="preserve">  La capacidad jurídica habla de la aptitud jurídica, de la aptitud legal, de la aptitud para el derecho. Cuando uno tiene capacidad jurídica es apto jurídicamente para algo. La pregunta inmediata que se deriva de ello es entonces ¿aptitud para qué? La primera respuesta consistente en la distinción que se hace entre la aptitud de tener derechos y la aptitud de ejercerlos; es decir, la distinción entre la titularidad del derecho y el ejercicio del mismo. </w:t>
      </w:r>
    </w:p>
    <w:p w:rsidR="00043C86" w:rsidRPr="00E72B02" w:rsidRDefault="00043C86" w:rsidP="004551E9">
      <w:pPr>
        <w:rPr>
          <w:lang w:val="es-MX"/>
        </w:rPr>
      </w:pPr>
      <w:r w:rsidRPr="00E72B02">
        <w:rPr>
          <w:lang w:val="es-MX"/>
        </w:rPr>
        <w:t xml:space="preserve">Históricamente, es la perspectiva del derecho privado, y más concretamente lo que podríamos llamar como la teoría de la representación, lo que justifica la necesidad de realizar la distinción entre la titularidad de derechos y el ejercicio de los mismos.  </w:t>
      </w:r>
    </w:p>
    <w:p w:rsidR="00043C86" w:rsidRPr="00E72B02" w:rsidRDefault="00043C86" w:rsidP="004551E9">
      <w:pPr>
        <w:rPr>
          <w:lang w:val="es-MX"/>
        </w:rPr>
      </w:pPr>
      <w:r w:rsidRPr="00E72B02">
        <w:rPr>
          <w:lang w:val="es-MX"/>
        </w:rPr>
        <w:t xml:space="preserve">Las consecuencias de no contar con la teoría de la representación sería la imposibilidad de distinguir entre la titularidad y el ejercicio de derechos, y por ende, disponer, por ejemplo, de figuras jurídicas </w:t>
      </w:r>
      <w:r w:rsidR="005F66B6" w:rsidRPr="00E72B02">
        <w:rPr>
          <w:lang w:val="es-MX"/>
        </w:rPr>
        <w:t xml:space="preserve">que resultan necesarias para el derecho civil </w:t>
      </w:r>
      <w:r w:rsidRPr="00E72B02">
        <w:rPr>
          <w:lang w:val="es-MX"/>
        </w:rPr>
        <w:t xml:space="preserve">como las asociaciones (la diferencia entre la titularidad y quién ejerce los derechos en nombre de la asociación); las sociedades; </w:t>
      </w:r>
      <w:r w:rsidR="005F66B6" w:rsidRPr="00E72B02">
        <w:rPr>
          <w:lang w:val="es-MX"/>
        </w:rPr>
        <w:t>o el mandato</w:t>
      </w:r>
      <w:r w:rsidRPr="00E72B02">
        <w:rPr>
          <w:lang w:val="es-MX"/>
        </w:rPr>
        <w:t>.</w:t>
      </w:r>
    </w:p>
    <w:p w:rsidR="00043C86" w:rsidRPr="00E72B02" w:rsidRDefault="00043C86" w:rsidP="004551E9">
      <w:pPr>
        <w:rPr>
          <w:lang w:val="es-MX"/>
        </w:rPr>
      </w:pPr>
      <w:r w:rsidRPr="00E72B02">
        <w:rPr>
          <w:lang w:val="es-MX"/>
        </w:rPr>
        <w:t xml:space="preserve">La teoría de la representación mantiene una relación directa con la autonomía de la voluntad. El derecho privado parte de que la persona tiene autonomía de la voluntad para </w:t>
      </w:r>
      <w:r w:rsidR="00133E6D" w:rsidRPr="00E72B02">
        <w:rPr>
          <w:lang w:val="es-MX"/>
        </w:rPr>
        <w:t>realizar</w:t>
      </w:r>
      <w:r w:rsidRPr="00E72B02">
        <w:rPr>
          <w:lang w:val="es-MX"/>
        </w:rPr>
        <w:t xml:space="preserve"> actos jurídicos.</w:t>
      </w:r>
      <w:r w:rsidRPr="00E72B02">
        <w:rPr>
          <w:rStyle w:val="Refdenotaalpie"/>
          <w:lang w:val="es-MX"/>
        </w:rPr>
        <w:footnoteReference w:id="541"/>
      </w:r>
      <w:r w:rsidRPr="00E72B02">
        <w:rPr>
          <w:lang w:val="es-MX"/>
        </w:rPr>
        <w:t xml:space="preserve">  </w:t>
      </w:r>
    </w:p>
    <w:p w:rsidR="00043C86" w:rsidRPr="00E72B02" w:rsidRDefault="00043C86" w:rsidP="004551E9">
      <w:pPr>
        <w:rPr>
          <w:lang w:val="es-MX"/>
        </w:rPr>
      </w:pPr>
      <w:r w:rsidRPr="00E72B02">
        <w:rPr>
          <w:lang w:val="es-MX"/>
        </w:rPr>
        <w:lastRenderedPageBreak/>
        <w:t xml:space="preserve">Al mismo tiempo, la teoría de la representación reposa sobre dos dimensiones de la autonomía de la voluntad, esto es, </w:t>
      </w:r>
      <w:r w:rsidRPr="00E72B02">
        <w:rPr>
          <w:i/>
          <w:lang w:val="es-MX"/>
        </w:rPr>
        <w:t xml:space="preserve">la autonomía de la voluntad crea la representación </w:t>
      </w:r>
      <w:r w:rsidRPr="00E72B02">
        <w:rPr>
          <w:lang w:val="es-MX"/>
        </w:rPr>
        <w:t xml:space="preserve">(a través de la voluntad la persona crea una representación, o un mandato, que la sustituye en la toma de decisiones, lo que no plantea ningún problema a este nivel), y </w:t>
      </w:r>
      <w:r w:rsidRPr="00E72B02">
        <w:rPr>
          <w:i/>
          <w:lang w:val="es-MX"/>
        </w:rPr>
        <w:t>la falta de autonomía de la voluntad hace necesaria una presunción legal de necesidad de representación.</w:t>
      </w:r>
      <w:r w:rsidRPr="00E72B02">
        <w:rPr>
          <w:lang w:val="es-MX"/>
        </w:rPr>
        <w:t xml:space="preserve"> Quizás se pueda hablar de una tercera dimensión que cada vez cobra mayor auge en el ámbito del derecho privado, esto es, l</w:t>
      </w:r>
      <w:r w:rsidRPr="00E72B02">
        <w:rPr>
          <w:i/>
          <w:lang w:val="es-MX"/>
        </w:rPr>
        <w:t>a autonomía de la voluntad crea representación previniendo la eventual pérdida de dicha autonomía en el futuro</w:t>
      </w:r>
      <w:r w:rsidRPr="00E72B02">
        <w:rPr>
          <w:lang w:val="es-MX"/>
        </w:rPr>
        <w:t>, lo que se suele denominar como la voluntad anticipada o autotutela.</w:t>
      </w:r>
      <w:r w:rsidRPr="00E72B02">
        <w:rPr>
          <w:rStyle w:val="Refdenotaalpie"/>
          <w:lang w:val="es-MX"/>
        </w:rPr>
        <w:footnoteReference w:id="542"/>
      </w:r>
      <w:r w:rsidRPr="00E72B02">
        <w:rPr>
          <w:lang w:val="es-MX"/>
        </w:rPr>
        <w:t xml:space="preserve"> </w:t>
      </w:r>
    </w:p>
    <w:p w:rsidR="00043C86" w:rsidRPr="00E72B02" w:rsidRDefault="00043C86" w:rsidP="004551E9">
      <w:pPr>
        <w:rPr>
          <w:lang w:val="es-MX"/>
        </w:rPr>
      </w:pPr>
      <w:r w:rsidRPr="00E72B02">
        <w:rPr>
          <w:lang w:val="es-MX"/>
        </w:rPr>
        <w:t xml:space="preserve">El sistema clásico de representación legal de personas físicas se fundamenta desde una noción de protección, y tiene como objetivo mitigar los efectos negativos de la privación o limitación de la capacidad jurídica de una persona (sea un menor, o un incapaz), otorgando al representante (padres, tutores o curadores) la potestad de ejercer todos los actos jurídicos en representación y nombre de su representado.  </w:t>
      </w:r>
    </w:p>
    <w:p w:rsidR="00043C86" w:rsidRPr="00E72B02" w:rsidRDefault="00043C86" w:rsidP="004551E9">
      <w:pPr>
        <w:rPr>
          <w:lang w:val="es-MX"/>
        </w:rPr>
      </w:pPr>
      <w:r w:rsidRPr="00E72B02">
        <w:rPr>
          <w:lang w:val="es-MX"/>
        </w:rPr>
        <w:t xml:space="preserve">Aunque la institución jurídica de la representación legal tiene sus orígenes en el derecho romano, desde una lectura en el marco del sistema universal de derechos humanos se podría fundamentar como una medida protectora y correctiva de la privación y limitación de la capacidad jurídica de la persona. En otras palabras, los ordenamientos jurídicos son conscientes que la limitación o privación de la capacidad jurídica es una medida restrictiva </w:t>
      </w:r>
      <w:r w:rsidRPr="00E72B02">
        <w:rPr>
          <w:lang w:val="es-MX"/>
        </w:rPr>
        <w:lastRenderedPageBreak/>
        <w:t xml:space="preserve">de derechos, y que no es posible ordenarla sin más, si no existe alguna medida que mitigue o contrarreste sus efectos jurídicos en el goce y ejercicio de los derechos de la persona. </w:t>
      </w:r>
    </w:p>
    <w:p w:rsidR="00043C86" w:rsidRPr="00E72B02" w:rsidRDefault="00043C86" w:rsidP="004551E9">
      <w:pPr>
        <w:rPr>
          <w:lang w:val="es-MX"/>
        </w:rPr>
      </w:pPr>
      <w:r w:rsidRPr="00E72B02">
        <w:rPr>
          <w:lang w:val="es-MX"/>
        </w:rPr>
        <w:t xml:space="preserve">Con lo cual, incluso los ordenamientos más clásicos entienden que la privación o limitación de la capacidad jurídica </w:t>
      </w:r>
      <w:r w:rsidRPr="00E72B02">
        <w:rPr>
          <w:i/>
          <w:lang w:val="es-MX"/>
        </w:rPr>
        <w:t>per se</w:t>
      </w:r>
      <w:r w:rsidRPr="00E72B02">
        <w:rPr>
          <w:lang w:val="es-MX"/>
        </w:rPr>
        <w:t xml:space="preserve">, supone una vulneración en el goce y ejercicio de los derechos humanos de las personas. </w:t>
      </w:r>
    </w:p>
    <w:p w:rsidR="00043C86" w:rsidRPr="00E72B02" w:rsidRDefault="00043C86" w:rsidP="004551E9">
      <w:pPr>
        <w:rPr>
          <w:lang w:val="es-MX"/>
        </w:rPr>
      </w:pPr>
      <w:r w:rsidRPr="00E72B02">
        <w:rPr>
          <w:lang w:val="es-MX"/>
        </w:rPr>
        <w:t xml:space="preserve">Por ello, resulta procedente analizar si la figura de la representación legal resulta compatible con los estándares universales de derechos humanos. Cabe aclarar que las reflexiones que siguen, se plantean en el contexto de la representación legal de personas con discapacidad, sin perjuicio de que sus conclusiones también se puedan utilizar para analizar situaciones similares respecto de </w:t>
      </w:r>
      <w:r w:rsidR="00133E6D" w:rsidRPr="00E72B02">
        <w:rPr>
          <w:lang w:val="es-MX"/>
        </w:rPr>
        <w:t xml:space="preserve">niños y niñas, adolescentes y </w:t>
      </w:r>
      <w:r w:rsidRPr="00E72B02">
        <w:rPr>
          <w:lang w:val="es-MX"/>
        </w:rPr>
        <w:t xml:space="preserve">mujeres. </w:t>
      </w:r>
    </w:p>
    <w:p w:rsidR="00043C86" w:rsidRPr="00E72B02" w:rsidRDefault="00043C86" w:rsidP="004551E9">
      <w:pPr>
        <w:rPr>
          <w:lang w:val="es-MX"/>
        </w:rPr>
      </w:pPr>
      <w:r w:rsidRPr="00E72B02">
        <w:rPr>
          <w:lang w:val="es-MX"/>
        </w:rPr>
        <w:t xml:space="preserve"> A diferencia de lo que sucede con los </w:t>
      </w:r>
      <w:r w:rsidR="00133E6D" w:rsidRPr="00E72B02">
        <w:rPr>
          <w:lang w:val="es-MX"/>
        </w:rPr>
        <w:t>niños y niñas</w:t>
      </w:r>
      <w:r w:rsidRPr="00E72B02">
        <w:rPr>
          <w:lang w:val="es-MX"/>
        </w:rPr>
        <w:t xml:space="preserve">, o en algunos países con relación a las mujeres casadas, la representación legal de las personas con discapacidad no opera </w:t>
      </w:r>
      <w:r w:rsidRPr="00E72B02">
        <w:rPr>
          <w:i/>
          <w:lang w:val="es-MX"/>
        </w:rPr>
        <w:t>ipso facto</w:t>
      </w:r>
      <w:r w:rsidRPr="00E72B02">
        <w:rPr>
          <w:lang w:val="es-MX"/>
        </w:rPr>
        <w:t xml:space="preserve">, sino que requiere de un procedimiento legal específico. Dicho procedimiento se lo suele denominar proceso de incapacitación, y tiene como objetivo limitar o privar la capacidad jurídica de una persona, nombrando a un representante que le va a suplir en todas o algunas decisiones de su vida. </w:t>
      </w:r>
    </w:p>
    <w:p w:rsidR="00043C86" w:rsidRPr="00E72B02" w:rsidRDefault="00043C86" w:rsidP="004551E9">
      <w:r w:rsidRPr="00E72B02">
        <w:t xml:space="preserve">Lejos de ser un mecanismo protector, el sistema de atribución de incapacidad previsto en la mayoría de las legislaciones vigentes, supone un perjuicio grave y desproporcionado para el goce y ejercicio de los derechos humanos del presunto incapaz.  </w:t>
      </w:r>
    </w:p>
    <w:p w:rsidR="00043C86" w:rsidRPr="00E72B02" w:rsidRDefault="00043C86" w:rsidP="004551E9">
      <w:r w:rsidRPr="00E72B02">
        <w:t xml:space="preserve">La declaración de incapacidad es grave en cuanto al efecto de la misma en la capacidad de cualquier persona de tomar decisiones y ejercer su derecho de autonomía personal. No existe efecto más grave para una persona que la denegación de la “capacidad” de decidir. En primer lugar, porque la capacidad de decidir es la puerta de acceso a todo el catálogo de derechos humanos sin la cual se convierten en meras proclamas retóricas y vacías de </w:t>
      </w:r>
      <w:r w:rsidRPr="00E72B02">
        <w:lastRenderedPageBreak/>
        <w:t xml:space="preserve">contenido real, y en segundo lugar, como destaca </w:t>
      </w:r>
      <w:r w:rsidRPr="00E72B02">
        <w:rPr>
          <w:caps/>
        </w:rPr>
        <w:t>De Asis</w:t>
      </w:r>
      <w:r w:rsidRPr="00E72B02">
        <w:t>, ya que “</w:t>
      </w:r>
      <w:r w:rsidRPr="00E72B02">
        <w:rPr>
          <w:i/>
        </w:rPr>
        <w:t>la idea de capacidad es uno de los principales referentes del discurso ético y jurídico, y es utilizada a la hora de definir a los seres humanos. En efecto, tanto la idea de sujeto o agente moral, como la de sujeto de Derecho, como la propia Dignidad humana en la que se fundan ambos conceptos, parten de la idea de capacidad</w:t>
      </w:r>
      <w:r w:rsidRPr="00E72B02">
        <w:t>”.</w:t>
      </w:r>
      <w:r w:rsidRPr="00E72B02">
        <w:rPr>
          <w:rStyle w:val="Refdenotaalpie"/>
        </w:rPr>
        <w:footnoteReference w:id="543"/>
      </w:r>
      <w:r w:rsidRPr="00E72B02">
        <w:t xml:space="preserve"> </w:t>
      </w:r>
    </w:p>
    <w:p w:rsidR="00043C86" w:rsidRPr="00E72B02" w:rsidRDefault="00043C86" w:rsidP="004551E9">
      <w:r w:rsidRPr="00E72B02">
        <w:t>La gravedad de la atribución de incapacidad por motivo de discapacidad deriva en última instancia en la consideración de la persona como “objeto” legal y no como “sujeto” de derechos. Y esto tiene profundas raíces históricas caracterizadas por la estigmatización de un colectivo de personas que, a raíz de su presunta falta de discernimiento y autonomía personal, han sido marginalizadas y apartadas del goce efectivo de sus derechos humanos más básicos.</w:t>
      </w:r>
      <w:r w:rsidRPr="00E72B02">
        <w:rPr>
          <w:rStyle w:val="Refdenotaalpie"/>
        </w:rPr>
        <w:footnoteReference w:id="544"/>
      </w:r>
      <w:r w:rsidRPr="00E72B02">
        <w:t xml:space="preserve"> Los estándares universales de derechos humanos requieren una revisión profunda de instituciones y concepciones claramente anacrónicas y desfasadas que se sostienen más bien en la inercia de una tradición legal de otros tiempos, que en criterios o concepciones de justicia y respeto a la igualdad propios del discurso de los derechos humanos.</w:t>
      </w:r>
    </w:p>
    <w:p w:rsidR="00043C86" w:rsidRPr="00E72B02" w:rsidRDefault="00043C86" w:rsidP="004551E9">
      <w:r w:rsidRPr="00E72B02">
        <w:t>El hecho de que la privación de la capacidad jurídica del presunto incapaz solo se pueda realizar por intermedio de un proceso legal, no resta gravedad al efecto de la sentencia. La denegación del ejercicio de los derechos es un efecto jurídico de suma gravedad y, como destaca el TEDH la restricción de cualquier derecho humanos básico “debe ser impuesta en miras de un objetivo legítimo y que los medios empleados no sean desproporcionados”.</w:t>
      </w:r>
      <w:r w:rsidRPr="00E72B02">
        <w:rPr>
          <w:rStyle w:val="Refdenotaalpie"/>
        </w:rPr>
        <w:footnoteReference w:id="545"/>
      </w:r>
      <w:r w:rsidRPr="00E72B02">
        <w:t xml:space="preserve"> Probablemente, se pueda sostener que el “</w:t>
      </w:r>
      <w:r w:rsidRPr="00E72B02">
        <w:rPr>
          <w:i/>
        </w:rPr>
        <w:t>objetivo</w:t>
      </w:r>
      <w:r w:rsidRPr="00E72B02">
        <w:t xml:space="preserve">” </w:t>
      </w:r>
      <w:r w:rsidRPr="00E72B02">
        <w:lastRenderedPageBreak/>
        <w:t>de la declaración de incapacidad es la de “</w:t>
      </w:r>
      <w:r w:rsidRPr="00E72B02">
        <w:rPr>
          <w:i/>
        </w:rPr>
        <w:t>proteger</w:t>
      </w:r>
      <w:r w:rsidRPr="00E72B02">
        <w:t>” al presunto incapaz, y consecuentemente, que el mismo sea legítimo. No obstante, es largo sabido que la noción clásica de “</w:t>
      </w:r>
      <w:r w:rsidRPr="00E72B02">
        <w:rPr>
          <w:i/>
        </w:rPr>
        <w:t>protección</w:t>
      </w:r>
      <w:r w:rsidRPr="00E72B02">
        <w:t xml:space="preserve">” puede ser muy riesgosa y servir de base para un paternalismo excesivo que en realidad genere en la práctica una situación de dominación y exclusión de ciertos grupos de personas del goce efectivo de sus derechos. Pensemos sin más, que la mayoría de las leyes vigentes en países islámicos fundamentan la restricción de derechos de la mujer es un supuesto objetivo de “protección”. Con lo cual, si bien es cierto que el objetivo de protección del presunto incapaz, puede ser </w:t>
      </w:r>
      <w:r w:rsidRPr="00E72B02">
        <w:rPr>
          <w:i/>
        </w:rPr>
        <w:t>prima facie</w:t>
      </w:r>
      <w:r w:rsidRPr="00E72B02">
        <w:t xml:space="preserve"> considerado como “</w:t>
      </w:r>
      <w:r w:rsidRPr="00E72B02">
        <w:rPr>
          <w:i/>
        </w:rPr>
        <w:t>legítimo</w:t>
      </w:r>
      <w:r w:rsidRPr="00E72B02">
        <w:t xml:space="preserve">” es también cierto que el mismo no debe ser examinado in abstracto, sino más bien, en concreto, es decir, ¿realmente protege derechos o genera mayor restricción de los mismos? </w:t>
      </w:r>
    </w:p>
    <w:p w:rsidR="00043C86" w:rsidRPr="00E72B02" w:rsidRDefault="00043C86" w:rsidP="004551E9">
      <w:r w:rsidRPr="00E72B02">
        <w:t xml:space="preserve">Por ejemplo, el artículo 58 del Código Civil Argentino establece que “Este código protege a los incapaces, pero sólo para el efecto de suprimir los impedimentos de su incapacidad, dándoles la representación que en él se determina, y sin que se les conceda el beneficio de restitución, ni ningún otro beneficio o privilegio”. La supuesta protección se materializa, en rigor, a través de la representación sustitutiva de la toma de decisiones. El único mecanismo de protección tendiente a “suprimir los impedimentos de su incapacidad” es entonces la representación legal, es decir, desplazar el ejercicio de la capacidad de hecho en cabeza de un tercero que, a partir del momento de la designación, va a tomar todas las decisiones posibles sobre la persona y su patrimonio del modo que considere más adecuado y sin necesidad de consultarle o participarle en ningún momento. Y vale decir “todas las decisiones posibles” puesto que el ejercicio de derechos extra patrimoniales como el voto, el matrimonio, la patria potestad, por nombrar </w:t>
      </w:r>
      <w:r w:rsidRPr="00E72B02">
        <w:lastRenderedPageBreak/>
        <w:t xml:space="preserve">sólo algunos, quedan completamente vedados para el presunto incapaz. La solución del CC en este punto es la “denegación de derechos” lo que nos llama a la reflexión sobre el supuesto efecto protector de la incapacidad civil. ¿Cómo se puede hablar de protección cuando en realidad lo que existe es una privación total de acceso al derecho? Claramente la institución de la representación sustitutiva en la toma de decisiones, se basa en una ideología más propia del capitalismo en la que, el foco de la protección, se centra en los aspectos patrimoniales y no es los aspectos personales del individuo.  </w:t>
      </w:r>
    </w:p>
    <w:p w:rsidR="00043C86" w:rsidRPr="00E72B02" w:rsidRDefault="00043C86" w:rsidP="004551E9">
      <w:r w:rsidRPr="00E72B02">
        <w:t>En resumidas cuentas, el sistema de incapacidad/tutela protege desde dos formas posibles. La primera es la sustitución en la toma de decisiones, que además adopta un formato muy despersonalizado en el sentido en que el representante no es elegido por la persona y además el mismo no debe consultar a la persona sino obrar según su mejor criterio. La segunda forma de protección es la denegación del ejercicio del derecho cuando el representante no puede hacerlo en nombre de su representado.</w:t>
      </w:r>
      <w:r w:rsidRPr="00E72B02">
        <w:rPr>
          <w:rStyle w:val="Refdenotaalpie"/>
        </w:rPr>
        <w:footnoteReference w:id="546"/>
      </w:r>
      <w:r w:rsidRPr="00E72B02">
        <w:t xml:space="preserve"> El derecho comparado nos brinda ejemplos del uso de herramientas jurídicas tendentes a proteger los bienes y la persona sin necesidad de incapacitar y anular la capacidad decisoria de la persona.</w:t>
      </w:r>
      <w:r w:rsidRPr="00E72B02">
        <w:rPr>
          <w:rStyle w:val="Refdenotaalpie"/>
        </w:rPr>
        <w:footnoteReference w:id="547"/>
      </w:r>
      <w:r w:rsidRPr="00E72B02">
        <w:t xml:space="preserve"> </w:t>
      </w:r>
    </w:p>
    <w:p w:rsidR="00043C86" w:rsidRPr="00E72B02" w:rsidRDefault="00043C86" w:rsidP="004551E9">
      <w:r w:rsidRPr="00E72B02">
        <w:lastRenderedPageBreak/>
        <w:t xml:space="preserve">Por ello, más allá de la gravedad del efecto jurídico de la incapacitación civil, la misma también resulta a todas luces desproporcionada, en cuanto a que afecta a “todos los aspectos personales y patrimoniales” de la persona.  </w:t>
      </w:r>
    </w:p>
    <w:p w:rsidR="00043C86" w:rsidRPr="00E72B02" w:rsidRDefault="00043C86" w:rsidP="004551E9">
      <w:r w:rsidRPr="00E72B02">
        <w:t>Algunas legislaciones comparadas han reencausado estas concepciones “totalitarias” (en rigor la incapacitación absoluta supone la denegación total y absoluta del derecho a tomar decisiones sobre el patrimonio y sobre la persona) por concepciones mucho menos graves y restrictivas de derechos humanos. Tal es el caso por ejemplo del Código Civil Alemán, el Código Civil Francés, el Código Civil de Quebec, o la Ley de Capacidad Mental del Reino Unido, donde, y como punto de partida se establece la “presunción de capacidad” de todas las personas, y donde además, se restringe del poder de la autoridad judicial de restringir la capacidad de obrar de la persona “únicamente” a los actos jurídicos o decisiones respecto de las cuales se alega y prueba una falta de discernimiento y, consecuentemente, necesidad de protección. En todos los demás aspectos personales y patrimoniales la persona conserva en virtud del principio de presunción de capacidad, su derecho a tomar decisiones en nombre propio.</w:t>
      </w:r>
      <w:r w:rsidRPr="00E72B02">
        <w:rPr>
          <w:rStyle w:val="Refdenotaalpie"/>
        </w:rPr>
        <w:footnoteReference w:id="548"/>
      </w:r>
      <w:r w:rsidRPr="00E72B02">
        <w:t xml:space="preserve"> </w:t>
      </w:r>
    </w:p>
    <w:p w:rsidR="00043C86" w:rsidRPr="00E72B02" w:rsidRDefault="00043C86" w:rsidP="004551E9"/>
    <w:p w:rsidR="00043C86" w:rsidRPr="00AD5CEE" w:rsidRDefault="00AD5CEE" w:rsidP="00AD5CEE">
      <w:pPr>
        <w:pStyle w:val="TITULO11"/>
        <w:jc w:val="both"/>
        <w:rPr>
          <w:b/>
          <w:sz w:val="24"/>
          <w:szCs w:val="24"/>
        </w:rPr>
      </w:pPr>
      <w:r w:rsidRPr="00AD5CEE">
        <w:rPr>
          <w:b/>
          <w:sz w:val="24"/>
          <w:szCs w:val="24"/>
        </w:rPr>
        <w:t>4.4 LA PROTECCIÓN DE LA CAPACIDAD JURÍDICA EN LA CASUÍSTICA DE LOS ÓRGANOS INTERNACIONALES SOBRE DERECHOS HUMANOS</w:t>
      </w:r>
    </w:p>
    <w:p w:rsidR="00043C86" w:rsidRPr="00E72B02" w:rsidRDefault="00043C86" w:rsidP="00745BB8">
      <w:pPr>
        <w:pStyle w:val="TITULO11"/>
      </w:pPr>
    </w:p>
    <w:p w:rsidR="00043C86" w:rsidRPr="00E72B02" w:rsidRDefault="00043C86" w:rsidP="004551E9">
      <w:r w:rsidRPr="00E72B02">
        <w:t xml:space="preserve">Como se ha señalado anteriormente, los órganos internacionales de derechos humanos han abordado escasamente las cuestiones relativas a la capacidad jurídica de las personas con discapacidad, y por lo general cuando lo han hecho, ha sido para reafirmar en viejo paradigma del modelo tutelar. No </w:t>
      </w:r>
      <w:r w:rsidRPr="00E72B02">
        <w:lastRenderedPageBreak/>
        <w:t xml:space="preserve">obstante, la práctica reciente comienza a </w:t>
      </w:r>
      <w:r w:rsidR="00133E6D" w:rsidRPr="00E72B02">
        <w:t>reflejar</w:t>
      </w:r>
      <w:r w:rsidRPr="00E72B02">
        <w:t xml:space="preserve"> un cambio significativo en el abordaje de la temática más en consonancia que lo estipulado por la CDPD. </w:t>
      </w:r>
    </w:p>
    <w:p w:rsidR="00043C86" w:rsidRPr="00E72B02" w:rsidRDefault="00043C86" w:rsidP="004551E9">
      <w:r w:rsidRPr="00E72B02">
        <w:t>Fuera del contexto de los órganos internacionales de derechos humanos, como se ha señalado más arriba, el TIJ se ha limitado a señalar que las personas poseen derechos individuales oponibles frente a sujetos de derecho internacional plenos, pero sin brindar mayores fundamentos, ni tampoco aclarando si dichos derechos individuales son consecuencia o derivación del derecho a la personalidad jurídica.</w:t>
      </w:r>
      <w:r w:rsidRPr="00E72B02">
        <w:rPr>
          <w:rStyle w:val="Refdenotaalpie"/>
          <w:lang w:val="es-ES"/>
        </w:rPr>
        <w:footnoteReference w:id="549"/>
      </w:r>
      <w:r w:rsidRPr="00E72B02">
        <w:t xml:space="preserve"> Mucho menos el TIJ ha abordado las cuestiones relativas a la capacidad jurídica de los individuos. A pesar de ello, es precedente notar las reflexiones del Juez </w:t>
      </w:r>
      <w:r w:rsidRPr="00E72B02">
        <w:rPr>
          <w:caps/>
        </w:rPr>
        <w:t>Cançado Trindade</w:t>
      </w:r>
      <w:r w:rsidRPr="00E72B02">
        <w:t xml:space="preserve"> en su voto separado en el caso </w:t>
      </w:r>
      <w:r w:rsidRPr="00E72B02">
        <w:rPr>
          <w:i/>
        </w:rPr>
        <w:t>Diallo</w:t>
      </w:r>
      <w:r w:rsidRPr="00E72B02">
        <w:t>, cuando expresa que “</w:t>
      </w:r>
      <w:r w:rsidRPr="00E72B02">
        <w:rPr>
          <w:i/>
        </w:rPr>
        <w:t>El reto que enfrenta hoy el Tribunal Mundial es de una naturaleza que va más allá de la dimensión inter-Estatal. Se requiere que el Tribunal esté preparado para explorar los modos de incorporar, en su modus operandi y comenzando por su propia doctrina, el reconocimiento de la consolidación de la personalidad jurídica internacional de los individuos, y de la gradual afirmación de su capacidad jurídica internacional, para reclamar derechos que les pertenecen y no sus respectivos Estados, como sujetos de derechos y titulares de obligaciones que emanan directamente del derecho internacional, es decir, como verdaderos sujetos de derecho internacional</w:t>
      </w:r>
      <w:r w:rsidRPr="00E72B02">
        <w:t>”.</w:t>
      </w:r>
      <w:r w:rsidRPr="00E72B02">
        <w:rPr>
          <w:rStyle w:val="Refdenotaalpie"/>
          <w:lang w:val="es-ES"/>
        </w:rPr>
        <w:footnoteReference w:id="550"/>
      </w:r>
      <w:r w:rsidRPr="00E72B02">
        <w:t xml:space="preserve"> </w:t>
      </w:r>
    </w:p>
    <w:p w:rsidR="00043C86" w:rsidRPr="00E72B02" w:rsidRDefault="00043C86" w:rsidP="004551E9"/>
    <w:p w:rsidR="00043C86" w:rsidRPr="00AD5CEE" w:rsidRDefault="00AD5CEE" w:rsidP="00AD5CEE">
      <w:pPr>
        <w:pStyle w:val="TTULO11"/>
        <w:jc w:val="both"/>
        <w:rPr>
          <w:b w:val="0"/>
          <w:sz w:val="24"/>
          <w:szCs w:val="24"/>
        </w:rPr>
      </w:pPr>
      <w:r w:rsidRPr="00AD5CEE">
        <w:rPr>
          <w:b w:val="0"/>
          <w:sz w:val="24"/>
          <w:szCs w:val="24"/>
        </w:rPr>
        <w:t>4.4.1 TRIBUNALES DE DERECHOS HUMANOS</w:t>
      </w:r>
    </w:p>
    <w:p w:rsidR="00043C86" w:rsidRPr="00E72B02" w:rsidRDefault="00043C86" w:rsidP="004551E9"/>
    <w:p w:rsidR="00043C86" w:rsidRPr="00AD5CEE" w:rsidRDefault="00043C86" w:rsidP="004551E9">
      <w:pPr>
        <w:pStyle w:val="Ttulo4"/>
        <w:rPr>
          <w:b/>
        </w:rPr>
      </w:pPr>
      <w:r w:rsidRPr="00AD5CEE">
        <w:rPr>
          <w:b/>
        </w:rPr>
        <w:lastRenderedPageBreak/>
        <w:t>4.4.1.1 Corte Interamericana de Derechos Humanos</w:t>
      </w:r>
    </w:p>
    <w:p w:rsidR="00043C86" w:rsidRPr="00E72B02" w:rsidRDefault="00043C86" w:rsidP="004551E9"/>
    <w:p w:rsidR="00043C86" w:rsidRPr="00E72B02" w:rsidRDefault="00043C86" w:rsidP="004551E9">
      <w:r w:rsidRPr="00E72B02">
        <w:t>La CIADH solo ha abordado casos sobre derechos de las personas con discapacidad en dos ocasiones,</w:t>
      </w:r>
      <w:r w:rsidRPr="00E72B02">
        <w:rPr>
          <w:rStyle w:val="Refdenotaalpie"/>
          <w:lang w:val="es-ES"/>
        </w:rPr>
        <w:footnoteReference w:id="551"/>
      </w:r>
      <w:r w:rsidRPr="00E72B02">
        <w:t xml:space="preserve"> y en dichos casos no ha tratado directa o indirectamente aspectos relativos a la capacidad jurídica. Sin perjuicio de ello, la CIADH se ha referido a la capacidad jurídica de las personas en el abordaje de otros casos contenciosos, así como en el marco de sus funciones consultivas. </w:t>
      </w:r>
    </w:p>
    <w:p w:rsidR="00043C86" w:rsidRPr="00E72B02" w:rsidRDefault="00043C86" w:rsidP="004551E9">
      <w:r w:rsidRPr="00E72B02">
        <w:t>En primer lugar, la Corte ha señalado reiteradamente como principio general que “el  contenido propio del derecho al reconocimiento de la personalidad jurídica es que, precisamente, se reconozca a la persona en cualquier parte como sujeto de derechos y obligaciones, y que pueda ésta gozar de los derechos civiles fundamentales, lo cual implica la capacidad de ser titular de derechos (capacidad y goce) y de deberes; la violación de aquel reconocimiento supone desconocer en términos absolutos la posibilidad de ser titular de los derechos y deberes civiles y fundamentales”.</w:t>
      </w:r>
      <w:r w:rsidRPr="00E72B02">
        <w:rPr>
          <w:rStyle w:val="Refdenotaalpie"/>
          <w:lang w:val="es-ES"/>
        </w:rPr>
        <w:footnoteReference w:id="552"/>
      </w:r>
      <w:r w:rsidRPr="00E72B02">
        <w:t xml:space="preserve"> Es decir, para la CIADH, la capacidad jurídica es una derivación del derecho a la personalidad jurídica. Más aún la CIADH ha aclarado que “el Estado debe respetar y procurar los medios y condiciones jurídicas para que el derecho al reconocimiento de la personalidad jurídica pueda ser ejercido libre y plenamente por sus titulares. Dicho reconocimiento determina su existencia efectiva ante la sociedad y el Estado, lo que le permite ser titular de derechos y obligaciones, ejercerlos y tener capacidad de actuar, lo cual constituye un derecho inherente al ser humano, que no puede ser en ningún </w:t>
      </w:r>
      <w:r w:rsidRPr="00E72B02">
        <w:lastRenderedPageBreak/>
        <w:t>momento derogado por el Estado de conformidad con la Convención Americana”.</w:t>
      </w:r>
      <w:r w:rsidRPr="00E72B02">
        <w:rPr>
          <w:rStyle w:val="Refdenotaalpie"/>
          <w:lang w:val="es-ES"/>
        </w:rPr>
        <w:footnoteReference w:id="553"/>
      </w:r>
      <w:r w:rsidRPr="00E72B02">
        <w:t xml:space="preserve">  </w:t>
      </w:r>
    </w:p>
    <w:p w:rsidR="00043C86" w:rsidRPr="00E72B02" w:rsidRDefault="00043C86" w:rsidP="004551E9">
      <w:r w:rsidRPr="00E72B02">
        <w:t>En segundo lugar, la Corte ha señalado que “Es deber del Estado procurar los medios y condiciones jurídicas en general, para que el derecho al reconocimiento de la personalidad jurídica pueda ser ejercido por sus titulares. En especial, el Estado se encuentra obligado a garantizar a aquellas personas en situación de vulnerabilidad, marginalización y discriminación, las condiciones jurídicas y administrativas que les aseguren el ejercicio de este derecho, en atención al principio de igualdad ante la ley”.</w:t>
      </w:r>
      <w:r w:rsidRPr="00E72B02">
        <w:rPr>
          <w:rStyle w:val="Refdenotaalpie"/>
          <w:lang w:val="es-ES"/>
        </w:rPr>
        <w:footnoteReference w:id="554"/>
      </w:r>
      <w:r w:rsidRPr="00E72B02">
        <w:t xml:space="preserve"> Es decir, para la CIADH existe un deber especial de los Estados de tomar medidas especiales para garantizar </w:t>
      </w:r>
      <w:r w:rsidR="006A0CF9" w:rsidRPr="00E72B02">
        <w:t xml:space="preserve">el </w:t>
      </w:r>
      <w:r w:rsidRPr="00E72B02">
        <w:t xml:space="preserve">goce efectivo del derecho a la personalidad jurídica, y su consecuente derivación del derecho a la capacidad jurídica respecto de personas en situación de vulnerabilidad, sin discriminación. </w:t>
      </w:r>
    </w:p>
    <w:p w:rsidR="00043C86" w:rsidRPr="00E72B02" w:rsidRDefault="00043C86" w:rsidP="004551E9">
      <w:r w:rsidRPr="00E72B02">
        <w:t>En tercer lugar la Corte ha reconocido específicamente el derecho a la capacidad jurídica respecto de víctimas de violaciones graves a los derechos humanos,</w:t>
      </w:r>
      <w:r w:rsidRPr="00E72B02">
        <w:rPr>
          <w:rStyle w:val="Refdenotaalpie"/>
          <w:lang w:val="es-ES"/>
        </w:rPr>
        <w:footnoteReference w:id="555"/>
      </w:r>
      <w:r w:rsidRPr="00E72B02">
        <w:t xml:space="preserve"> e incluso respecto de comunidades indígenas.</w:t>
      </w:r>
      <w:r w:rsidRPr="00E72B02">
        <w:rPr>
          <w:rStyle w:val="Refdenotaalpie"/>
          <w:lang w:val="es-ES"/>
        </w:rPr>
        <w:footnoteReference w:id="556"/>
      </w:r>
      <w:r w:rsidRPr="00E72B02">
        <w:t xml:space="preserve"> </w:t>
      </w:r>
    </w:p>
    <w:p w:rsidR="00043C86" w:rsidRPr="00E72B02" w:rsidRDefault="00043C86" w:rsidP="004551E9">
      <w:r w:rsidRPr="00E72B02">
        <w:t xml:space="preserve">Finalmente, y a pesar de las observaciones de la CIADH señaladas anteriormente, la CIADH ha reafirmado en viejo modelo tutelar que justifica el derecho de los Estados de limitar o privar la capacidad jurídica de las personas, en especial respecto de niños o niñas y de personas con discapacidad mental. </w:t>
      </w:r>
    </w:p>
    <w:p w:rsidR="00043C86" w:rsidRPr="00E72B02" w:rsidRDefault="00043C86" w:rsidP="004551E9">
      <w:pPr>
        <w:rPr>
          <w:highlight w:val="yellow"/>
          <w:lang w:val="es-ES_tradnl"/>
        </w:rPr>
      </w:pPr>
      <w:r w:rsidRPr="00E72B02">
        <w:rPr>
          <w:lang w:val="es-ES"/>
        </w:rPr>
        <w:lastRenderedPageBreak/>
        <w:t xml:space="preserve">En la Opinión Consultiva sobre la Condición Jurídica y los Derechos de los Niños, la Corte ha señalado que </w:t>
      </w:r>
      <w:r w:rsidRPr="00E72B02">
        <w:rPr>
          <w:lang w:val="es-ES_tradnl"/>
        </w:rPr>
        <w:t>“La mayoría de edad conlleva la posibilidad de ejercicio pleno de los derechos, también conocida como capacidad de actuar. Esto significa que la persona puede ejercitar en forma personal y directa sus derechos subjetivos, así como asumir plenamente obligaciones jurídicas y realizar otros actos de naturaleza personal o patrimonial. No todos poseen esta capacidad: carecen de ésta, en gran medida, los niños. Los incapaces se hallan sujetos a la autoridad parental, o en su defecto, a la tutela o representación. Pero todos son sujetos de derechos, titulares de derechos inalienables e inherentes a la persona humana”.</w:t>
      </w:r>
      <w:r w:rsidRPr="00E72B02">
        <w:rPr>
          <w:rStyle w:val="Refdenotaalpie"/>
        </w:rPr>
        <w:footnoteReference w:id="557"/>
      </w:r>
      <w:r w:rsidRPr="00E72B02">
        <w:rPr>
          <w:lang w:val="es-ES_tradnl"/>
        </w:rPr>
        <w:t xml:space="preserve"> Frente a lo cual añadió que “no existe discriminación (…) en los casos en que la ley limita el ejercicio de la capacidad civil a quienes, por ser menores o no gozar de salud mental, no están en condiciones de ejercerla sin riesgo de su propio patrimonio”</w:t>
      </w:r>
      <w:r w:rsidRPr="00E72B02">
        <w:rPr>
          <w:rStyle w:val="Refdenotaalpie"/>
        </w:rPr>
        <w:footnoteReference w:id="558"/>
      </w:r>
      <w:r w:rsidRPr="00E72B02">
        <w:rPr>
          <w:lang w:val="es-ES_tradnl"/>
        </w:rPr>
        <w:t xml:space="preserve">. </w:t>
      </w:r>
    </w:p>
    <w:p w:rsidR="00043C86" w:rsidRPr="00E72B02" w:rsidRDefault="00043C86" w:rsidP="004551E9">
      <w:pPr>
        <w:rPr>
          <w:lang w:val="es-ES_tradnl"/>
        </w:rPr>
      </w:pPr>
      <w:r w:rsidRPr="00E72B02">
        <w:rPr>
          <w:lang w:val="es-ES_tradnl"/>
        </w:rPr>
        <w:t>Más aún, en un reciente caso la CIADH ha dejado entrever que la capacidad jurídica de una persona de ejercer en nombre propio los derechos derivados de la autoridad parental (patria potestad), podrían legítimamente ser limitados mediante la existencia de una incapacidad del padre o madre.</w:t>
      </w:r>
      <w:r w:rsidRPr="00E72B02">
        <w:rPr>
          <w:rStyle w:val="Refdenotaalpie"/>
          <w:lang w:val="es-ES_tradnl"/>
        </w:rPr>
        <w:footnoteReference w:id="559"/>
      </w:r>
      <w:r w:rsidRPr="00E72B02">
        <w:rPr>
          <w:lang w:val="es-ES_tradnl"/>
        </w:rPr>
        <w:t xml:space="preserve"> </w:t>
      </w:r>
    </w:p>
    <w:p w:rsidR="00043C86" w:rsidRPr="00E72B02" w:rsidRDefault="00043C86" w:rsidP="004551E9">
      <w:pPr>
        <w:pStyle w:val="Ttulo4"/>
      </w:pPr>
      <w:r w:rsidRPr="00E72B02">
        <w:t>4.4.1.2 Tribunal Europeo de Derechos Humanos</w:t>
      </w:r>
    </w:p>
    <w:p w:rsidR="00043C86" w:rsidRPr="00E72B02" w:rsidRDefault="00043C86" w:rsidP="004551E9"/>
    <w:p w:rsidR="00043C86" w:rsidRPr="00E72B02" w:rsidRDefault="00043C86" w:rsidP="004551E9">
      <w:r w:rsidRPr="00E72B02">
        <w:lastRenderedPageBreak/>
        <w:t>El TEDH cuenta con una jurisprudencia amplia y específica en materia de capacidad jurídica de las personas con discapacidad. Curiosamente, a diferencia del ámbito interamericano, el Convenio Europeo de Derechos Humanos, no reconoce de forma expresa el derecho a la personalidad jurídica. Con lo cual, la construcción y el tratamiento del derecho a la capacidad jurídica en la jurisprudencia del TEDH se ha desarrollado principalmente en el marco del Artículo 8 del CEDH, es decir, del derecho al respeto de la vida privada.</w:t>
      </w:r>
    </w:p>
    <w:p w:rsidR="00043C86" w:rsidRPr="00E72B02" w:rsidRDefault="00043C86" w:rsidP="004551E9">
      <w:pPr>
        <w:rPr>
          <w:sz w:val="23"/>
          <w:szCs w:val="23"/>
        </w:rPr>
      </w:pPr>
      <w:r w:rsidRPr="00E72B02">
        <w:t xml:space="preserve">En </w:t>
      </w:r>
      <w:r w:rsidRPr="00E72B02">
        <w:rPr>
          <w:i/>
          <w:sz w:val="23"/>
          <w:szCs w:val="23"/>
        </w:rPr>
        <w:t>Winterwerp</w:t>
      </w:r>
      <w:r w:rsidRPr="00E72B02">
        <w:rPr>
          <w:sz w:val="23"/>
          <w:szCs w:val="23"/>
        </w:rPr>
        <w:t xml:space="preserve">, </w:t>
      </w:r>
      <w:r w:rsidRPr="00E72B02">
        <w:t xml:space="preserve">primer pronunciamiento del TEDH en materia de discapacidad mental y que se conformado en un verdadero </w:t>
      </w:r>
      <w:r w:rsidRPr="00E72B02">
        <w:rPr>
          <w:i/>
        </w:rPr>
        <w:t>dictum</w:t>
      </w:r>
      <w:r w:rsidRPr="00E72B02">
        <w:t xml:space="preserve">, el tribunal analizó entre otras cuestiones, la relación en el derecho al debido proceso (Artículo 6.1) y la capacidad jurídica de las personas con discapacidad mental. </w:t>
      </w:r>
      <w:r w:rsidRPr="00E72B02">
        <w:rPr>
          <w:sz w:val="23"/>
          <w:szCs w:val="23"/>
        </w:rPr>
        <w:t>El Tribunal señalo que la capacidad de una persona de gestionar en nombre propio sus derechos patrimoniales involucra derechos privados que afectan “derechos y obligaciones de carácter civiles” según el significado del Artículo 6(1). Adicionalmente señaló que sin perjuicio de la justificación para privar a una persona con trastorno mental de su capacidad administrar su patrimonio, las garantías establecidas en el Artículo 6(1) deben ser respetadas. Finalmente el tribunal concluye que mientras la enfermedad mental puede justificar ciertas limitaciones en el ejercicio del derecho a la tutela judicial, no puede permitir la ausencia total del derecho recogido en el Artículo 6(1).</w:t>
      </w:r>
      <w:r w:rsidRPr="00E72B02">
        <w:rPr>
          <w:rStyle w:val="Refdenotaalpie"/>
          <w:sz w:val="23"/>
          <w:szCs w:val="23"/>
        </w:rPr>
        <w:footnoteReference w:id="560"/>
      </w:r>
    </w:p>
    <w:p w:rsidR="00043C86" w:rsidRPr="00E72B02" w:rsidRDefault="00043C86" w:rsidP="004551E9">
      <w:r w:rsidRPr="00E72B02">
        <w:t xml:space="preserve">A pesar de las conclusiones arribadas en </w:t>
      </w:r>
      <w:r w:rsidRPr="00E72B02">
        <w:rPr>
          <w:i/>
        </w:rPr>
        <w:t xml:space="preserve">Winterwerp, </w:t>
      </w:r>
      <w:r w:rsidRPr="00E72B02">
        <w:t xml:space="preserve">el TEDH sostuvo durante décadas que la designación de un tutor a una persona privada de su capacidad jurídica no suponía una violación del artículo 6(1), en la medida que éste se encontrase facultado para ejercer en nombre del representado las </w:t>
      </w:r>
      <w:r w:rsidRPr="00E72B02">
        <w:lastRenderedPageBreak/>
        <w:t>garantías estipuladas en dicha norma.</w:t>
      </w:r>
      <w:r w:rsidRPr="00E72B02">
        <w:rPr>
          <w:rStyle w:val="Refdenotaalpie"/>
          <w:sz w:val="23"/>
          <w:szCs w:val="23"/>
        </w:rPr>
        <w:footnoteReference w:id="561"/>
      </w:r>
      <w:r w:rsidRPr="00E72B02">
        <w:t xml:space="preserve"> En </w:t>
      </w:r>
      <w:r w:rsidRPr="00E72B02">
        <w:rPr>
          <w:i/>
        </w:rPr>
        <w:t>H.F. v. Slovakia</w:t>
      </w:r>
      <w:r w:rsidRPr="00E72B02">
        <w:t>, el TEDH señaló que es evidente que la privación de la capacidad jurídica que constituye una grave violación de los derechos de la persona garantizado por el artículo 8, también incluye el derecho a la identidad y el desarrollo personal y el derecho a establecer y desarrollar relaciones con otros seres humanos y el mundo exterior. No obstante el Tribunal observó que no es tarea del mismo sustituir a las autoridades nacionales para evaluar la capacidad jurídica de una persona, sino que debe examinar en margen de apreciación de los Estados en el marco de lo establecido en el Convenio.</w:t>
      </w:r>
      <w:r w:rsidRPr="00E72B02">
        <w:rPr>
          <w:rStyle w:val="Refdenotaalpie"/>
          <w:sz w:val="23"/>
          <w:szCs w:val="23"/>
        </w:rPr>
        <w:footnoteReference w:id="562"/>
      </w:r>
    </w:p>
    <w:p w:rsidR="00043C86" w:rsidRPr="00E72B02" w:rsidRDefault="00043C86" w:rsidP="004551E9">
      <w:r w:rsidRPr="00E72B02">
        <w:t xml:space="preserve">En 2008 con la publicación de la sentencia del caso </w:t>
      </w:r>
      <w:r w:rsidRPr="00E72B02">
        <w:rPr>
          <w:i/>
        </w:rPr>
        <w:t>Shtukaturov</w:t>
      </w:r>
      <w:r w:rsidRPr="00E72B02">
        <w:t xml:space="preserve"> se generaría un cambio progresivo pero sustancial en la jurisprudencia del TEDH en materia del derecho a la capacidad jurídica de las personas con discapacidad (principalmente discapacidad mental e intelectual). Analizando la situación de una persona con discapacidad mental internada en un hospital psiquiátrico de Rusia, el Tribunal señaló que existía una interferencia muy seria en la vida privada del reclamante, toda vez que como resultado de su incapacitación el reclamante se encontraba totalmente dependiente de su tutor oficial en prácticamente todas las áreas de la vida. Adicionalmente la incapacitación absoluta se había aplicado de forma indefinida, y no podía ser revisada o apelada por otra vía que por la de su tutor, el cual en dicho caso se oponía a restablecer la capacidad jurídica de su representado.</w:t>
      </w:r>
      <w:r w:rsidRPr="00E72B02">
        <w:rPr>
          <w:rStyle w:val="Refdenotaalpie"/>
          <w:lang w:val="es-ES"/>
        </w:rPr>
        <w:footnoteReference w:id="563"/>
      </w:r>
      <w:r w:rsidRPr="00E72B02">
        <w:t xml:space="preserve"> Asimismo el Tribunal concluyó que la decisión de privación de la capacidad jurídica del reclamante se basó exclusivamente en </w:t>
      </w:r>
      <w:r w:rsidRPr="00E72B02">
        <w:lastRenderedPageBreak/>
        <w:t>un informe médico que más allá de sostener su conducta agresiva y antisocial, no lograba explicar qué tipo de acciones el reclamante se encontraba impedido de comprender o controlar. Para el tribunal, la incidencia de la enfermedad del reclamante era confusa, al igual que sus posibles consecuencias para la vida social, la salud, y los intereses patrimoniales.</w:t>
      </w:r>
      <w:r w:rsidRPr="00E72B02">
        <w:rPr>
          <w:rStyle w:val="Refdenotaalpie"/>
          <w:lang w:val="es-ES"/>
        </w:rPr>
        <w:footnoteReference w:id="564"/>
      </w:r>
      <w:r w:rsidRPr="00E72B02">
        <w:t xml:space="preserve"> Finalmente el TEDH reformula su principio fundamental que establece que “la existencia de una desorden mental, incluso de uno severo, no puede ser la única razón para justificar la incapacitación absoluta”.</w:t>
      </w:r>
      <w:r w:rsidRPr="00E72B02">
        <w:rPr>
          <w:rStyle w:val="Refdenotaalpie"/>
          <w:lang w:val="es-ES"/>
        </w:rPr>
        <w:footnoteReference w:id="565"/>
      </w:r>
      <w:r w:rsidRPr="00E72B02">
        <w:t xml:space="preserve"> Esta conclusión se podía entrever en </w:t>
      </w:r>
      <w:r w:rsidRPr="00E72B02">
        <w:rPr>
          <w:i/>
          <w:sz w:val="23"/>
          <w:szCs w:val="23"/>
        </w:rPr>
        <w:t xml:space="preserve">Winterwerp, </w:t>
      </w:r>
      <w:r w:rsidRPr="00E72B02">
        <w:rPr>
          <w:sz w:val="23"/>
          <w:szCs w:val="23"/>
        </w:rPr>
        <w:t xml:space="preserve">aunque en dicho pronunciamiento el TEDH lo plantea específicamente en el contexto de del Artículo 6(1). A partir de </w:t>
      </w:r>
      <w:r w:rsidRPr="00E72B02">
        <w:rPr>
          <w:i/>
        </w:rPr>
        <w:t xml:space="preserve">Shtukaturov, </w:t>
      </w:r>
      <w:r w:rsidRPr="00E72B02">
        <w:t xml:space="preserve">el TEDH establece este criterio en el marco de los derechos humanos en su conjunto. Como se verá a continuación, esto ha permitido al TEDH extender esta interpretación el ejercicio de derechos de familia (matrimonio y adopción), o derechos políticos (voto). </w:t>
      </w:r>
    </w:p>
    <w:p w:rsidR="00043C86" w:rsidRPr="00E72B02" w:rsidRDefault="00043C86" w:rsidP="004551E9">
      <w:r w:rsidRPr="00E72B02">
        <w:t xml:space="preserve">En </w:t>
      </w:r>
      <w:r w:rsidRPr="00E72B02">
        <w:rPr>
          <w:i/>
        </w:rPr>
        <w:t>X. v. Croacia</w:t>
      </w:r>
      <w:r w:rsidRPr="00E72B02">
        <w:t>, el TEDH tuvo oportunidad de analizar una reclamación de una persona con discapacidad mental que había sido incapacitada, y que alegaba violación del Artículo 8, ya que su hija había sido dada en adopción, sin haber sido notificada de ello, o de poder ser parte en dicho proceso. Al respecto el tribunal indicó q</w:t>
      </w:r>
      <w:r w:rsidRPr="00E72B02">
        <w:rPr>
          <w:lang w:val="es-ES"/>
        </w:rPr>
        <w:t xml:space="preserve">ue pese a no haberse acreditado una decisión judicial que privase a la reclamante de sus derechos parentales, su hija había sido dado en adopción mediante un proceso en el cual la madre no había podido participar de ninguna forma posible. El Tribunal reconoce que la reclamante (madre) había sido privada de su capacidad jurídica, pero pese a ello, “encuentra dificultad en aceptar que toda persona privada de su capacidad de obrar deba ser automáticamente excluida de un proceso de </w:t>
      </w:r>
      <w:r w:rsidRPr="00E72B02">
        <w:rPr>
          <w:lang w:val="es-ES"/>
        </w:rPr>
        <w:lastRenderedPageBreak/>
        <w:t>adopción que involucra a su hijo como en el presente caso”. Sin perjuicio de la importancia de estas conclusiones, el TEDH no indica que la reclamante debía conservar sus derechos parentales, sino más bien, que debía haber podido presenciar el proceso y tener la posibilidad de ser oída.</w:t>
      </w:r>
      <w:r w:rsidRPr="00E72B02">
        <w:rPr>
          <w:rStyle w:val="Refdenotaalpie"/>
          <w:lang w:val="es-ES"/>
        </w:rPr>
        <w:footnoteReference w:id="566"/>
      </w:r>
    </w:p>
    <w:p w:rsidR="00043C86" w:rsidRPr="00E72B02" w:rsidRDefault="00043C86" w:rsidP="004551E9">
      <w:r w:rsidRPr="00E72B02">
        <w:t xml:space="preserve">En </w:t>
      </w:r>
      <w:r w:rsidRPr="00E72B02">
        <w:rPr>
          <w:i/>
        </w:rPr>
        <w:t>Salontaji-Drobnjak</w:t>
      </w:r>
      <w:r w:rsidRPr="00E72B02">
        <w:t>, las autoridades nacionales de Serbia habían incapacitado al reclamante como medida para evitar una presumible compulsión del mismo de demandar abusivamente a empleadores, a terceras personas y al Estado. A pesar de ello, el TEDH consideró que la limitación de la capacidad jurídica del demandante había sido muy grave ya que le privó absolutamente de ser parte de forma independiente en acciones judiciales, solicitud de pensión de invalidez, decidir sobre su propio tratamiento médico, o incluso obtener un préstamo. Asimismo, el Tribunal observó que el procedimiento de incapacitación en los tribunales nacionales había sido deficiente y, cuatro años más tarde, aún no había reexaminado su decisión a pesar de las numerosas solicitudes de la misma. El Tribunal concluyó que, si bien debía existir un mecanismo legal para proteger al reclamante como litigante temerario, resultaba abusiva y desproporcionada la medida de “limitar absolutamente la capacidad jurídica” del reclamante con todas sus consecuencias jurídicas.</w:t>
      </w:r>
      <w:r w:rsidRPr="00E72B02">
        <w:rPr>
          <w:rStyle w:val="Refdenotaalpie"/>
        </w:rPr>
        <w:footnoteReference w:id="567"/>
      </w:r>
    </w:p>
    <w:p w:rsidR="00043C86" w:rsidRPr="00E72B02" w:rsidRDefault="00043C86" w:rsidP="004551E9">
      <w:r w:rsidRPr="00E72B02">
        <w:rPr>
          <w:kern w:val="24"/>
          <w:lang w:eastAsia="es-AR"/>
        </w:rPr>
        <w:t xml:space="preserve">En </w:t>
      </w:r>
      <w:r w:rsidRPr="00E72B02">
        <w:rPr>
          <w:i/>
          <w:kern w:val="24"/>
          <w:lang w:eastAsia="es-AR"/>
        </w:rPr>
        <w:t>Alajos Kiss</w:t>
      </w:r>
      <w:r w:rsidRPr="00E72B02">
        <w:rPr>
          <w:kern w:val="24"/>
          <w:lang w:eastAsia="es-AR"/>
        </w:rPr>
        <w:t xml:space="preserve">, el Tribunal encuentra al Estado responsable de violar el artículo 3 del Protocolo nº 1 por denegarle el derecho al Sr. Kiss a participar en las elecciones nacionales de 2009 por motivo de encontrase bajo un régimen de tutela parcial. El Tribunal reconoce en relación con el derecho a la participación política (activa y pasiva) que existe lugar para limitaciones implícitas y se debe reconocer a los Estados Partes un margen de </w:t>
      </w:r>
      <w:r w:rsidRPr="00E72B02">
        <w:rPr>
          <w:kern w:val="24"/>
          <w:lang w:eastAsia="es-AR"/>
        </w:rPr>
        <w:lastRenderedPageBreak/>
        <w:t xml:space="preserve">apreciación en este sentido. No obstante establece que para evaluar las limitaciones al derecho a la participación política (activa y pasiva) se debe determinar si las condiciones no menoscaban el derecho en cuestión al punto de impedir su esencia y lo prive de efectividad, esto es: que sean impuestos en miras de un objetivo legítimo y que los medios empleados no sean desproporcionados. </w:t>
      </w:r>
      <w:r w:rsidRPr="00E72B02">
        <w:t>El Tribunal manifiesta que no puede aceptar que una restricción absoluta al voto de cualquier persona que se encuentre bajo un régimen de tutela y sin distinción de sus facultades actuales, pueda considerarse como un margen de apreciación aceptable. Más aún el Tribunal observa que si una restricción de derechos fundamentales se aplica particularmente respecto de grupos sociales vulnerables que han sido históricamente discriminados, como es el caso de las personas con discapacidad mental, entonces el margen de apreciación del Estado se reduce considerablemente, y debe por tanto, justificar razones de peso para sostener dicha restricción.</w:t>
      </w:r>
      <w:r w:rsidRPr="00E72B02">
        <w:rPr>
          <w:rStyle w:val="Refdenotaalpie"/>
        </w:rPr>
        <w:footnoteReference w:id="568"/>
      </w:r>
    </w:p>
    <w:p w:rsidR="00043C86" w:rsidRPr="00E72B02" w:rsidRDefault="00043C86" w:rsidP="004551E9">
      <w:pPr>
        <w:rPr>
          <w:rFonts w:eastAsia="Calibri"/>
          <w:sz w:val="22"/>
        </w:rPr>
      </w:pPr>
      <w:r w:rsidRPr="00E72B02">
        <w:t xml:space="preserve">En </w:t>
      </w:r>
      <w:r w:rsidRPr="00E72B02">
        <w:rPr>
          <w:i/>
        </w:rPr>
        <w:t>Krušković</w:t>
      </w:r>
      <w:r w:rsidRPr="00E72B02">
        <w:t xml:space="preserve">, un caso donde el reclamante demanda al Estado Croata por no permitirle reconocer a su hijo, pese a la conformidad de la madre, debido a que se encontraba privado de su capacidad jurídica, el TEDH señaló que es aceptable que las restricciones a los derechos de las personas privadas de su capacidad jurídica, incluso en los casos que afectan las esferas de la vida privada y familiar, no están en principio en contradicción con las exigencias del Artículo 8 del Convenio. No obstante, estas restricciones deben, en principio, estar sujetas a garantías procesales efectivas. El Tribunal determina que existe violación del Artículo 8 en tanto que el Estado Croata no otorgó al reclamante ninguna posibilidad de brindar su descargo en relación con el reconocimiento de la paternidad del que consideraba su hijo al haberle privado de su capacidad jurídica, privación que incluye </w:t>
      </w:r>
      <w:r w:rsidRPr="00E72B02">
        <w:lastRenderedPageBreak/>
        <w:t>indirectamente, la posibilidad de ejercer en nombre propio de derecho al reconocimiento de la paternidad.</w:t>
      </w:r>
      <w:r w:rsidRPr="00E72B02">
        <w:rPr>
          <w:rStyle w:val="Refdenotaalpie"/>
          <w:lang w:val="es-ES"/>
        </w:rPr>
        <w:footnoteReference w:id="569"/>
      </w:r>
    </w:p>
    <w:p w:rsidR="00043C86" w:rsidRPr="00E72B02" w:rsidRDefault="00043C86" w:rsidP="004551E9">
      <w:r w:rsidRPr="00E72B02">
        <w:t xml:space="preserve">En </w:t>
      </w:r>
      <w:r w:rsidRPr="00E72B02">
        <w:rPr>
          <w:i/>
        </w:rPr>
        <w:t>Stanev</w:t>
      </w:r>
      <w:r w:rsidRPr="00E72B02">
        <w:t>, un caso donde el reclamante es ingresado involuntariamente en un hospital psiquiátrico el TEDH, expresa “que existen situaciones donde los deseos de una persona impedida en su facultades mentales pueden ser válidamente reemplazados por los de otra persona que actúen en el marco de una medida de protección y que, en ocasiones, resulta difícil determinar los verdaderos deseos y preferencias de la persona en cuestión”.</w:t>
      </w:r>
      <w:r w:rsidRPr="00E72B02">
        <w:rPr>
          <w:rStyle w:val="Refdenotaalpie"/>
          <w:lang w:val="es-ES"/>
        </w:rPr>
        <w:footnoteReference w:id="570"/>
      </w:r>
      <w:r w:rsidRPr="00E72B02">
        <w:t xml:space="preserve"> No obstante el Tribunal reitera su doctrina que el hecho de que una persona esté privada de ejercer su capacidad jurídica no necesariamente implica que la misma esté incapacitada de comprender una situación determinada. El Tribunal concluye que en el caso bajo análisis el ingreso involuntario de un hospital del reclamante “fue consecuencia directa de su estado de salud mental, de la declaración de incapacidad parcial y de la designación de un tutor”.</w:t>
      </w:r>
      <w:r w:rsidRPr="00E72B02">
        <w:rPr>
          <w:rStyle w:val="Refdenotaalpie"/>
          <w:lang w:val="es-ES"/>
        </w:rPr>
        <w:footnoteReference w:id="571"/>
      </w:r>
    </w:p>
    <w:p w:rsidR="00043C86" w:rsidRPr="00E72B02" w:rsidRDefault="00043C86" w:rsidP="004551E9">
      <w:r w:rsidRPr="00E72B02">
        <w:t xml:space="preserve">En </w:t>
      </w:r>
      <w:r w:rsidRPr="00E72B02">
        <w:rPr>
          <w:i/>
        </w:rPr>
        <w:t>D.D. v. Lituania</w:t>
      </w:r>
      <w:r w:rsidRPr="00E72B02">
        <w:t xml:space="preserve">, un caso con grandes similitudes a </w:t>
      </w:r>
      <w:r w:rsidRPr="00E72B02">
        <w:rPr>
          <w:i/>
        </w:rPr>
        <w:t>Stanev</w:t>
      </w:r>
      <w:r w:rsidRPr="00E72B02">
        <w:t>, el TEDH señaló que “cuando una persona capaz de expresar su punto de vista es privada de su libertad por requerimiento de su tutor, y sin perjuicio de estar privada de su capacidad jurídica, debe tener la posibilidad de cuestionar u oponerse a dicho internamiento ante un tribunal con representación legal independiente”.</w:t>
      </w:r>
      <w:r w:rsidRPr="00E72B02">
        <w:rPr>
          <w:rStyle w:val="Refdenotaalpie"/>
          <w:lang w:val="es-ES"/>
        </w:rPr>
        <w:footnoteReference w:id="572"/>
      </w:r>
    </w:p>
    <w:p w:rsidR="00043C86" w:rsidRPr="00E72B02" w:rsidRDefault="00043C86" w:rsidP="004551E9">
      <w:r w:rsidRPr="00E72B02">
        <w:t xml:space="preserve">Finalmente en </w:t>
      </w:r>
      <w:r w:rsidRPr="00E72B02">
        <w:rPr>
          <w:i/>
        </w:rPr>
        <w:t>Sýkora</w:t>
      </w:r>
      <w:r w:rsidRPr="00E72B02">
        <w:t xml:space="preserve">, el TEDH ha declarado que “cualquier privación o limitación de la capacidad jurídica debe basarse en pruebas fiables </w:t>
      </w:r>
      <w:r w:rsidRPr="00E72B02">
        <w:lastRenderedPageBreak/>
        <w:t>concluyentes.  El informe médico del experto debe explicar los tipos de acciones que la persona se encuentra imposibilitada de comprender o controlar, y cuáles son las consecuencias de la enfermedad para su vida social, la salud, los intereses patrimoniales, etc.”.</w:t>
      </w:r>
      <w:r w:rsidRPr="00E72B02">
        <w:rPr>
          <w:rStyle w:val="Refdenotaalpie"/>
          <w:lang w:val="es-ES"/>
        </w:rPr>
        <w:footnoteReference w:id="573"/>
      </w:r>
    </w:p>
    <w:p w:rsidR="00043C86" w:rsidRPr="00E72B02" w:rsidRDefault="00043C86" w:rsidP="004551E9"/>
    <w:p w:rsidR="00043C86" w:rsidRPr="00AD5CEE" w:rsidRDefault="00AD5CEE" w:rsidP="00AD5CEE">
      <w:pPr>
        <w:pStyle w:val="TTULO11"/>
        <w:jc w:val="both"/>
        <w:rPr>
          <w:b w:val="0"/>
          <w:sz w:val="24"/>
          <w:szCs w:val="24"/>
        </w:rPr>
      </w:pPr>
      <w:r w:rsidRPr="00AD5CEE">
        <w:rPr>
          <w:b w:val="0"/>
          <w:sz w:val="24"/>
          <w:szCs w:val="24"/>
        </w:rPr>
        <w:t>4.4.2 ÓRGANOS DE TRATADOS</w:t>
      </w:r>
    </w:p>
    <w:p w:rsidR="00043C86" w:rsidRPr="00E72B02" w:rsidRDefault="00043C86" w:rsidP="004551E9"/>
    <w:p w:rsidR="00043C86" w:rsidRPr="00E72B02" w:rsidRDefault="00043C86" w:rsidP="004551E9">
      <w:r w:rsidRPr="00E72B02">
        <w:t xml:space="preserve">Los órganos de tratados de derechos humanos, han abordado escasamente las cuestiones relativas a la capacidad jurídica de las personas con discapacidad en sus procedimientos de trabajo (Observaciones Generales, Observaciones Finales a los Informes de los Estados, y Comunicaciones Individuales). No obstante, se trata de un fenómeno que comienza a revertirse paulatinamente desde la entrada en vigor de la CDPD. Adicionalmente, algunas referencias a la capacidad jurídica pueden apreciarse en materia de derechos de las mujeres y de los niños y niñas. </w:t>
      </w:r>
    </w:p>
    <w:p w:rsidR="00043C86" w:rsidRPr="00E72B02" w:rsidRDefault="00043C86" w:rsidP="004551E9"/>
    <w:p w:rsidR="00043C86" w:rsidRPr="00AD5CEE" w:rsidRDefault="00043C86" w:rsidP="002C1D94">
      <w:pPr>
        <w:pStyle w:val="titulo110"/>
        <w:rPr>
          <w:b/>
        </w:rPr>
      </w:pPr>
      <w:r w:rsidRPr="00AD5CEE">
        <w:rPr>
          <w:b/>
        </w:rPr>
        <w:t>4.4.2.1 Observaciones Generales</w:t>
      </w:r>
    </w:p>
    <w:p w:rsidR="00043C86" w:rsidRPr="00E72B02" w:rsidRDefault="00043C86" w:rsidP="004551E9"/>
    <w:p w:rsidR="00043C86" w:rsidRPr="00E72B02" w:rsidRDefault="00043C86" w:rsidP="004551E9">
      <w:r w:rsidRPr="00E72B02">
        <w:t xml:space="preserve">Comité de Derechos Humanos: </w:t>
      </w:r>
    </w:p>
    <w:p w:rsidR="00043C86" w:rsidRPr="00E72B02" w:rsidRDefault="00043C86" w:rsidP="004551E9">
      <w:r w:rsidRPr="00E72B02">
        <w:t xml:space="preserve">En la Observación general Nº 19 el CteDH destaca que “en el párrafo 2 del artículo 23 del Pacto se reafirma el derecho del hombre y de la mujer de contraer matrimonio y de fundar una familia si tienen edad para ello.  En el párrafo 3 del mismo artículo se establece que el matrimonio no podrá celebrarse sin el libre y pleno consentimiento de los contrayentes.  En los informes de los Estados Partes debería indicarse si existen restricciones o </w:t>
      </w:r>
      <w:r w:rsidRPr="00E72B02">
        <w:lastRenderedPageBreak/>
        <w:t>impedimentos al ejercicio del derecho a contraer matrimonio sobre la base de factores especiales como el grado de parentesco o la incapacidad mental”.</w:t>
      </w:r>
      <w:r w:rsidRPr="00E72B02">
        <w:rPr>
          <w:rStyle w:val="Refdenotaalpie"/>
          <w:lang w:val="es-ES"/>
        </w:rPr>
        <w:footnoteReference w:id="574"/>
      </w:r>
      <w:r w:rsidRPr="00E72B02">
        <w:t xml:space="preserve"> </w:t>
      </w:r>
    </w:p>
    <w:p w:rsidR="00043C86" w:rsidRPr="00E72B02" w:rsidRDefault="00043C86" w:rsidP="004551E9">
      <w:r w:rsidRPr="00E72B02">
        <w:t>En la Observación general Nº 25 el CteDH adopta un criterio que hoy día parece encontrarse en contradicción con lo estipulado por la CDPD (Artículos 12 y 29). El Comité señala que “</w:t>
      </w:r>
      <w:r w:rsidRPr="00E72B02">
        <w:rPr>
          <w:i/>
        </w:rPr>
        <w:t>cualesquiera condiciones que se impongan al ejercicio de los derechos amparados por el artículo 25 deberán basarse en criterios objetivos y razonables. Por ejemplo, puede ser razonable exigir que, a fin de ser elegido o nombrado para determinados cargos, se tenga más edad que para ejercer el derecho de voto, que deben poder ejercerlo todos los ciudadanos adultos. El ejercicio de estos derechos por los ciudadanos no puede suspenderse ni negarse, salvo por los motivos previstos en la legislación y que sean razonables y objetivos.  Por ejemplo, la incapacidad mental verificada puede ser motivo para negar a una persona el derecho a votar o a ocupar un cargo público</w:t>
      </w:r>
      <w:r w:rsidRPr="00E72B02">
        <w:t>”.</w:t>
      </w:r>
      <w:r w:rsidRPr="00E72B02">
        <w:rPr>
          <w:rStyle w:val="Refdenotaalpie"/>
          <w:lang w:val="es-ES"/>
        </w:rPr>
        <w:footnoteReference w:id="575"/>
      </w:r>
      <w:r w:rsidRPr="00E72B02">
        <w:t xml:space="preserve"> </w:t>
      </w:r>
    </w:p>
    <w:p w:rsidR="00043C86" w:rsidRPr="00E72B02" w:rsidRDefault="00043C86" w:rsidP="004551E9">
      <w:pPr>
        <w:rPr>
          <w:lang w:val="es-ES_tradnl"/>
        </w:rPr>
      </w:pPr>
      <w:r w:rsidRPr="00E72B02">
        <w:rPr>
          <w:lang w:val="es-ES"/>
        </w:rPr>
        <w:t>En la Observación General nº 28, el CteDH expresa que el “</w:t>
      </w:r>
      <w:r w:rsidRPr="00E72B02">
        <w:rPr>
          <w:lang w:val="es-ES_tradnl"/>
        </w:rPr>
        <w:t xml:space="preserve">derecho que enuncia el artículo 16 en el sentido de que todo ser humano tiene derecho en todas partes al reconocimiento de su personalidad jurídica es particularmente pertinente en el caso de la mujer, que suele verlo vulnerado en razón de su sexo o su estado civil.  Este derecho supone que no se puede restringir en razón del estado civil o por otra causa discriminatoria la </w:t>
      </w:r>
      <w:r w:rsidRPr="00E72B02">
        <w:rPr>
          <w:lang w:val="es-ES_tradnl"/>
        </w:rPr>
        <w:lastRenderedPageBreak/>
        <w:t>capacidad de la mujer para ejercer el derecho de propiedad, concertar un contrato o ejercer otros derechos civiles”.</w:t>
      </w:r>
      <w:r w:rsidRPr="00E72B02">
        <w:rPr>
          <w:rStyle w:val="Refdenotaalpie"/>
          <w:lang w:val="es-ES_tradnl"/>
        </w:rPr>
        <w:footnoteReference w:id="576"/>
      </w:r>
    </w:p>
    <w:p w:rsidR="00DD6778" w:rsidRDefault="00DD6778" w:rsidP="004551E9">
      <w:pPr>
        <w:rPr>
          <w:lang w:val="es-ES_tradnl"/>
        </w:rPr>
      </w:pPr>
    </w:p>
    <w:p w:rsidR="00043C86" w:rsidRPr="00081D87" w:rsidRDefault="00043C86" w:rsidP="004551E9">
      <w:pPr>
        <w:rPr>
          <w:lang w:val="es-ES_tradnl"/>
        </w:rPr>
      </w:pPr>
      <w:r w:rsidRPr="00081D87">
        <w:rPr>
          <w:lang w:val="es-ES_tradnl"/>
        </w:rPr>
        <w:t>Comité de Derechos Económicos Sociales y Culturales</w:t>
      </w:r>
    </w:p>
    <w:p w:rsidR="00043C86" w:rsidRPr="00E72B02" w:rsidRDefault="00043C86" w:rsidP="004551E9">
      <w:pPr>
        <w:rPr>
          <w:lang w:val="es-ES_tradnl"/>
        </w:rPr>
      </w:pPr>
      <w:r w:rsidRPr="00081D87">
        <w:rPr>
          <w:lang w:val="es-ES_tradnl"/>
        </w:rPr>
        <w:t>En la Observación General nº 5, en CteDESC observa que “las medidas contra la discriminación deberían basarse en el principio de la igualdad de derechos para las personas con discapacidad y para las personas que no tienen discapacidad (…)  Las políticas en materia de incapacidad deben asegurar el acceso de los impedidos a todos los servicios de la comunidad”.</w:t>
      </w:r>
      <w:r w:rsidRPr="00081D87">
        <w:rPr>
          <w:rStyle w:val="Refdenotaalpie"/>
          <w:lang w:val="es-ES_tradnl"/>
        </w:rPr>
        <w:footnoteReference w:id="577"/>
      </w:r>
      <w:r w:rsidRPr="00E72B02">
        <w:rPr>
          <w:lang w:val="es-ES_tradnl"/>
        </w:rPr>
        <w:t xml:space="preserve"> </w:t>
      </w:r>
    </w:p>
    <w:p w:rsidR="00043C86" w:rsidRPr="00E72B02" w:rsidRDefault="00043C86" w:rsidP="004551E9">
      <w:pPr>
        <w:rPr>
          <w:lang w:val="es-ES_tradnl"/>
        </w:rPr>
      </w:pPr>
      <w:r w:rsidRPr="00E72B02">
        <w:rPr>
          <w:lang w:val="es-ES_tradnl"/>
        </w:rPr>
        <w:t>En la Observación General nº 16, el CteDESC indica que “las hipótesis y las expectativas basadas en el género suelen situar a la mujer en situación desfavorable con respecto al disfrute sustantivo de derechos, como el de actuar y ser reconocida como un adulto autónomo y con plena capacidad, participar plenamente en el desarrollo económico, social y político y tomar decisiones sobre sus circunstancias y condiciones propias”.</w:t>
      </w:r>
      <w:r w:rsidRPr="00E72B02">
        <w:rPr>
          <w:rStyle w:val="Refdenotaalpie"/>
          <w:lang w:val="es-ES_tradnl"/>
        </w:rPr>
        <w:footnoteReference w:id="578"/>
      </w:r>
    </w:p>
    <w:p w:rsidR="00043C86" w:rsidRPr="00E72B02" w:rsidRDefault="00043C86" w:rsidP="004551E9">
      <w:r w:rsidRPr="00E72B02">
        <w:rPr>
          <w:lang w:val="es-ES_tradnl"/>
        </w:rPr>
        <w:t>En la Observación General nº 20, el CteDESC expresa que “</w:t>
      </w:r>
      <w:r w:rsidRPr="00E72B02">
        <w:t xml:space="preserve">el carácter de la discriminación varía según el contexto y evoluciona con el tiempo.  Por lo tanto, la discriminación basada en "otra condición social" exige un planteamiento flexible que incluya otras formas de trato diferencial que no puedan justificarse de forma razonable y objetiva y tengan un carácter </w:t>
      </w:r>
      <w:r w:rsidRPr="00E72B02">
        <w:lastRenderedPageBreak/>
        <w:t>comparable a los motivos expresos reconocidos en el artículo 2.2.  Estos motivos adicionales se reconocen generalmente cuando reflejan la experiencia de grupos sociales vulnerables que han sido marginados en el pasado o que lo son en la actualidad.  En las observaciones generales y finales del Comité se han señalado varios de estos motivos, que se describen en mayor detalle a continuación, aunque sin intención de ser exhaustivos.  Otros posibles motivos prohibidos de discriminación podrían ser la capacidad jurídica de una persona por el hecho de estar encarcelada o detenida, o por hallarse internada en una institución psiquiátrica de forma involuntaria, o una intersección de dos causas prohibidas de discriminación, como en el caso que se deniega un servicio social a alguien por ser mujer y tener una discapacidad”.</w:t>
      </w:r>
      <w:r w:rsidRPr="00E72B02">
        <w:rPr>
          <w:rStyle w:val="Refdenotaalpie"/>
        </w:rPr>
        <w:footnoteReference w:id="579"/>
      </w:r>
    </w:p>
    <w:p w:rsidR="00043C86" w:rsidRPr="00E72B02" w:rsidRDefault="00043C86" w:rsidP="004551E9">
      <w:r w:rsidRPr="00E72B02">
        <w:t>Comité para la Eliminación de la Discriminación contra la Mujer</w:t>
      </w:r>
    </w:p>
    <w:p w:rsidR="00043C86" w:rsidRPr="00E72B02" w:rsidRDefault="00043C86" w:rsidP="004551E9">
      <w:r w:rsidRPr="00E72B02">
        <w:t xml:space="preserve">En la Observación General nº 21, el CteEFDM señala que en “en algunos países, el derecho de la mujer a litigar está limitado por la ley o por su acceso al asesoramiento jurídico y su capacidad de obtener una reparación en los tribunales.  En otros países, se respeta o da menos importancia a las mujeres en calidad de testigos o las pruebas que presenten que a los varones.  Tales leyes o costumbres coartan efectivamente el derecho de la mujer a tratar de obtener o conservar una parte igual del patrimonio y menoscaban su posición de miembro independiente, responsable y valioso de la colectividad a que pertenece.  Cuando los países limitan la capacidad jurídica de una mujer mediante sus leyes, o permiten que los individuos o las instituciones hagan otro tanto, le están negando su derecho a la igualdad con el hombre y limitan su capacidad de proveer a sus necesidades y las de </w:t>
      </w:r>
      <w:r w:rsidRPr="00E72B02">
        <w:lastRenderedPageBreak/>
        <w:t>sus familiares a cargo”.</w:t>
      </w:r>
      <w:r w:rsidRPr="00E72B02">
        <w:rPr>
          <w:rStyle w:val="Refdenotaalpie"/>
          <w:lang w:val="es-ES"/>
        </w:rPr>
        <w:footnoteReference w:id="580"/>
      </w:r>
      <w:r w:rsidRPr="00E72B02">
        <w:t xml:space="preserve"> Adicionalmente, el CteDESC declara que “toda ley o costumbre que conceda al hombre el derecho a una mayor parte del patrimonio al extinguirse el matrimonio o el amancebamiento o al fallecer un pariente es discriminatoria y tendrá graves repercusiones en la capacidad práctica de la mujer para divorciarse, para mantenerse, para sostener a su familia o para vivir dignamente como persona independiente”.</w:t>
      </w:r>
      <w:r w:rsidRPr="00E72B02">
        <w:rPr>
          <w:rStyle w:val="Refdenotaalpie"/>
          <w:lang w:val="es-ES"/>
        </w:rPr>
        <w:footnoteReference w:id="581"/>
      </w:r>
      <w:r w:rsidRPr="00E72B02">
        <w:t xml:space="preserve"> Finalmente, “el Comité considera que la edad mínima para contraer matrimonio debe ser de 18 años tanto para el hombre como para la mujer.  Al casarse, ambos asumen importantes obligaciones.  En consecuencia, no debería permitirse el matrimonio antes de que hayan alcanzado la madurez y la capacidad de obrar plenas”.</w:t>
      </w:r>
      <w:r w:rsidRPr="00E72B02">
        <w:rPr>
          <w:rStyle w:val="Refdenotaalpie"/>
          <w:lang w:val="es-ES"/>
        </w:rPr>
        <w:footnoteReference w:id="582"/>
      </w:r>
      <w:r w:rsidRPr="00E72B02">
        <w:t xml:space="preserve"> </w:t>
      </w:r>
    </w:p>
    <w:p w:rsidR="00043C86" w:rsidRPr="00E72B02" w:rsidRDefault="00043C86" w:rsidP="004551E9">
      <w:r w:rsidRPr="00E72B02">
        <w:t>Comité para la Eliminación de la Discriminación Racial</w:t>
      </w:r>
    </w:p>
    <w:p w:rsidR="00043C86" w:rsidRPr="00E72B02" w:rsidRDefault="00043C86" w:rsidP="004551E9">
      <w:pPr>
        <w:rPr>
          <w:lang w:val="es-ES_tradnl"/>
        </w:rPr>
      </w:pPr>
      <w:r w:rsidRPr="00E72B02">
        <w:rPr>
          <w:lang w:val="es-ES_tradnl"/>
        </w:rPr>
        <w:t>En la Recomendación General nº 29, el CteEDR  señala una serie de medidas que los Estados deben adoptar a los efectos de evitar la discriminación basada en la ascendencia por la presencia de diversos factores, entre los que incluye, “</w:t>
      </w:r>
      <w:r w:rsidRPr="00081D87">
        <w:rPr>
          <w:i/>
          <w:lang w:val="es-ES_tradnl"/>
        </w:rPr>
        <w:t>incapacidad o capacidad limitada para modificar la condición hereditaria</w:t>
      </w:r>
      <w:r w:rsidRPr="00E72B02">
        <w:rPr>
          <w:lang w:val="es-ES_tradnl"/>
        </w:rPr>
        <w:t>”.</w:t>
      </w:r>
      <w:r w:rsidR="007148BC" w:rsidRPr="00E72B02">
        <w:rPr>
          <w:rStyle w:val="Refdenotaalpie"/>
          <w:lang w:val="es-ES_tradnl"/>
        </w:rPr>
        <w:footnoteReference w:id="583"/>
      </w:r>
    </w:p>
    <w:p w:rsidR="00043C86" w:rsidRPr="00E72B02" w:rsidRDefault="00043C86" w:rsidP="004551E9">
      <w:pPr>
        <w:rPr>
          <w:lang w:val="es-ES_tradnl"/>
        </w:rPr>
      </w:pPr>
      <w:r w:rsidRPr="00E72B02">
        <w:rPr>
          <w:lang w:val="es-ES_tradnl"/>
        </w:rPr>
        <w:t>Comité sobre los Derechos del Niño</w:t>
      </w:r>
    </w:p>
    <w:p w:rsidR="00043C86" w:rsidRPr="00E72B02" w:rsidRDefault="00043C86" w:rsidP="004551E9">
      <w:r w:rsidRPr="00E72B02">
        <w:rPr>
          <w:lang w:val="es-ES_tradnl"/>
        </w:rPr>
        <w:t xml:space="preserve">En la Observación General nº 1, el CteDN al establecer los propósitos de la educación, señala </w:t>
      </w:r>
      <w:r w:rsidRPr="00E72B02">
        <w:t xml:space="preserve">“que el objetivo principal de la educación es el desarrollo de la personalidad de cada niño, de sus dotes naturales y capacidad, reconociéndose el hecho de que cada niño tiene características, intereses y </w:t>
      </w:r>
      <w:r w:rsidRPr="00E72B02">
        <w:lastRenderedPageBreak/>
        <w:t>capacidades únicas y también necesidades de aprendizaje propias”, a lo cual añade que “los conocimientos básicos no se limitan a la alfabetización y a la aritmética elemental sino que comprenden también la preparación para la vida activa, por ejemplo, la capacidad de adoptar decisiones ponderadas”.</w:t>
      </w:r>
      <w:r w:rsidRPr="00E72B02">
        <w:rPr>
          <w:rStyle w:val="Refdenotaalpie"/>
        </w:rPr>
        <w:footnoteReference w:id="584"/>
      </w:r>
    </w:p>
    <w:p w:rsidR="00043C86" w:rsidRPr="00E72B02" w:rsidRDefault="00043C86" w:rsidP="004551E9">
      <w:r w:rsidRPr="00E72B02">
        <w:t>Por su parte en la Observación General nº 4, el CteDN indica que es igualmente “</w:t>
      </w:r>
      <w:r w:rsidRPr="00081D87">
        <w:t>fundamental en la realización de los derechos del niño a la salud y el desarrollo, el derecho a expresar su opinión libremente y a que se tengan debidamente en cuenta sus opiniones (art. 12).  Los Estados Partes necesitan tener la seguridad de que se da a los adolescentes una posibilidad genuina de expresar sus opiniones libremente en todos los asuntos que le afectan, especialmente en el seno de la familia, en la escuela y en sus respectivas comunidades.  Para que los adolescentes puedan ejercer debidamente y con seguridad este derecho las autoridades públicas, los padres y cualesquiera otros adultos que trabajen con los niños o en favor de éstos necesitan crear un entorno basado en la confianza, la compartición de información, la capacidad de escuchar toda opinión razonable que lleve a participar a los adolescentes en condiciones de igualdad, inclusive la adopción de decisiones</w:t>
      </w:r>
      <w:r w:rsidRPr="00E72B02">
        <w:t>”.</w:t>
      </w:r>
      <w:r w:rsidRPr="00E72B02">
        <w:rPr>
          <w:rStyle w:val="Refdenotaalpie"/>
        </w:rPr>
        <w:footnoteReference w:id="585"/>
      </w:r>
      <w:r w:rsidRPr="00E72B02">
        <w:t xml:space="preserve"> </w:t>
      </w:r>
    </w:p>
    <w:p w:rsidR="00043C86" w:rsidRPr="00E72B02" w:rsidRDefault="00043C86" w:rsidP="004551E9">
      <w:r w:rsidRPr="00E72B02">
        <w:t xml:space="preserve">Comité para la Eliminación de Todas las formas de Discriminación contra las Personas con Discapacidad </w:t>
      </w:r>
      <w:r w:rsidR="00046B0A" w:rsidRPr="00E72B02">
        <w:t xml:space="preserve">(CEDDIS) </w:t>
      </w:r>
      <w:r w:rsidRPr="00E72B02">
        <w:t xml:space="preserve">(OEA) </w:t>
      </w:r>
    </w:p>
    <w:p w:rsidR="00043C86" w:rsidRPr="00E72B02" w:rsidRDefault="00043C86" w:rsidP="004551E9">
      <w:pPr>
        <w:rPr>
          <w:lang w:val="es-ES"/>
        </w:rPr>
      </w:pPr>
      <w:r w:rsidRPr="00E72B02">
        <w:rPr>
          <w:lang w:val="es-ES_tradnl"/>
        </w:rPr>
        <w:t>Seguramente el planteo más claro y vanguardista en relación con la capacidad jurídica de las personas con discapacidad efectuado por un organismo internacional de derechos humanos sea la reciente “</w:t>
      </w:r>
      <w:r w:rsidRPr="00E72B02">
        <w:rPr>
          <w:i/>
          <w:lang w:val="es-ES"/>
        </w:rPr>
        <w:t xml:space="preserve">Observación General del Comité para la Eliminación de Todas las formas de </w:t>
      </w:r>
      <w:r w:rsidRPr="00E72B02">
        <w:rPr>
          <w:i/>
          <w:lang w:val="es-ES"/>
        </w:rPr>
        <w:lastRenderedPageBreak/>
        <w:t>Discriminación contra las Personas con Discapacidad, sobre la necesidad de interpretar el artículo I.2, Inciso B) In fine de la Convención Interamericana para la Eliminación de Todas las formas de Discriminación contra las Personas con Discapacidad, en el marco del artículo 12 de la Convención de Naciones Unidas sobre los Derechos de las Personas con Discapacidad</w:t>
      </w:r>
      <w:r w:rsidRPr="00E72B02">
        <w:rPr>
          <w:lang w:val="es-ES"/>
        </w:rPr>
        <w:t>”</w:t>
      </w:r>
      <w:r w:rsidRPr="00E72B02">
        <w:rPr>
          <w:rStyle w:val="Refdenotaalpie"/>
          <w:lang w:val="es-ES"/>
        </w:rPr>
        <w:footnoteReference w:id="586"/>
      </w:r>
      <w:r w:rsidRPr="00E72B02">
        <w:rPr>
          <w:lang w:val="es-ES"/>
        </w:rPr>
        <w:t>.</w:t>
      </w:r>
    </w:p>
    <w:p w:rsidR="00043C86" w:rsidRPr="00E72B02" w:rsidRDefault="00043C86" w:rsidP="004551E9">
      <w:r w:rsidRPr="00E72B02">
        <w:t>La Observación menciona que “la mayoría de los Códigos Civiles, principalmente, de los Estados de la región, mantienen en sus normativas legales institutos jurídicos como la declaración de insania y la curatela como forma de representación legal de la personas con discapacidad, particularmente, personas sordas y personas con discapacidad mental o intelectual y que dichas instituciones deben ser revisadas en el marco de lo establecido por el artículo 12 de la Convención sobre los Derechos de las personas con Discapacidad de la O.N.U. por mandato del artículo 4.1 inciso a) y b) de dicha Convención”</w:t>
      </w:r>
    </w:p>
    <w:p w:rsidR="00043C86" w:rsidRPr="00E72B02" w:rsidRDefault="00043C86" w:rsidP="004551E9">
      <w:r w:rsidRPr="00E72B02">
        <w:t>En cuanto al mandato de naturaleza jurídica el Comité resuelve “Instar a los Estados partes a que efectúen un estudio comparativo entre su legislación interna y el Derecho nacional de los demás Estados parte en la Convención Interamericana, en lo que respecta a las disposiciones sobre la capacidad jurídica de la persona con discapacidad, a fin de asegurarse que efectivamente mantienen una regulación acorde con sus necesidades desde todos los estratos sociales, y con la realidad institucional del país, pero en el marco del artículo 12 de la Convención de la ONU.”</w:t>
      </w:r>
      <w:r w:rsidRPr="00E72B02">
        <w:rPr>
          <w:rStyle w:val="Refdenotaalpie"/>
          <w:lang w:val="es-ES"/>
        </w:rPr>
        <w:footnoteReference w:id="587"/>
      </w:r>
      <w:r w:rsidRPr="00E72B02">
        <w:t xml:space="preserve"> En cuanto al mandato de naturaleza práctica el Comité resuelve: “ Solicitar al Secretario General de la OEA disponer, a través de sus instancias jurídicas pertinentes, </w:t>
      </w:r>
      <w:r w:rsidRPr="00E72B02">
        <w:lastRenderedPageBreak/>
        <w:t>la revisión del artículo I.2 inciso b) in fine de la Convención Interamericana para la Eliminación de Todas las Formas de Discriminación contra las Personas con Discapacidad, con el objeto de armonizarlo con el artículo 12 de la Convención sobre los derechos de la persona con discapacidad de las Naciones Unidas, recomendando lo más conveniente, sea su inaplicación práctica, o su derogación.”</w:t>
      </w:r>
      <w:r w:rsidRPr="00E72B02">
        <w:rPr>
          <w:rStyle w:val="Refdenotaalpie"/>
          <w:lang w:val="es-ES"/>
        </w:rPr>
        <w:footnoteReference w:id="588"/>
      </w:r>
      <w:r w:rsidRPr="00E72B02">
        <w:t xml:space="preserve"> </w:t>
      </w:r>
    </w:p>
    <w:p w:rsidR="00043C86" w:rsidRPr="00E72B02" w:rsidRDefault="00043C86" w:rsidP="004551E9">
      <w:r w:rsidRPr="00E72B02">
        <w:t>Finalmente, se decide “Instar a los Estados parte de la Convención Interamericana a tomar medidas, en consonancia con el artículo 12 de la Convención de Naciones Unidas, para garantizar el reconocimiento de la capacidad jurídica universal, incluyendo a todas las personas con discapacidad, independientemente de su tipo y grado de discapacidad, y en consecuencia con ello, iniciar en el más breve plazo un proceso de sustitución de la práctica de la interdicción, curatela o cualquier otra forma de representación, que afecte la capacidad jurídica de las personas con discapacidad, a favor de la práctica de la toma de decisiones con apoyo.”</w:t>
      </w:r>
      <w:r w:rsidRPr="00E72B02">
        <w:rPr>
          <w:rStyle w:val="Refdenotaalpie"/>
          <w:lang w:val="es-ES"/>
        </w:rPr>
        <w:footnoteReference w:id="589"/>
      </w:r>
      <w:r w:rsidRPr="00E72B02">
        <w:t xml:space="preserve"> </w:t>
      </w:r>
    </w:p>
    <w:p w:rsidR="00043C86" w:rsidRPr="00E72B02" w:rsidRDefault="00043C86" w:rsidP="004551E9">
      <w:r w:rsidRPr="00E72B02">
        <w:t xml:space="preserve">La Observación del Comité de la OEA es de trascendencia porque no deja lugar a dudas respecto de la consideración del modelo de sustitución en la toma de decisiones como un modelo discriminatorio, y asimismo porque insta a la edificación de todo un sistema que garantice el apoyo para la toma de decisiones como parte de la garantía de igualdad. En este sentido, se hace necesario comprender que, como afirman Bach y Kerzner, desde el modelo social de discapacidad la definición de capacidad jurídica no se concentra en los atributos o limitaciones individuales de la persona, sino más bien en las barreras sociales, económicas y legales que la persona enfrenta a la hora de </w:t>
      </w:r>
      <w:r w:rsidRPr="00E72B02">
        <w:lastRenderedPageBreak/>
        <w:t>formular o ejecutar decisiones personales, y en el apoyo y los ajustes que requieren ser dados para facilitar la toma de decisiones.</w:t>
      </w:r>
      <w:r w:rsidRPr="00E72B02">
        <w:rPr>
          <w:rStyle w:val="Refdenotaalpie"/>
          <w:lang w:val="es-ES"/>
        </w:rPr>
        <w:footnoteReference w:id="590"/>
      </w:r>
    </w:p>
    <w:p w:rsidR="00043C86" w:rsidRPr="00E72B02" w:rsidRDefault="00C9430D" w:rsidP="004551E9">
      <w:r w:rsidRPr="00E72B02">
        <w:t>Comité sobre los Derechos de las Personas con Discapacidad</w:t>
      </w:r>
    </w:p>
    <w:p w:rsidR="00C9430D" w:rsidRPr="00E72B02" w:rsidRDefault="008035BF" w:rsidP="004551E9">
      <w:r w:rsidRPr="00E72B02">
        <w:t xml:space="preserve">Como se ha mencionado ya, </w:t>
      </w:r>
      <w:r w:rsidR="004D4555">
        <w:t xml:space="preserve">en abril de </w:t>
      </w:r>
      <w:r w:rsidRPr="00E72B02">
        <w:t>201</w:t>
      </w:r>
      <w:r w:rsidR="004D4555">
        <w:t>4</w:t>
      </w:r>
      <w:r w:rsidRPr="00E72B02">
        <w:t xml:space="preserve"> el CteCDPD ha </w:t>
      </w:r>
      <w:r w:rsidR="004D4555">
        <w:t>adoptado la Observación General Nº 1 sobre el artículo 12 “</w:t>
      </w:r>
      <w:r w:rsidR="004D4555" w:rsidRPr="004D4555">
        <w:t>Igual reconocimiento como persona ante la ley</w:t>
      </w:r>
      <w:r w:rsidR="004D4555">
        <w:t>”</w:t>
      </w:r>
      <w:r w:rsidRPr="00E72B02">
        <w:t xml:space="preserve">. </w:t>
      </w:r>
      <w:r w:rsidR="004D4555">
        <w:t xml:space="preserve">Dado la relevancia de dicho documento para el objeto del presente trabajo, el mismo será abordado en detalle en el Capítulo 5. </w:t>
      </w:r>
    </w:p>
    <w:p w:rsidR="00C9430D" w:rsidRPr="00E72B02" w:rsidRDefault="00C9430D" w:rsidP="002C1D94">
      <w:pPr>
        <w:pStyle w:val="titulo110"/>
      </w:pPr>
    </w:p>
    <w:p w:rsidR="00043C86" w:rsidRPr="00AD5CEE" w:rsidRDefault="00043C86" w:rsidP="002C1D94">
      <w:pPr>
        <w:pStyle w:val="titulo110"/>
        <w:rPr>
          <w:b/>
        </w:rPr>
      </w:pPr>
      <w:r w:rsidRPr="00AD5CEE">
        <w:rPr>
          <w:b/>
        </w:rPr>
        <w:t>4.4.2.2 Observaciones Finales a los Informes de los Estados</w:t>
      </w:r>
    </w:p>
    <w:p w:rsidR="00043C86" w:rsidRPr="00E72B02" w:rsidRDefault="00043C86" w:rsidP="004551E9"/>
    <w:p w:rsidR="00043C86" w:rsidRPr="00E72B02" w:rsidRDefault="00043C86" w:rsidP="004551E9">
      <w:r w:rsidRPr="00E72B02">
        <w:t>Comité sobre los Derechos de las Personas con Discapacidad</w:t>
      </w:r>
    </w:p>
    <w:p w:rsidR="00043C86" w:rsidRPr="00E72B02" w:rsidRDefault="00043C86" w:rsidP="004551E9">
      <w:r w:rsidRPr="00E72B02">
        <w:t xml:space="preserve">El CteCDPD señala en las </w:t>
      </w:r>
      <w:r w:rsidRPr="00E72B02">
        <w:rPr>
          <w:i/>
        </w:rPr>
        <w:t>Directrices</w:t>
      </w:r>
      <w:r w:rsidRPr="00E72B02">
        <w:t xml:space="preserve"> relativas al documento específico sobre la Convención que deben presentar los Estados partes con arreglo al párrafo 1 del artículo 35 de la Convención sobre los derechos de las personas con discapacidad”, en relación con el artículo 12  que “…</w:t>
      </w:r>
      <w:r w:rsidRPr="00E72B02">
        <w:rPr>
          <w:i/>
        </w:rPr>
        <w:t xml:space="preserve">Este artículo reafirma que las personas con discapacidad tienen derecho al reconocimiento de su personalidad jurídica. Los Estados partes informarán sobre: • Las medidas adoptadas para asegurar que las personas con discapacidad puedan ejercer su capacidad jurídica en igualdad de condiciones con las demás en todos los aspectos de la vida, en particular las medidas para garantizar el derecho de las personas con discapacidad a mantener su integridad física y mental, a la plena participación como ciudadanos, a ser propietarias y heredar bienes, a controlar sus propios asuntos económicos y a acceder en igualdad de condiciones a préstamos bancarios, hipotecas y otras modalidades de crédito financiero, y su </w:t>
      </w:r>
      <w:r w:rsidRPr="00E72B02">
        <w:rPr>
          <w:i/>
        </w:rPr>
        <w:lastRenderedPageBreak/>
        <w:t>derecho a no ser privadas de sus bienes de manera arbitraria; • Si existe o no legislación que restrinja la plena capacidad jurídica por razón de discapacidad, así como las medidas adoptadas para ajustarse al artículo 12 de la Convención; • El apoyo de que disponen las personas con discapacidad para ejercer su capacidad jurídica y manejar sus finanzas</w:t>
      </w:r>
      <w:r w:rsidRPr="00E72B02">
        <w:t>;…”.</w:t>
      </w:r>
      <w:r w:rsidRPr="00E72B02">
        <w:rPr>
          <w:rStyle w:val="Refdenotaalpie"/>
          <w:lang w:val="es-ES"/>
        </w:rPr>
        <w:footnoteReference w:id="591"/>
      </w:r>
      <w:r w:rsidRPr="00E72B02">
        <w:t xml:space="preserve"> </w:t>
      </w:r>
    </w:p>
    <w:p w:rsidR="00043C86" w:rsidRPr="00E72B02" w:rsidRDefault="00043C86" w:rsidP="004551E9">
      <w:r w:rsidRPr="00E72B02">
        <w:t xml:space="preserve">Consecuentemente, era de esperar que el </w:t>
      </w:r>
      <w:r w:rsidR="008035BF" w:rsidRPr="00E72B02">
        <w:t>CteCDPD</w:t>
      </w:r>
      <w:r w:rsidRPr="00E72B02">
        <w:t xml:space="preserve"> abordara con gran énfasis la cuestión de la capacidad jurídica de las personas con discapacidad en el marco de las primeras observaciones finales a los informes de los Estados.</w:t>
      </w:r>
    </w:p>
    <w:p w:rsidR="00043C86" w:rsidRPr="00E72B02" w:rsidRDefault="00043C86" w:rsidP="004551E9">
      <w:r w:rsidRPr="00E72B02">
        <w:t xml:space="preserve">En las Observaciones Finales al Informe de Túnez, de 2011, el CteCDPD “recomienda que el </w:t>
      </w:r>
      <w:r w:rsidR="0074119B" w:rsidRPr="00E72B02">
        <w:t>Estado Parte</w:t>
      </w:r>
      <w:r w:rsidRPr="00E72B02">
        <w:t xml:space="preserve"> revise las leyes relativas a la tutela y la curatela y adopte medidas legislativas y de política para convertir esos regímenes de sustitución en la adopción de decisiones en uno de asistencia para la adopción de decisiones”.</w:t>
      </w:r>
      <w:r w:rsidRPr="00E72B02">
        <w:rPr>
          <w:rStyle w:val="Refdenotaalpie"/>
          <w:lang w:val="es-ES"/>
        </w:rPr>
        <w:footnoteReference w:id="592"/>
      </w:r>
      <w:r w:rsidRPr="00E72B02">
        <w:t xml:space="preserve">  </w:t>
      </w:r>
    </w:p>
    <w:p w:rsidR="00043C86" w:rsidRPr="00E72B02" w:rsidRDefault="00043C86" w:rsidP="004551E9">
      <w:r w:rsidRPr="00E72B02">
        <w:t xml:space="preserve">En las </w:t>
      </w:r>
      <w:r w:rsidRPr="00E72B02">
        <w:rPr>
          <w:i/>
        </w:rPr>
        <w:t>Observaciones Finales al Informe de España</w:t>
      </w:r>
      <w:r w:rsidRPr="00E72B02">
        <w:t>, de 2011, el CteCDPD vuelve a reiterar la misma observación respecto del estado tunecino, añadiendo al final que el régimen de asistencia para la toma de decisiones “</w:t>
      </w:r>
      <w:r w:rsidRPr="00E72B02">
        <w:rPr>
          <w:i/>
        </w:rPr>
        <w:t>respete la autonomía, la voluntad y las preferencias de la persona</w:t>
      </w:r>
      <w:r w:rsidRPr="00E72B02">
        <w:t>”.</w:t>
      </w:r>
      <w:r w:rsidRPr="00E72B02">
        <w:rPr>
          <w:rStyle w:val="Refdenotaalpie"/>
          <w:lang w:val="es-ES"/>
        </w:rPr>
        <w:footnoteReference w:id="593"/>
      </w:r>
      <w:r w:rsidRPr="00E72B02">
        <w:t xml:space="preserve"> Asimismo, el Comité deplora “</w:t>
      </w:r>
      <w:r w:rsidRPr="00E72B02">
        <w:rPr>
          <w:rFonts w:eastAsia="Calibri"/>
          <w:i/>
        </w:rPr>
        <w:t>que los tutores que representan a personas con discapacidad consideradas "legalmente incapacitadas" puedan legalmente consentir en que se terminen o se suspendan el tratamiento médico, la nutrición u otros medios de sustentación de la vida de esas personas</w:t>
      </w:r>
      <w:r w:rsidRPr="00E72B02">
        <w:t>”.</w:t>
      </w:r>
      <w:r w:rsidRPr="00E72B02">
        <w:rPr>
          <w:rStyle w:val="Refdenotaalpie"/>
          <w:lang w:val="es-ES"/>
        </w:rPr>
        <w:footnoteReference w:id="594"/>
      </w:r>
      <w:r w:rsidRPr="00E72B02">
        <w:t xml:space="preserve"> También el Comité solicita al Estado “</w:t>
      </w:r>
      <w:r w:rsidRPr="00E72B02">
        <w:rPr>
          <w:i/>
        </w:rPr>
        <w:t xml:space="preserve">que derogue las </w:t>
      </w:r>
      <w:r w:rsidRPr="00E72B02">
        <w:rPr>
          <w:i/>
        </w:rPr>
        <w:lastRenderedPageBreak/>
        <w:t>disposiciones que autorizan el internamiento forzoso a causa de una incapacidad manifiesta o diagnosticada</w:t>
      </w:r>
      <w:r w:rsidRPr="00E72B02">
        <w:t>”.</w:t>
      </w:r>
      <w:r w:rsidRPr="00E72B02">
        <w:rPr>
          <w:rStyle w:val="Refdenotaalpie"/>
          <w:lang w:val="es-ES"/>
        </w:rPr>
        <w:footnoteReference w:id="595"/>
      </w:r>
      <w:r w:rsidRPr="00E72B02">
        <w:t xml:space="preserve"> Finalmente el Comité señala su preocupación de que en España, “</w:t>
      </w:r>
      <w:r w:rsidRPr="00E72B02">
        <w:rPr>
          <w:i/>
        </w:rPr>
        <w:t>se pueda restringir el derecho al voto de las personas con discapacidad intelectual o psicosocial si la persona interesada ha sido privada de su capacidad jurídica o ha sido internada en una institución</w:t>
      </w:r>
      <w:r w:rsidRPr="00E72B02">
        <w:t>”.</w:t>
      </w:r>
      <w:r w:rsidRPr="00E72B02">
        <w:rPr>
          <w:rStyle w:val="Refdenotaalpie"/>
          <w:lang w:val="es-ES"/>
        </w:rPr>
        <w:footnoteReference w:id="596"/>
      </w:r>
    </w:p>
    <w:p w:rsidR="00043C86" w:rsidRPr="00E72B02" w:rsidRDefault="00043C86" w:rsidP="004551E9">
      <w:r w:rsidRPr="00E72B02">
        <w:t xml:space="preserve">En las Observaciones Finales al Informe de Perú, de 2012, el CteCDPD “recomienda al </w:t>
      </w:r>
      <w:r w:rsidR="0074119B" w:rsidRPr="00E72B02">
        <w:t>Estado Parte</w:t>
      </w:r>
      <w:r w:rsidRPr="00E72B02">
        <w:t xml:space="preserve"> que derogue la práctica de la interdicción judicial y revise las leyes que permiten la tutela y la curatela con objeto de garantizar su plena conformidad con el artículo 12 de la Convención”. Adicionalmente el Comité “insta al </w:t>
      </w:r>
      <w:r w:rsidR="0074119B" w:rsidRPr="00E72B02">
        <w:t>Estado Parte</w:t>
      </w:r>
      <w:r w:rsidRPr="00E72B02">
        <w:t xml:space="preserve"> a que modifique el Código Civil con el fin de garantizar adecuadamente a todas las personas con discapacidad el ejercicio de sus derechos civiles, en particular el derecho a contraer matrimonio”.</w:t>
      </w:r>
      <w:r w:rsidRPr="00E72B02">
        <w:rPr>
          <w:rStyle w:val="Refdenotaalpie"/>
          <w:lang w:val="es-ES"/>
        </w:rPr>
        <w:footnoteReference w:id="597"/>
      </w:r>
      <w:r w:rsidRPr="00E72B02">
        <w:t xml:space="preserve"> Luego, el Comité recomiendo al Estado Peruano que “restituya el derecho de voto a todas las personas con discapacidad que están excluidas del registro electoral, en particular las personas con discapacidad que hubieran estado sujetas a interdicción judicial”.</w:t>
      </w:r>
      <w:r w:rsidRPr="00E72B02">
        <w:rPr>
          <w:rStyle w:val="Refdenotaalpie"/>
          <w:lang w:val="es-ES"/>
        </w:rPr>
        <w:footnoteReference w:id="598"/>
      </w:r>
      <w:r w:rsidRPr="00E72B02">
        <w:t xml:space="preserve"> Finalmente el Comité expresa su preocupación porque normativa doméstica (de tipo administrativa), “permita, como método anticonceptivo, esterilizar a las personas "mentalmente incompetentes" sin su consentimiento libre e informado”.</w:t>
      </w:r>
      <w:r w:rsidRPr="00E72B02">
        <w:rPr>
          <w:rStyle w:val="Refdenotaalpie"/>
          <w:lang w:val="es-ES"/>
        </w:rPr>
        <w:footnoteReference w:id="599"/>
      </w:r>
      <w:r w:rsidRPr="00E72B02">
        <w:t xml:space="preserve"> </w:t>
      </w:r>
    </w:p>
    <w:p w:rsidR="00043C86" w:rsidRPr="00E72B02" w:rsidRDefault="00043C86" w:rsidP="004551E9">
      <w:r w:rsidRPr="00E72B02">
        <w:t xml:space="preserve">En las Observaciones Finales al Informe de Argentina, de 2012, el CteCDPD “urge al </w:t>
      </w:r>
      <w:r w:rsidR="0074119B" w:rsidRPr="00E72B02">
        <w:t>Estado Parte</w:t>
      </w:r>
      <w:r w:rsidRPr="00E72B02">
        <w:t xml:space="preserve"> a la inmediata revisión de toda la </w:t>
      </w:r>
      <w:r w:rsidRPr="00E72B02">
        <w:lastRenderedPageBreak/>
        <w:t>legislación vigente que, basada en la sustitución de la toma de decisiones, priva a la persona con discapacidad de su capacidad jurídica”.</w:t>
      </w:r>
      <w:r w:rsidRPr="00E72B02">
        <w:rPr>
          <w:rStyle w:val="Refdenotaalpie"/>
          <w:lang w:val="es-ES"/>
        </w:rPr>
        <w:footnoteReference w:id="600"/>
      </w:r>
      <w:r w:rsidRPr="00E72B02">
        <w:t xml:space="preserve"> En relación con el Artículo 25 el Comité </w:t>
      </w:r>
      <w:r w:rsidRPr="00E72B02">
        <w:rPr>
          <w:rFonts w:eastAsia="Calibri"/>
        </w:rPr>
        <w:t xml:space="preserve">expresa su preocupación sobre los obstáculos en el sistema de salud del </w:t>
      </w:r>
      <w:r w:rsidR="0074119B" w:rsidRPr="00E72B02">
        <w:rPr>
          <w:rFonts w:eastAsia="Calibri"/>
        </w:rPr>
        <w:t>Estado Parte</w:t>
      </w:r>
      <w:r w:rsidRPr="00E72B02">
        <w:rPr>
          <w:rFonts w:eastAsia="Calibri"/>
        </w:rPr>
        <w:t xml:space="preserve"> </w:t>
      </w:r>
      <w:r w:rsidRPr="00E72B02">
        <w:t>como las “</w:t>
      </w:r>
      <w:r w:rsidRPr="00E72B02">
        <w:rPr>
          <w:rFonts w:eastAsia="Calibri"/>
        </w:rPr>
        <w:t>restricciones en el ejercicio de la capacidad jurídica de las personas con discapacidad para tomar decisiones sobre sus propios tratamientos</w:t>
      </w:r>
      <w:r w:rsidRPr="00E72B02">
        <w:t>”.</w:t>
      </w:r>
      <w:r w:rsidRPr="00E72B02">
        <w:rPr>
          <w:rStyle w:val="Refdenotaalpie"/>
          <w:lang w:val="es-ES"/>
        </w:rPr>
        <w:footnoteReference w:id="601"/>
      </w:r>
      <w:r w:rsidRPr="00E72B02">
        <w:t xml:space="preserve"> En relación con el Artículo 29 el Comité recomienda que el Estado Argentino “revise el Código Electoral y haga las modificaciones necesarias para alinearlo con los estándares de la Convención, en particular en materia de capacidad jurídica y el ejercicio del derecho al voto en igualdad de condiciones”.</w:t>
      </w:r>
      <w:r w:rsidRPr="00E72B02">
        <w:rPr>
          <w:rStyle w:val="Refdenotaalpie"/>
          <w:lang w:val="es-ES"/>
        </w:rPr>
        <w:footnoteReference w:id="602"/>
      </w:r>
      <w:r w:rsidRPr="00E72B02">
        <w:t xml:space="preserve"> Finalmente, en relación con el Artículo 31, el Comité “subraya la importancia de disponer de datos actualizados que permitan conocer con precisión la situación de sectores específicos de personas con discapacidad que puedan estar sujetas a múltiples formas de exclusión, en particular, las mujeres, la infancia, las personas institucionalizadas, aquéllas que han sido privadas de su capacidad jurídica”.</w:t>
      </w:r>
      <w:r w:rsidRPr="00E72B02">
        <w:rPr>
          <w:rStyle w:val="Refdenotaalpie"/>
          <w:lang w:val="es-ES"/>
        </w:rPr>
        <w:footnoteReference w:id="603"/>
      </w:r>
      <w:r w:rsidRPr="00E72B02">
        <w:t xml:space="preserve"> </w:t>
      </w:r>
    </w:p>
    <w:p w:rsidR="00043C86" w:rsidRPr="00E72B02" w:rsidRDefault="00043C86" w:rsidP="004551E9">
      <w:r w:rsidRPr="00E72B02">
        <w:t xml:space="preserve">En las Observaciones Finales al Informe de China, de 2012, el CteCDPD reitera sus conclusiones anteriores sobre la necesidad de “reemplazar los regímenes de sustitución de la capacidad de obrar por un sistema que sirva de complemento de dicha capacidad”, y adicionalmente recomiendo al Estado Chino que “prepare, regule y aplique un sistema que sirva de complemento de la capacidad de obrar que incluya lo siguiente: a) Reconocimiento de la capacidad de obrar de todas las personas y del derecho a ejercerla; b) Ajustes y mecanismos de acceso en apoyo, en caso necesario, del ejercicio de la capacidad de obrar; c) Normas que garanticen </w:t>
      </w:r>
      <w:r w:rsidRPr="00E72B02">
        <w:lastRenderedPageBreak/>
        <w:t>que el complemento de la capacidad de obrar respete la autonomía, la voluntad y las preferencias de la persona y establecimiento de mecanismos de información para asegurarse de que ese complemento satisfaga las necesidades de la persona; d) Arreglos para la promoción y el establecimiento de sistemas de complemento de la capacidad de obrar”.</w:t>
      </w:r>
      <w:r w:rsidRPr="00E72B02">
        <w:rPr>
          <w:rStyle w:val="Refdenotaalpie"/>
          <w:lang w:val="es-ES"/>
        </w:rPr>
        <w:footnoteReference w:id="604"/>
      </w:r>
      <w:r w:rsidRPr="00E72B02">
        <w:t xml:space="preserve"> En relación con el Artículo 13 el Comité “propone que el </w:t>
      </w:r>
      <w:r w:rsidR="0074119B" w:rsidRPr="00E72B02">
        <w:t>Estado Parte</w:t>
      </w:r>
      <w:r w:rsidRPr="00E72B02">
        <w:t xml:space="preserve"> revise sus leyes de procedimiento civil y penal a fin de exigir el establecimiento de ajustes procedimentales para que las personas con discapacidad que intervengan en el sistema judicial lo hagan como sujetos de derechos y no como objetos de protección”.</w:t>
      </w:r>
      <w:r w:rsidRPr="00E72B02">
        <w:rPr>
          <w:rStyle w:val="Refdenotaalpie"/>
          <w:lang w:val="es-ES"/>
        </w:rPr>
        <w:footnoteReference w:id="605"/>
      </w:r>
      <w:r w:rsidRPr="00E72B02">
        <w:t xml:space="preserve"> </w:t>
      </w:r>
    </w:p>
    <w:p w:rsidR="00043C86" w:rsidRPr="00E72B02" w:rsidRDefault="00043C86" w:rsidP="004551E9">
      <w:r w:rsidRPr="00E72B02">
        <w:t>En las Observaciones Finales al Informe de Hungría</w:t>
      </w:r>
      <w:r w:rsidR="0074119B" w:rsidRPr="00E72B02">
        <w:t>, de 2012, el CteCDPD recomienda</w:t>
      </w:r>
      <w:r w:rsidRPr="00E72B02">
        <w:t xml:space="preserve"> al </w:t>
      </w:r>
      <w:r w:rsidR="0074119B" w:rsidRPr="00E72B02">
        <w:t>Estado Parte</w:t>
      </w:r>
      <w:r w:rsidRPr="00E72B02">
        <w:t xml:space="preserve"> para que adopte “medidas inmediatas encaminadas a eliminar la tutela a fin de que, en materia de toma de decisiones, se pase del modelo de sustitución al de asistencia, que respeta la autonomía, la voluntad y las preferencias de la persona y se ajusta plenamente al artículo 12 de la Convención, en particular con respecto al derecho de la persona, en su propia capacidad, a dar y retirar el consentimiento informado para el tratamiento médico, acceder a la justicia, votar, casarse, trabajar y elegir un lugar de residencia”.</w:t>
      </w:r>
      <w:r w:rsidRPr="00E72B02">
        <w:rPr>
          <w:rStyle w:val="Refdenotaalpie"/>
          <w:lang w:val="es-ES"/>
        </w:rPr>
        <w:footnoteReference w:id="606"/>
      </w:r>
      <w:r w:rsidRPr="00E72B02">
        <w:t xml:space="preserve"> En relación con el Artículo 15 el Comité insta al </w:t>
      </w:r>
      <w:r w:rsidR="0074119B" w:rsidRPr="00E72B02">
        <w:t>Estado Parte</w:t>
      </w:r>
      <w:r w:rsidRPr="00E72B02">
        <w:t xml:space="preserve"> a que modifique la Ley de salud y a que “derogue las disposiciones de esta que establecen un marco jurídico que permite someter a las personas con discapacidad cuya capacidad jurídica esté limitada a experimentos médicos sin su consentimiento libre e informado”.</w:t>
      </w:r>
      <w:r w:rsidRPr="00E72B02">
        <w:rPr>
          <w:rStyle w:val="Refdenotaalpie"/>
          <w:lang w:val="es-ES"/>
        </w:rPr>
        <w:footnoteReference w:id="607"/>
      </w:r>
      <w:r w:rsidRPr="00E72B02">
        <w:t xml:space="preserve"> Asimismo, en relación con el Artículo 29 el Comité expresa su preocupación por “la nueva Constitución del </w:t>
      </w:r>
      <w:r w:rsidR="0074119B" w:rsidRPr="00E72B02">
        <w:t>Estado Parte</w:t>
      </w:r>
      <w:r w:rsidRPr="00E72B02">
        <w:t xml:space="preserve"> según la cual </w:t>
      </w:r>
      <w:r w:rsidRPr="00E72B02">
        <w:lastRenderedPageBreak/>
        <w:t>un juez puede privar del derecho de voto a las personas con "capacidad mental limitada", y que la legislación permita limitar el derecho de voto de las personas con discapacidad intelectual o psicosocial si dichas personas han sido privadas de su capacidad jurídica”.</w:t>
      </w:r>
      <w:r w:rsidRPr="00E72B02">
        <w:rPr>
          <w:rStyle w:val="Refdenotaalpie"/>
          <w:lang w:val="es-ES"/>
        </w:rPr>
        <w:footnoteReference w:id="608"/>
      </w:r>
      <w:r w:rsidRPr="00E72B02">
        <w:t xml:space="preserve"> </w:t>
      </w:r>
    </w:p>
    <w:p w:rsidR="0074119B" w:rsidRPr="00E72B02" w:rsidRDefault="0074119B" w:rsidP="004551E9">
      <w:r w:rsidRPr="00E72B02">
        <w:t>En las Observaciones Finales al Informe de Austria, de 2012, el CteCDPD recomienda al Estado Parte que “reemplace la sustitución en la toma de decisiones por el apoyo a la toma de decisiones de las personas con discapacidad y que vele más por que las personas con discapacidad tengan acceso a mecanismos de apoyo a la toma de decisiones y no queden sujetas a tutela. Recomienda que los mecanismos de apoyo a la toma de decisiones respeten la autonomía, la voluntad y las preferencias de la persona y se ajusten plenamente al artículo 12 de la Convención, entre otras cosas con respecto al derecho de la persona, a título individual, a dar y retirar el consentimiento informado para el tratamiento médico, acceder a la justicia, votar, casarse, trabajar y elegir un lugar de residencia”.</w:t>
      </w:r>
      <w:r w:rsidRPr="00E72B02">
        <w:rPr>
          <w:rStyle w:val="Refdenotaalpie"/>
          <w:lang w:val="es-ES"/>
        </w:rPr>
        <w:footnoteReference w:id="609"/>
      </w:r>
      <w:r w:rsidRPr="00E72B02">
        <w:t xml:space="preserve"> </w:t>
      </w:r>
    </w:p>
    <w:p w:rsidR="00043C86" w:rsidRPr="00E72B02" w:rsidRDefault="0074119B" w:rsidP="004551E9">
      <w:r w:rsidRPr="00E72B02">
        <w:t>En las Observaciones Finales al Informe de El Salvador, de 2012, el CteCDPD recomienda al Estado Parte que “recomienda al Estado parte reemplazar el régimen de interdicción basado en la discapacidad por un mecanismo de apoyo en el proceso de toma de decisiones que sea respetuoso de la autonomía, voluntad y preferencias de la persona y, adoptar medidas inmediatas con la participación de las organizaciones de personas con discapacidad para desarrollar los servicios de apoyo apropiados en la toma de decisiones, en consonancia con las provisiones de la Convención”.</w:t>
      </w:r>
      <w:r w:rsidR="00377781" w:rsidRPr="00E72B02">
        <w:rPr>
          <w:rStyle w:val="Refdenotaalpie"/>
          <w:lang w:val="es-ES"/>
        </w:rPr>
        <w:footnoteReference w:id="610"/>
      </w:r>
      <w:r w:rsidRPr="00E72B02">
        <w:t xml:space="preserve"> En relación con el artículo 14 el Comité “llama al Estado parte a abolir las normas que autorizan la privación de libertad en razón de </w:t>
      </w:r>
      <w:r w:rsidRPr="00E72B02">
        <w:lastRenderedPageBreak/>
        <w:t>la discapacidad, que atribuyen a la discapacidad la posibilidad de generar daño para si mismo u otras personas o le adscriben la necesidad de cuidado y tratamiento, y establecer los procedimientos idóneos para que los servicios de salud, incluida la salud mental proceda únicamente previo el consentimiento libre e informado de la persona interesada”.</w:t>
      </w:r>
      <w:r w:rsidRPr="00E72B02">
        <w:rPr>
          <w:rStyle w:val="Refdenotaalpie"/>
          <w:lang w:val="es-ES"/>
        </w:rPr>
        <w:footnoteReference w:id="611"/>
      </w:r>
      <w:r w:rsidRPr="00E72B02">
        <w:t xml:space="preserve"> Respecto de la protección contra la tortura el Comité </w:t>
      </w:r>
      <w:r w:rsidR="00377781" w:rsidRPr="00E72B02">
        <w:t>“recomienda al Estado parte prohibir y prevenir   la práctica de experimentos médicos o científicos en las personas con discapacidad sin su consentimiento libre e informado”.</w:t>
      </w:r>
      <w:r w:rsidR="00377781" w:rsidRPr="00E72B02">
        <w:rPr>
          <w:rStyle w:val="Refdenotaalpie"/>
          <w:lang w:val="es-ES"/>
        </w:rPr>
        <w:footnoteReference w:id="612"/>
      </w:r>
      <w:r w:rsidRPr="00E72B02">
        <w:t xml:space="preserve"> </w:t>
      </w:r>
      <w:r w:rsidR="00377781" w:rsidRPr="00E72B02">
        <w:t>En materia de protección de la integridad personal el Comité “recomienda al Estado parte remover de su legislación las disposiciones que permiten la esterilización de mujeres con discapacidad sin su consentimiento y prevenir e investigar la práctica de abortos como consecuencia de abusos sexuales”,</w:t>
      </w:r>
      <w:r w:rsidR="00377781" w:rsidRPr="00E72B02">
        <w:rPr>
          <w:rStyle w:val="Refdenotaalpie"/>
          <w:lang w:val="es-ES"/>
        </w:rPr>
        <w:footnoteReference w:id="613"/>
      </w:r>
      <w:r w:rsidR="00377781" w:rsidRPr="00E72B02">
        <w:t xml:space="preserve"> y respecto de la protección del hogar y la familia manifiesta su preocupación respecto de que “el régimen de privación de la capacidad jurídica a las personas con discapacidad intelectual o psicosocial y a las personas con discapacidad auditiva, y otras barreras que les impiden contraer matrimonio y ejercer sus derechos en el ámbito de la familia, la maternidad y las relaciones personales”.</w:t>
      </w:r>
      <w:r w:rsidR="00377781" w:rsidRPr="00E72B02">
        <w:rPr>
          <w:rStyle w:val="Refdenotaalpie"/>
          <w:lang w:val="es-ES"/>
        </w:rPr>
        <w:footnoteReference w:id="614"/>
      </w:r>
    </w:p>
    <w:p w:rsidR="00377781" w:rsidRPr="00E72B02" w:rsidRDefault="00377781" w:rsidP="004551E9">
      <w:r w:rsidRPr="00E72B02">
        <w:t xml:space="preserve">En las Observaciones Finales al Informe de Australia, de 2012, el CteCDPD recomienda al Estado Parte que “utilice eficazmente el proceso de investigación en curso para adoptar medidas inmediatas encaminadas a remplazar la sustitución en la toma de decisiones por un apoyo en la toma de decisiones, y que ofrezca un amplio abanico de medidas que respeten la autonomía, la voluntad y las preferencias de la persona y sean plenamente conformes con el artículo 12 de la Convención, particularmente en lo </w:t>
      </w:r>
      <w:r w:rsidRPr="00E72B02">
        <w:lastRenderedPageBreak/>
        <w:t>tocante al respeto del derecho de la persona, en el ejercicio de su propia capacidad, a dar o retirar su consentimiento informado para recibir tratamiento médico, acceder a la justicia, votar, contraer matrimonio y trabajar”.</w:t>
      </w:r>
      <w:r w:rsidRPr="00E72B02">
        <w:rPr>
          <w:rStyle w:val="Refdenotaalpie"/>
          <w:lang w:val="es-ES"/>
        </w:rPr>
        <w:footnoteReference w:id="615"/>
      </w:r>
      <w:r w:rsidRPr="00E72B02">
        <w:t xml:space="preserve"> </w:t>
      </w:r>
      <w:r w:rsidR="00DF776E" w:rsidRPr="00E72B02">
        <w:t>En relación con la protección de la libertad y seguridad personal, el Comité “recomienda al Estado parte derogar toda ley que autorice la realización de intervenciones médicas sin el consentimiento libre e informado de las personas con discapacidad interesadas, el confinamiento forzoso de personas en centros de salud mental o la imposición de tratamientos obligatorios, ya sea en instituciones o en la comunidad, mediante órdenes de tratamiento en la comunidad”.</w:t>
      </w:r>
      <w:r w:rsidR="00DF776E" w:rsidRPr="00E72B02">
        <w:rPr>
          <w:rStyle w:val="Refdenotaalpie"/>
          <w:lang w:val="es-ES"/>
        </w:rPr>
        <w:footnoteReference w:id="616"/>
      </w:r>
      <w:r w:rsidR="00DF776E" w:rsidRPr="00E72B02">
        <w:t xml:space="preserve"> Finalmente respecto de la protección de la integridad personal, el Comité “insta al Estado parte a que adopte una legislación nacional uniforme que prohíba la esterilización de los niños y niñas con discapacidad, así como de los adultos con discapacidad, sin su consentimiento previo, libre y plenamente informado”.</w:t>
      </w:r>
      <w:r w:rsidR="00DF776E" w:rsidRPr="00E72B02">
        <w:rPr>
          <w:rStyle w:val="Refdenotaalpie"/>
          <w:lang w:val="es-ES"/>
        </w:rPr>
        <w:footnoteReference w:id="617"/>
      </w:r>
    </w:p>
    <w:p w:rsidR="00DF776E" w:rsidRDefault="004D4555" w:rsidP="004551E9">
      <w:r w:rsidRPr="00E72B02">
        <w:t xml:space="preserve">En las Observaciones Finales al Informe de </w:t>
      </w:r>
      <w:r w:rsidR="004A6F3C">
        <w:t>Costa Rica</w:t>
      </w:r>
      <w:r w:rsidRPr="00E72B02">
        <w:t>, de 201</w:t>
      </w:r>
      <w:r w:rsidR="004A6F3C">
        <w:t>3</w:t>
      </w:r>
      <w:r w:rsidRPr="00E72B02">
        <w:t>, el CteCDPD recomienda al Estado Parte que</w:t>
      </w:r>
      <w:r w:rsidR="004A6F3C">
        <w:t xml:space="preserve"> “</w:t>
      </w:r>
      <w:r w:rsidR="004A6F3C" w:rsidRPr="004A6F3C">
        <w:t>establezca mecanismos de salvaguarda necesarios para las personas con discapacidad y desarrolle un modelo de apoyo en el proceso de toma de decisiones que sea respetuoso de la autonomía, voluntad y preferencias de la persona, así como el respeto de su derecho al consentimiento libre e informado para recibir tratamiento médico, acceder a la justicia, votar, contraer matrimonio y elegir un lugar de residencia, entre otros</w:t>
      </w:r>
      <w:r w:rsidR="004A6F3C">
        <w:t>”.</w:t>
      </w:r>
      <w:r w:rsidR="004A6F3C">
        <w:rPr>
          <w:rStyle w:val="Refdenotaalpie"/>
          <w:lang w:val="es-ES"/>
        </w:rPr>
        <w:footnoteReference w:id="618"/>
      </w:r>
      <w:r w:rsidR="004A6F3C">
        <w:t xml:space="preserve"> </w:t>
      </w:r>
    </w:p>
    <w:p w:rsidR="004A6F3C" w:rsidRPr="00E72B02" w:rsidRDefault="004A6F3C" w:rsidP="004551E9"/>
    <w:p w:rsidR="00043C86" w:rsidRPr="00E72B02" w:rsidRDefault="00043C86" w:rsidP="004551E9">
      <w:r w:rsidRPr="00E72B02">
        <w:t>Comité de Derechos Humanos</w:t>
      </w:r>
    </w:p>
    <w:p w:rsidR="00043C86" w:rsidRPr="00E72B02" w:rsidRDefault="00043C86" w:rsidP="004551E9">
      <w:r w:rsidRPr="00E72B02">
        <w:t xml:space="preserve">En las </w:t>
      </w:r>
      <w:r w:rsidRPr="00E72B02">
        <w:rPr>
          <w:i/>
        </w:rPr>
        <w:t>Observaciones Finales al Tercer Informe Periódico de Bulgaria</w:t>
      </w:r>
      <w:r w:rsidRPr="00E72B02">
        <w:t xml:space="preserve">, de 2011, el CteDH, expresa su preocupación por que “las personas con discapacidad mental no tengan acceso a salvaguardias procesales y sustantivas adecuadas que las protejan de restricciones desproporcionadas de su disfrute de los derechos que les garantiza el Pacto. En particular, preocupa al Comité que las personas </w:t>
      </w:r>
      <w:r w:rsidRPr="00E72B02">
        <w:rPr>
          <w:i/>
        </w:rPr>
        <w:t>privadas de su capacidad jurídica</w:t>
      </w:r>
      <w:r w:rsidRPr="00E72B02">
        <w:t xml:space="preserve"> no tengan recurso a medios para impugnar las violaciones de sus derechos, que no exista ningún mecanismo independiente de inspección de las instituciones de salud mental y que el sistema de tutela prevea a menudo la participación de agentes de la misma institución en que se encuentra recluida la persona (arts. 2, 9, 10, 25 y 26). El </w:t>
      </w:r>
      <w:r w:rsidR="0074119B" w:rsidRPr="00E72B02">
        <w:t>Estado Parte</w:t>
      </w:r>
      <w:r w:rsidRPr="00E72B02">
        <w:t xml:space="preserve"> debería: a) Revisar su política de </w:t>
      </w:r>
      <w:r w:rsidRPr="00E72B02">
        <w:rPr>
          <w:i/>
        </w:rPr>
        <w:t>privar de su capacidad jurídica a las personas con discapacidad menta</w:t>
      </w:r>
      <w:r w:rsidRPr="00E72B02">
        <w:t>l y establecer la necesidad y proporcionalidad de toda medida caso por caso con salvaguardias procesales eficaces, velando en toda circunstancia por que todas las personas privadas de su capacidad jurídica puedan obtener con prontitud una revisión judicial efectiva de las decisiones; b) Velar por que las personas con discapacidad mental o sus representantes legales puedan ejercer el derecho a un recurso eficaz contra las violaciones de sus derechos, y considerar la posibilidad de proporcionar alternativas menos restrictivas al confinamiento y tratamiento forzosos de las personas con discapacidad mental;…”.</w:t>
      </w:r>
      <w:r w:rsidRPr="00E72B02">
        <w:rPr>
          <w:rStyle w:val="Refdenotaalpie"/>
          <w:lang w:val="es-ES"/>
        </w:rPr>
        <w:footnoteReference w:id="619"/>
      </w:r>
    </w:p>
    <w:p w:rsidR="00043C86" w:rsidRPr="00E72B02" w:rsidRDefault="00043C86" w:rsidP="004551E9">
      <w:r w:rsidRPr="00E72B02">
        <w:t xml:space="preserve">En las </w:t>
      </w:r>
      <w:r w:rsidRPr="00E72B02">
        <w:rPr>
          <w:i/>
        </w:rPr>
        <w:t>Observaciones Finales al Sexto Informe Periódico de la Federación Rusa</w:t>
      </w:r>
      <w:r w:rsidRPr="00E72B02">
        <w:t xml:space="preserve">, de 2009, el CteDH “expresa su preocupación por el elevado número de personas con discapacidad mental que son privadas de su capacidad </w:t>
      </w:r>
      <w:r w:rsidRPr="00E72B02">
        <w:lastRenderedPageBreak/>
        <w:t xml:space="preserve">jurídica en el </w:t>
      </w:r>
      <w:r w:rsidR="0074119B" w:rsidRPr="00E72B02">
        <w:t>Estado Parte</w:t>
      </w:r>
      <w:r w:rsidRPr="00E72B02">
        <w:t xml:space="preserve"> y por la ausencia aparente de salvaguardias adecuadas, sustantivas y de procedimiento, contra las restricciones desproporcionadas al goce de los derechos que el Pacto garantiza a esas personas. En particular, el Comité está preocupado por la falta de salvaguardias de procedimiento y de recursos de apelación contra las decisiones judiciales, basadas en la mera existencia de un diagnóstico psiquiátrico, que privan a las personas de su capacidad jurídica, y contra las decisiones de internamiento que con frecuencia siguen a la incapacitación jurídica de la persona. Al Comité le preocupa igualmente que las personas privadas de capacidad jurídica no dispongan de recursos judiciales para impugnar otras violaciones de sus derechos, incluidos los malos tratos o los insultos de los guardianes y/o el personal de las instituciones en que estén internadas, lo que se ve agravado por la ausencia de un mecanismo independiente de inspección de las instituciones de salud mental (arts. 9 y 10). El </w:t>
      </w:r>
      <w:r w:rsidR="0074119B" w:rsidRPr="00E72B02">
        <w:t>Estado Parte</w:t>
      </w:r>
      <w:r w:rsidRPr="00E72B02">
        <w:t xml:space="preserve"> debería: a) Revisar su política de privar de su capacidad jurídica a las personas con discapacidad mental y determinar la necesidad y la proporcionalidad de toda medida de ese tipo en cada caso y previendo salvaguardias efectivas de procedimiento, asegurándose en cualquier eventualidad de que todas las personas privadas de su capacidad jurídica tengan acceso fácil a una revisión judicial efectiva de la decisión original y, cuando sea pertinente, de la decisión de internarlas; b) Asegurarse de que las personas con discapacidad mental puedan ejercer el derecho a un recurso efectivo contra las violaciones de sus derechos y considerar la posibilidad de prever alternativas menos restrictivas a la reclusión y el tratamiento forzosos de las personas con discapacidad mental;…”.</w:t>
      </w:r>
      <w:r w:rsidRPr="00E72B02">
        <w:rPr>
          <w:rStyle w:val="Refdenotaalpie"/>
          <w:lang w:val="es-ES"/>
        </w:rPr>
        <w:footnoteReference w:id="620"/>
      </w:r>
    </w:p>
    <w:p w:rsidR="00043C86" w:rsidRPr="00E72B02" w:rsidRDefault="00043C86" w:rsidP="004551E9">
      <w:r w:rsidRPr="00E72B02">
        <w:t xml:space="preserve">En las </w:t>
      </w:r>
      <w:r w:rsidRPr="00E72B02">
        <w:rPr>
          <w:i/>
        </w:rPr>
        <w:t>Observaciones Finales al Tercer Informe Periódico de Panamá</w:t>
      </w:r>
      <w:r w:rsidRPr="00E72B02">
        <w:t xml:space="preserve">, de 2008, el CteDH expresa su preocupación por que, “según el artículo 12 de la </w:t>
      </w:r>
      <w:r w:rsidRPr="00E72B02">
        <w:lastRenderedPageBreak/>
        <w:t xml:space="preserve">Constitución, el Estado podrá negar una solicitud de naturalización por razones de incapacidad física o mental. (Artículo 2 del Pacto). El </w:t>
      </w:r>
      <w:r w:rsidR="0074119B" w:rsidRPr="00E72B02">
        <w:t>Estado Parte</w:t>
      </w:r>
      <w:r w:rsidRPr="00E72B02">
        <w:t xml:space="preserve"> debería modificar la Constitución con miras a eliminar de la misma esta disposición discriminatoria que resulta contraria al Pacto”.</w:t>
      </w:r>
      <w:r w:rsidRPr="00E72B02">
        <w:rPr>
          <w:rStyle w:val="Refdenotaalpie"/>
          <w:lang w:val="es-ES"/>
        </w:rPr>
        <w:footnoteReference w:id="621"/>
      </w:r>
      <w:r w:rsidRPr="00E72B02">
        <w:t xml:space="preserve"> </w:t>
      </w:r>
    </w:p>
    <w:p w:rsidR="00043C86" w:rsidRPr="00E72B02" w:rsidRDefault="00043C86" w:rsidP="004551E9">
      <w:r w:rsidRPr="00E72B02">
        <w:t xml:space="preserve">En las </w:t>
      </w:r>
      <w:r w:rsidRPr="00E72B02">
        <w:rPr>
          <w:i/>
        </w:rPr>
        <w:t>Observaciones Finales al Segundo Informe Periódico de la República Checa</w:t>
      </w:r>
      <w:r w:rsidRPr="00E72B02">
        <w:t xml:space="preserve">, de 2007, el CteDH “observa con preocupación que el confinamiento en los hospitales psiquiátricos pueda basarse en meros "indicios de enfermedad mental". Deplora que en las inspecciones judiciales de las admisiones de pacientes en instituciones psiquiátricas no se garantice suficientemente el respeto de las opiniones de los pacientes, y que a veces se otorgue la tutela a abogados que no se reúnen con el paciente (arts. 9 y 16). El </w:t>
      </w:r>
      <w:r w:rsidR="0074119B" w:rsidRPr="00E72B02">
        <w:t>Estado Parte</w:t>
      </w:r>
      <w:r w:rsidRPr="00E72B02">
        <w:t xml:space="preserve"> debería asegurarse de que no se llevaran a cabo confinamientos psiquiátricos innecesarios desde el punto de vista médico, de que se provea una tutela apropiada a todas las personas sin plena capacidad jurídica y de que en cada caso se proceda a una inspección judicial efectiva de la licitud de la admisión y el confinamiento de esas personas en las instituciones de salud”.</w:t>
      </w:r>
      <w:r w:rsidRPr="00E72B02">
        <w:rPr>
          <w:rStyle w:val="Refdenotaalpie"/>
          <w:lang w:val="es-ES"/>
        </w:rPr>
        <w:footnoteReference w:id="622"/>
      </w:r>
    </w:p>
    <w:p w:rsidR="00043C86" w:rsidRPr="00E72B02" w:rsidRDefault="00043C86" w:rsidP="004551E9"/>
    <w:p w:rsidR="00043C86" w:rsidRPr="00E72B02" w:rsidRDefault="00043C86" w:rsidP="004551E9">
      <w:r w:rsidRPr="00E72B02">
        <w:t>Comité de Derechos Económicos, Sociales y Culturales</w:t>
      </w:r>
    </w:p>
    <w:p w:rsidR="00043C86" w:rsidRPr="00E72B02" w:rsidRDefault="00043C86" w:rsidP="004551E9">
      <w:r w:rsidRPr="00E72B02">
        <w:t>En las Observaciones Finales al Informe Inicial de Mauritania, de 2012 el CteDESC “</w:t>
      </w:r>
      <w:r w:rsidRPr="0037647D">
        <w:t xml:space="preserve">observa con preocupación que los matrimonios precoces siguen siendo corrientes en el </w:t>
      </w:r>
      <w:r w:rsidR="0074119B" w:rsidRPr="0037647D">
        <w:t>Estado Parte</w:t>
      </w:r>
      <w:r w:rsidRPr="0037647D">
        <w:t xml:space="preserve"> y que una persona sin capacidad jurídica puede ser parte en un contrato de matrimonio sin su consentimiento, si su tutor entiende que ello redunda en interés de la persona (art. 10). El </w:t>
      </w:r>
      <w:r w:rsidRPr="0037647D">
        <w:lastRenderedPageBreak/>
        <w:t xml:space="preserve">Comité insta al </w:t>
      </w:r>
      <w:r w:rsidR="0074119B" w:rsidRPr="0037647D">
        <w:t>Estado Parte</w:t>
      </w:r>
      <w:r w:rsidRPr="0037647D">
        <w:t xml:space="preserve"> a impedir los matrimonios precoces contraídos antes de la edad mínima legal de 18 años y a modificar el artículo 6 del Código del Estatuto Personal para asegurarse de que los matrimonios se contraen con el libre consentimiento de los futuros cónyuges</w:t>
      </w:r>
      <w:r w:rsidRPr="00E72B02">
        <w:t>”.</w:t>
      </w:r>
      <w:r w:rsidRPr="00E72B02">
        <w:rPr>
          <w:rStyle w:val="Refdenotaalpie"/>
          <w:lang w:val="es-ES"/>
        </w:rPr>
        <w:footnoteReference w:id="623"/>
      </w:r>
    </w:p>
    <w:p w:rsidR="00043C86" w:rsidRPr="00E72B02" w:rsidRDefault="00043C86" w:rsidP="004551E9">
      <w:r w:rsidRPr="00E72B02">
        <w:t>En las Observaciones Finales al Segundo Informe Periódico de la República de Moldava, de 2011, el CteDESC expresa su preocupación por “</w:t>
      </w:r>
      <w:r w:rsidRPr="0037647D">
        <w:t xml:space="preserve">el trato que reciben los pacientes de servicios psiquiátricos que se ven privados de capacidad jurídica por la junta medicopsiquiátrica, carecen de medios en algunos pabellones para satisfacer sus necesidades básicas, no tienen acceso diario a una ducha ni a un teléfono público en la mayoría de los pabellones y a los cuales se dan presuntamente medicamentos con carácter punitivo cuando se oponen al tratamiento. Preocupa asimismo al Comité la falta de una supervisión independiente y eficaz del trato que se da a los pacientes en las instituciones psiquiátricas (art. 12). El Comité recomienda al </w:t>
      </w:r>
      <w:r w:rsidR="0074119B" w:rsidRPr="0037647D">
        <w:t>Estado Parte</w:t>
      </w:r>
      <w:r w:rsidRPr="0037647D">
        <w:t xml:space="preserve"> que adopte medidas para ofrecer formas alternativas de tratamiento psiquiátrico, en particular, tratamiento ambulatorio. En aquellos casos en que el internamiento en una institución psiquiátrica sea la única alternativa, el Comité exhorta al </w:t>
      </w:r>
      <w:r w:rsidR="0074119B" w:rsidRPr="0037647D">
        <w:t>Estado Parte</w:t>
      </w:r>
      <w:r w:rsidRPr="0037647D">
        <w:t xml:space="preserve"> a que garantice el pleno respeto de los derechos humanos de los pacientes, en particular mediante una supervisión independiente y eficaz del tratamiento que se les da en dichas instituciones y el control judicial efectivo del internamiento psiquiátrico. También recomienda al </w:t>
      </w:r>
      <w:r w:rsidR="0074119B" w:rsidRPr="0037647D">
        <w:t>Estado Parte</w:t>
      </w:r>
      <w:r w:rsidRPr="0037647D">
        <w:t xml:space="preserve"> que incorpore en su legislación la prohibición de las prácticas violentas y discriminatorias contra niños y adultos discapacitados en el contexto médico, en particular la privación de libertad, el uso de restricciones físicas y la administración forzosa de tratamientos perturbadores e irreversibles como los medicamentos neurolépticos o la </w:t>
      </w:r>
      <w:r w:rsidRPr="0037647D">
        <w:lastRenderedPageBreak/>
        <w:t>terapia electroconvulsiva. Además, el Comité recomienda asimismo modificar las disposiciones legales vigentes en virtud de las cuales es posible la anulación o la suspensión total de la capacidad jurídica de las personas con discapacidad mental, intelectual u otra, a fin de evitar abusos. Asimismo, el Comité recomienda que se elaboren y apliquen sin demora disposiciones para una toma de decisiones asistida</w:t>
      </w:r>
      <w:r w:rsidRPr="00E72B02">
        <w:t>”.</w:t>
      </w:r>
      <w:r w:rsidRPr="00E72B02">
        <w:rPr>
          <w:rStyle w:val="Refdenotaalpie"/>
          <w:lang w:val="es-ES"/>
        </w:rPr>
        <w:footnoteReference w:id="624"/>
      </w:r>
      <w:r w:rsidRPr="00E72B02">
        <w:t xml:space="preserve"> </w:t>
      </w:r>
    </w:p>
    <w:p w:rsidR="00717089" w:rsidRPr="00E72B02" w:rsidRDefault="00717089" w:rsidP="004551E9">
      <w:r w:rsidRPr="00E72B02">
        <w:br w:type="page"/>
      </w:r>
    </w:p>
    <w:p w:rsidR="005B740E" w:rsidRDefault="005B740E" w:rsidP="004551E9">
      <w:pPr>
        <w:rPr>
          <w:kern w:val="32"/>
          <w:sz w:val="28"/>
          <w:szCs w:val="28"/>
        </w:rPr>
      </w:pPr>
      <w:r>
        <w:lastRenderedPageBreak/>
        <w:br w:type="page"/>
      </w:r>
    </w:p>
    <w:p w:rsidR="009716D2" w:rsidRPr="003B4195" w:rsidRDefault="003B4195" w:rsidP="004A69C7">
      <w:pPr>
        <w:pStyle w:val="TITULO12"/>
      </w:pPr>
      <w:r w:rsidRPr="003B4195">
        <w:lastRenderedPageBreak/>
        <w:t>CAPÍTULO 5</w:t>
      </w:r>
    </w:p>
    <w:p w:rsidR="009716D2" w:rsidRPr="003B4195" w:rsidRDefault="003B4195" w:rsidP="004A69C7">
      <w:pPr>
        <w:pStyle w:val="TITULO12"/>
      </w:pPr>
      <w:r w:rsidRPr="003B4195">
        <w:t>LAS DISPOSICIONES DE LA CDPD EN MATERIA DE CAPACIDAD JURÍDICA: DETERMINACIÓN DE LAS OBLIGACIONES INTERNACIONALES IMPUESTAS A LOS ESTADOS PARTES</w:t>
      </w:r>
    </w:p>
    <w:p w:rsidR="009716D2" w:rsidRPr="00E72B02" w:rsidRDefault="009716D2" w:rsidP="004551E9">
      <w:r w:rsidRPr="00E72B02">
        <w:br w:type="page"/>
      </w:r>
    </w:p>
    <w:p w:rsidR="009716D2" w:rsidRPr="00E72B02" w:rsidRDefault="009716D2" w:rsidP="004551E9">
      <w:r w:rsidRPr="00E72B02">
        <w:lastRenderedPageBreak/>
        <w:br w:type="page"/>
      </w:r>
    </w:p>
    <w:p w:rsidR="009716D2" w:rsidRPr="003B4195" w:rsidRDefault="003B4195" w:rsidP="004A69C7">
      <w:pPr>
        <w:pStyle w:val="TITULO12"/>
      </w:pPr>
      <w:r w:rsidRPr="003B4195">
        <w:lastRenderedPageBreak/>
        <w:t>5.1. INTRODUCCIÓN</w:t>
      </w:r>
    </w:p>
    <w:p w:rsidR="009716D2" w:rsidRPr="00E72B02" w:rsidRDefault="009716D2" w:rsidP="004551E9"/>
    <w:p w:rsidR="009716D2" w:rsidRPr="00E72B02" w:rsidRDefault="009716D2" w:rsidP="004551E9">
      <w:r w:rsidRPr="00E72B02">
        <w:t>Como se ha mencionado ya, la CDPD supone un cambio de paradigma en el modo de abordar la discapacidad impulsado por el modelo social de discapacidad que se impregna y propaga a lo largo de todo su articulado. Así, el marco legal establecido por el artículo 12 contempla un cambio en el modelo a adoptar a la hora de regular la capacidad jurídica de las personas con discapacidad, especialmente en aquellas situaciones en las cuales puede resultar necesario algún tipo de intervención de terceros, cuando la persona enfrenta barreras o restricciones para tomar decisiones propias. Mientras que el sistema tradicional tiende hacia un modelo de “sustitución”, el modelo de derechos humanos basado en la dignidad intrínseca de todas las personas, en el que se basa la CDPD, aboga por un modelo de “apoyo”.</w:t>
      </w:r>
    </w:p>
    <w:p w:rsidR="009716D2" w:rsidRPr="00E72B02" w:rsidRDefault="009716D2" w:rsidP="004551E9">
      <w:r w:rsidRPr="00E72B02">
        <w:t xml:space="preserve">Las disposiciones principales relativas al ejercicio de la capacidad jurídica se encuentran recogidas especialmente en el artículo 12, aunque la correcta interpretación del artículo 12 debe realizarse de modo sistemático con toda la Convención principalmente con relación al artículo 2 (definición de discriminación por motivo de discapacidad) el artículo 5 (no-discriminación), </w:t>
      </w:r>
      <w:r w:rsidR="0020311A">
        <w:t xml:space="preserve">artículo 13 (acceso a la justicia), </w:t>
      </w:r>
      <w:r w:rsidRPr="00E72B02">
        <w:t>artículo 14 (libertad y seguridad), artículo 15 (protección contra tortura), artículo 16 (protección contra la explotación y malos tratos), artículo 19 (vida ind</w:t>
      </w:r>
      <w:r w:rsidR="0020311A">
        <w:t xml:space="preserve">ependiente e inclusión social), artículo 23 (relaciones de familia)  y artículo 29 (derechos políticos). </w:t>
      </w:r>
      <w:r w:rsidRPr="00E72B02">
        <w:t xml:space="preserve"> </w:t>
      </w:r>
    </w:p>
    <w:p w:rsidR="009716D2" w:rsidRPr="00E72B02" w:rsidRDefault="009716D2" w:rsidP="004551E9">
      <w:r w:rsidRPr="00E72B02">
        <w:t xml:space="preserve">El artículo 12 constituye muy probablemente el mayor desafío que presenta la CDPD, es decir, garantizar la igualdad en el ámbito de la capacidad jurídica. Los trabajos preparatorios y todo el debate previo muestran que si bien el modelo social fue más fácilmente aceptado con respecto a la discapacidad física o sensorial, parece que falta mucho camino por andar y muchas barreras y prejuicios que derribar en lo que a discapacidades </w:t>
      </w:r>
      <w:r w:rsidRPr="00E72B02">
        <w:lastRenderedPageBreak/>
        <w:t>mentales o intelectuales se trate. El modelo de apoyo en la toma de decisiones reemplaza en el texto de la CDPD al modelo de sustitución. Como principio parece aceptado, pero aún quedan por desarrollar los fundamentos teóricos del modelo de apoyos, y mucho más los métodos instrumentales de implementación en los diferentes sistemas jurídicos internos. Mientras tanto, las personas con discapacidades mentales o intelectuales viven una situación de especial vulnerabilidad en lo que al ejercicio de sus derechos fundamentales atañe. Y estos derechos se relacionan con cuestiones que tienen que ver con la institucionalización, la privación de libertad por motivo de discapacidad, las esterilizaciones forzadas por motivo de discapacidad, los experimentos médicos o científicos, los tratamientos forzosos, la integridad personal y el matrimonio, entre otras tantas.</w:t>
      </w:r>
    </w:p>
    <w:p w:rsidR="009716D2" w:rsidRPr="00E72B02" w:rsidRDefault="009716D2" w:rsidP="004551E9">
      <w:r w:rsidRPr="00E72B02">
        <w:t xml:space="preserve">Mucho se ha dicho ya en relación con cambio de paradigma que en materia de capacidad jurídica incorpora la CDPD. La mayoría de los pronunciamientos se refieren a este aspecto como el más innovador, y al mismo tiempo el más controversial, de la CDPD. El proceso de negociación al igual que el proceso que se ha iniciado desde la adopción de la CDPD demuestra una alta expectativa por parte de las propias personas con discapacidad, aunque una cierta cautela por parte de los actores políticos y legislativos. En este punto las expectativas de la sociedad civil y las respuestas gubernamentales perecen lejos de encontrarse.   </w:t>
      </w:r>
    </w:p>
    <w:p w:rsidR="009716D2" w:rsidRPr="00E72B02" w:rsidRDefault="009716D2" w:rsidP="004551E9">
      <w:pPr>
        <w:rPr>
          <w:lang w:val="es-ES_tradnl"/>
        </w:rPr>
      </w:pPr>
      <w:r w:rsidRPr="00E72B02">
        <w:rPr>
          <w:lang w:val="es-ES_tradnl"/>
        </w:rPr>
        <w:t xml:space="preserve">El artículo 12 de la CDPD lleva como título “Igual reconocimiento como persona ante la ley” y establece que: </w:t>
      </w:r>
    </w:p>
    <w:p w:rsidR="009716D2" w:rsidRPr="00E72B02" w:rsidRDefault="009716D2" w:rsidP="004551E9">
      <w:pPr>
        <w:pStyle w:val="Cita"/>
        <w:rPr>
          <w:lang w:val="es-ES_tradnl"/>
        </w:rPr>
      </w:pPr>
      <w:r w:rsidRPr="00E72B02">
        <w:rPr>
          <w:lang w:val="es-ES_tradnl"/>
        </w:rPr>
        <w:t>1) Los Estados Partes reafirman que las personas con discapacidad tienen derecho en todas partes al reconocimiento de su personalidad jurídica.</w:t>
      </w:r>
    </w:p>
    <w:p w:rsidR="009716D2" w:rsidRPr="00E72B02" w:rsidRDefault="009716D2" w:rsidP="004551E9">
      <w:pPr>
        <w:pStyle w:val="Cita"/>
        <w:rPr>
          <w:lang w:val="es-ES_tradnl"/>
        </w:rPr>
      </w:pPr>
      <w:r w:rsidRPr="00E72B02">
        <w:rPr>
          <w:lang w:val="es-ES_tradnl"/>
        </w:rPr>
        <w:t>2) Los Estados Partes reconocerán que las personas con discapacidad tienen capacidad jurídica en igualdad de condiciones con las demás en todos los aspectos de la vida.</w:t>
      </w:r>
    </w:p>
    <w:p w:rsidR="009716D2" w:rsidRPr="00E72B02" w:rsidRDefault="009716D2" w:rsidP="004551E9">
      <w:pPr>
        <w:pStyle w:val="Cita"/>
        <w:rPr>
          <w:lang w:val="es-ES_tradnl"/>
        </w:rPr>
      </w:pPr>
      <w:r w:rsidRPr="00E72B02">
        <w:rPr>
          <w:lang w:val="es-ES_tradnl"/>
        </w:rPr>
        <w:lastRenderedPageBreak/>
        <w:t>3) Los Estados Partes adoptarán las medidas pertinentes para proporcionar acceso a las personas con discapacidad al apoyo que puedan necesitar en el ejercicio de su capacidad jurídica.</w:t>
      </w:r>
    </w:p>
    <w:p w:rsidR="009716D2" w:rsidRPr="00E72B02" w:rsidRDefault="009716D2" w:rsidP="004551E9">
      <w:pPr>
        <w:pStyle w:val="Cita"/>
        <w:rPr>
          <w:lang w:val="es-ES_tradnl"/>
        </w:rPr>
      </w:pPr>
      <w:r w:rsidRPr="00E72B02">
        <w:rPr>
          <w:lang w:val="es-ES_tradnl"/>
        </w:rPr>
        <w:t>4) Los Estados Partes asegurarán que en todas las medidas relativas al ejercicio de la capacidad jurídica se proporcionen salvaguardias adecuadas y efectivas para impedir los abusos de conformidad con el derecho internacional en materia de derechos humanos. Esas salvaguardias asegurarán que las medidas relativas al ejercicio de la capacidad jurídica respeten los derechos, la voluntad y las preferencias de la persona, que no haya conflicto de intereses ni influencia indebida, que sean proporcionales y adaptadas a las circunstancias de la persona, que se apliquen en el plazo más corto posible y que estén sujetas a exámenes periódicos, por parte de una autoridad o un órgano judicial competente, independiente e imparcial. Las salvaguardias serán proporcionales al grado en que dichas medidas afecten a los derechos e intereses de las personas.</w:t>
      </w:r>
    </w:p>
    <w:p w:rsidR="009716D2" w:rsidRPr="00E72B02" w:rsidRDefault="009716D2" w:rsidP="004551E9">
      <w:pPr>
        <w:pStyle w:val="Cita"/>
        <w:rPr>
          <w:lang w:val="es-ES_tradnl"/>
        </w:rPr>
      </w:pPr>
      <w:r w:rsidRPr="00E72B02">
        <w:rPr>
          <w:lang w:val="es-ES_tradnl"/>
        </w:rPr>
        <w:t>5) Sin perjuicio de lo dispuesto en el presente artículo, los Estados Partes tomarán todas las medidas que sean pertinentes y efectivas para garantizar el derecho de las personas con discapacidad, en igualdad de condiciones con las demás, a ser propietarias y heredar bienes, controlar sus propios asuntos económicos y tener acceso en igualdad de condiciones a préstamos bancarios, hipotecas y otras modalidades de crédito financiero, y velarán por que las personas con discapacidad no sean privadas de sus bienes de manera arbitraria.</w:t>
      </w:r>
    </w:p>
    <w:p w:rsidR="009716D2" w:rsidRPr="00E72B02" w:rsidRDefault="009716D2" w:rsidP="004551E9">
      <w:pPr>
        <w:rPr>
          <w:lang w:val="es-ES_tradnl"/>
        </w:rPr>
      </w:pPr>
      <w:r w:rsidRPr="00E72B02">
        <w:rPr>
          <w:lang w:val="es-ES_tradnl"/>
        </w:rPr>
        <w:t xml:space="preserve">Debido a la importancia de cada precepto se propone a continuación un análisis de forma individualizada. </w:t>
      </w:r>
    </w:p>
    <w:p w:rsidR="009716D2" w:rsidRPr="00E72B02" w:rsidRDefault="009716D2" w:rsidP="004551E9">
      <w:pPr>
        <w:rPr>
          <w:lang w:val="es-ES_tradnl"/>
        </w:rPr>
      </w:pPr>
    </w:p>
    <w:p w:rsidR="009716D2" w:rsidRPr="003B4195" w:rsidRDefault="003B4195" w:rsidP="004A69C7">
      <w:pPr>
        <w:pStyle w:val="TITULO12"/>
      </w:pPr>
      <w:r w:rsidRPr="003B4195">
        <w:lastRenderedPageBreak/>
        <w:t>5.2. ASPECTOS GENERALES DEL ARTÍCULO 12</w:t>
      </w:r>
    </w:p>
    <w:p w:rsidR="009716D2" w:rsidRPr="00E72B02" w:rsidRDefault="009716D2" w:rsidP="004551E9">
      <w:pPr>
        <w:rPr>
          <w:lang w:val="es-ES_tradnl"/>
        </w:rPr>
      </w:pPr>
    </w:p>
    <w:p w:rsidR="009716D2" w:rsidRPr="00E72B02" w:rsidRDefault="009716D2" w:rsidP="004551E9">
      <w:pPr>
        <w:rPr>
          <w:lang w:val="es-ES_tradnl"/>
        </w:rPr>
      </w:pPr>
      <w:r w:rsidRPr="00E72B02">
        <w:rPr>
          <w:lang w:val="es-ES_tradnl"/>
        </w:rPr>
        <w:t>Como se viene afirmando a lo largo del presente trabajo, el artículo 12 debe interpretarse de forma sistemática con todo el articulado de la CDPD, y en especial, en el marco del modelo social y derechos humanos que ha sido su fuente de inspiración.</w:t>
      </w:r>
      <w:r w:rsidRPr="00E72B02">
        <w:rPr>
          <w:rStyle w:val="Refdenotaalpie"/>
          <w:lang w:val="es-ES_tradnl"/>
        </w:rPr>
        <w:footnoteReference w:id="625"/>
      </w:r>
    </w:p>
    <w:p w:rsidR="009716D2" w:rsidRPr="00E72B02" w:rsidRDefault="009716D2" w:rsidP="004551E9">
      <w:pPr>
        <w:rPr>
          <w:lang w:val="es-ES_tradnl"/>
        </w:rPr>
      </w:pPr>
      <w:r w:rsidRPr="00E72B02">
        <w:rPr>
          <w:lang w:val="es-ES_tradnl"/>
        </w:rPr>
        <w:t xml:space="preserve">Desde dicha perspectiva, es posible identificar una serie de principios interpretativos que se debería aplicar de forma general al artículo 12: </w:t>
      </w:r>
    </w:p>
    <w:p w:rsidR="009716D2" w:rsidRPr="00E72B02" w:rsidRDefault="009716D2" w:rsidP="004551E9">
      <w:r w:rsidRPr="00E72B02">
        <w:t>En primer lugar, el artículo 12 debe considerarse como el estándar máximo de protección de los derechos humanos de las personas con discapacidad.</w:t>
      </w:r>
      <w:r w:rsidRPr="00E72B02">
        <w:rPr>
          <w:rStyle w:val="Refdenotaalpie"/>
          <w:lang w:val="es-ES"/>
        </w:rPr>
        <w:footnoteReference w:id="626"/>
      </w:r>
      <w:r w:rsidRPr="00E72B02">
        <w:t xml:space="preserve"> Debido a que se trata de una norma emergente de derecho internacional vinculante y caracterizada como </w:t>
      </w:r>
      <w:r w:rsidRPr="00E72B02">
        <w:rPr>
          <w:i/>
        </w:rPr>
        <w:t>lex specialis</w:t>
      </w:r>
      <w:r w:rsidRPr="00E72B02">
        <w:t xml:space="preserve"> y </w:t>
      </w:r>
      <w:r w:rsidRPr="00E72B02">
        <w:rPr>
          <w:i/>
        </w:rPr>
        <w:t>lex posteriori</w:t>
      </w:r>
      <w:r w:rsidRPr="00E72B02">
        <w:t>, deberá prevalecer sobre cualquier otra disposición de derecho internacional sea convencional, consuetudinaria o de derecho blando.</w:t>
      </w:r>
      <w:r w:rsidRPr="00E72B02">
        <w:rPr>
          <w:rStyle w:val="Refdenotaalpie"/>
          <w:lang w:val="es-ES"/>
        </w:rPr>
        <w:footnoteReference w:id="627"/>
      </w:r>
    </w:p>
    <w:p w:rsidR="009716D2" w:rsidRPr="00E72B02" w:rsidRDefault="009716D2" w:rsidP="004551E9">
      <w:r w:rsidRPr="00E72B02">
        <w:lastRenderedPageBreak/>
        <w:t xml:space="preserve">En segundo lugar, el artículo 12 tiene como objeto asegurar el derecho a la igualdad y a la no discriminación en relación con el goce y ejercicio del derecho a la personalidad jurídica y a la capacidad jurídica de las personas con discapacidad. El derecho a la igualdad y a la no discriminación puede ser considerado como norma de </w:t>
      </w:r>
      <w:r w:rsidRPr="00E72B02">
        <w:rPr>
          <w:i/>
        </w:rPr>
        <w:t>jus cogens</w:t>
      </w:r>
      <w:r w:rsidRPr="00E72B02">
        <w:t xml:space="preserve"> internacional, y que refleja la esencia de la CDPD.</w:t>
      </w:r>
      <w:r w:rsidRPr="00E72B02">
        <w:rPr>
          <w:rStyle w:val="Refdenotaalpie"/>
          <w:lang w:val="es-ES"/>
        </w:rPr>
        <w:footnoteReference w:id="628"/>
      </w:r>
      <w:r w:rsidRPr="00E72B02">
        <w:t xml:space="preserve"> Por ello y a luz del artículo 19 de la Convención de Viena sobre los tratados, los Estados Partes de la Convención deberán abstenerse de emitir reservas o declaraciones interpretativas.</w:t>
      </w:r>
      <w:r w:rsidRPr="00E72B02">
        <w:rPr>
          <w:rStyle w:val="Refdenotaalpie"/>
          <w:lang w:val="es-ES"/>
        </w:rPr>
        <w:footnoteReference w:id="629"/>
      </w:r>
    </w:p>
    <w:p w:rsidR="009716D2" w:rsidRPr="00E72B02" w:rsidRDefault="009716D2" w:rsidP="004551E9">
      <w:r w:rsidRPr="00E72B02">
        <w:t>En tercer lugar, el artículo 12 se aplica específicamente a personas con discapacidad. Consecuentemente, el concepto de persona con discapacidad deberá interpretarse de acuerdo con lo establecido en el artículo 1 de la CDPD, es decir, deberá incluir “</w:t>
      </w:r>
      <w:r w:rsidRPr="00E72B02">
        <w:rPr>
          <w:i/>
        </w:rPr>
        <w:t>aquellas que tengan deficiencias  físicas, mentales, intelectuales o sensoriales</w:t>
      </w:r>
      <w:r w:rsidRPr="00E72B02">
        <w:rPr>
          <w:i/>
          <w:color w:val="FF0000"/>
        </w:rPr>
        <w:t xml:space="preserve"> </w:t>
      </w:r>
      <w:r w:rsidRPr="00E72B02">
        <w:rPr>
          <w:i/>
        </w:rPr>
        <w:t>a largo plazo</w:t>
      </w:r>
      <w:r w:rsidRPr="00E72B02">
        <w:rPr>
          <w:i/>
          <w:color w:val="FF0000"/>
        </w:rPr>
        <w:t xml:space="preserve"> </w:t>
      </w:r>
      <w:r w:rsidRPr="00E72B02">
        <w:rPr>
          <w:i/>
        </w:rPr>
        <w:t>que, al interactuar con diversas barreras, puedan impedir su participación plena y efectiva en la sociedad, en igualdad de condiciones con las demás</w:t>
      </w:r>
      <w:r w:rsidRPr="00E72B02">
        <w:t>”.</w:t>
      </w:r>
      <w:r w:rsidRPr="00E72B02">
        <w:rPr>
          <w:rStyle w:val="Refdenotaalpie"/>
          <w:lang w:val="es-ES"/>
        </w:rPr>
        <w:footnoteReference w:id="630"/>
      </w:r>
      <w:r w:rsidRPr="00E72B02">
        <w:t xml:space="preserve"> Esta definición </w:t>
      </w:r>
      <w:r w:rsidRPr="00E72B02">
        <w:lastRenderedPageBreak/>
        <w:t>deberá incluir a todas las personas que, sin perjuicio del concepto o definición adoptado a nivel nacional por parte de los Estados Parte, pueden quedar comprendidas según lo estipulado en el artículo 1 de la CDPD.</w:t>
      </w:r>
      <w:r w:rsidRPr="00E72B02">
        <w:rPr>
          <w:rStyle w:val="Refdenotaalpie"/>
          <w:lang w:val="es-ES"/>
        </w:rPr>
        <w:footnoteReference w:id="631"/>
      </w:r>
    </w:p>
    <w:p w:rsidR="009716D2" w:rsidRPr="00E72B02" w:rsidRDefault="009716D2" w:rsidP="004551E9">
      <w:r w:rsidRPr="00E72B02">
        <w:t>En cuarto lugar, el artículo 12 pretende asegurar el derecho a la igualdad y a la no discriminación en relación con el derecho a la personalidad y a la capacidad jurídica. El concepto de discriminación por motivo de discapacidad deberá interpretarse de conformidad con lo establecido en el artículo 2 de la CDPD y deberá comprender “</w:t>
      </w:r>
      <w:r w:rsidRPr="00E72B02">
        <w:rPr>
          <w:i/>
        </w:rPr>
        <w:t>cualquier distinción, exclusión o restricción por motivos de discapacidad que tenga el propósito o el efecto de obstaculizar o dejar sin efecto el reconocimiento, goce o ejercicio, en igualdad de condiciones, de todos los derechos humanos y libertades fundamentales en los ámbitos político, económico, social, cultural, civil o de otro tipo. Incluye todas las formas de discriminación, entre ellas, la denegación de ajustes razonables</w:t>
      </w:r>
      <w:r w:rsidRPr="00E72B02">
        <w:t>”. No se consideran discriminatorias las medidas positivas orientadas a alcanzar la igualdad de hecho de las personas con discapacidad.</w:t>
      </w:r>
      <w:r w:rsidRPr="00E72B02">
        <w:rPr>
          <w:rStyle w:val="Refdenotaalpie"/>
          <w:lang w:val="es-ES"/>
        </w:rPr>
        <w:footnoteReference w:id="632"/>
      </w:r>
      <w:r w:rsidRPr="00E72B02">
        <w:t xml:space="preserve"> </w:t>
      </w:r>
    </w:p>
    <w:p w:rsidR="009716D2" w:rsidRPr="00E72B02" w:rsidRDefault="009716D2" w:rsidP="004551E9">
      <w:r w:rsidRPr="00E72B02">
        <w:t xml:space="preserve">Finalmente, el artículo 12 pretende asegurar que las personas con discapacidad tengan el derecho a tomar decisiones acerca del goce y ejercicio de todos sus derechos humanos. El derecho a tomar decisiones </w:t>
      </w:r>
      <w:r w:rsidRPr="00E72B02">
        <w:lastRenderedPageBreak/>
        <w:t>deberá interpretarse de conformidad con lo establecido en los principios recogidos en el artículo 3 de la CDPD por lo que deberá asegurar “</w:t>
      </w:r>
      <w:r w:rsidRPr="00E72B02">
        <w:rPr>
          <w:i/>
        </w:rPr>
        <w:t>el respeto de la dignidad inherente, la autonomía individual, incluida la libertad de tomar las propias decisiones, y la independencia de las personas</w:t>
      </w:r>
      <w:r w:rsidRPr="00E72B02">
        <w:t>” con discapacidad.</w:t>
      </w:r>
      <w:r w:rsidRPr="00E72B02">
        <w:rPr>
          <w:rStyle w:val="Refdenotaalpie"/>
          <w:lang w:val="es-ES"/>
        </w:rPr>
        <w:footnoteReference w:id="633"/>
      </w:r>
      <w:r w:rsidRPr="00E72B02">
        <w:t xml:space="preserve"> </w:t>
      </w:r>
    </w:p>
    <w:p w:rsidR="009716D2" w:rsidRPr="00E72B02" w:rsidRDefault="009716D2" w:rsidP="004551E9"/>
    <w:p w:rsidR="009716D2" w:rsidRPr="003B4195" w:rsidRDefault="003B4195" w:rsidP="004A69C7">
      <w:pPr>
        <w:pStyle w:val="TITULO12"/>
      </w:pPr>
      <w:r w:rsidRPr="003B4195">
        <w:t>5.3 ARTÍCULO 12.1: REAFIRMANDO LA PERSONALIDAD JURÍDICA DE LAS PERSONAS CON DISCAPACIDAD</w:t>
      </w:r>
    </w:p>
    <w:p w:rsidR="009716D2" w:rsidRPr="00E72B02" w:rsidRDefault="009716D2" w:rsidP="004551E9">
      <w:pPr>
        <w:rPr>
          <w:lang w:val="es-ES_tradnl"/>
        </w:rPr>
      </w:pPr>
    </w:p>
    <w:p w:rsidR="009716D2" w:rsidRPr="00E72B02" w:rsidRDefault="009716D2" w:rsidP="004551E9">
      <w:pPr>
        <w:rPr>
          <w:lang w:val="es-ES_tradnl"/>
        </w:rPr>
      </w:pPr>
      <w:r w:rsidRPr="00E72B02">
        <w:rPr>
          <w:lang w:val="es-ES_tradnl"/>
        </w:rPr>
        <w:t>La primera parte de la norma reafirma el reconocimiento de la personalidad jurídica de las personas con discapacidad, al establecer que:</w:t>
      </w:r>
    </w:p>
    <w:p w:rsidR="009716D2" w:rsidRPr="00E72B02" w:rsidRDefault="009716D2" w:rsidP="004551E9">
      <w:pPr>
        <w:pStyle w:val="Cita"/>
        <w:rPr>
          <w:lang w:val="es-ES_tradnl"/>
        </w:rPr>
      </w:pPr>
      <w:r w:rsidRPr="00E72B02">
        <w:rPr>
          <w:lang w:val="es-ES_tradnl"/>
        </w:rPr>
        <w:t>“1. Los Estados Partes reafirman que las personas con discapacidad tienen derecho en todas partes al reconocimiento de su personalidad jurídica;”</w:t>
      </w:r>
    </w:p>
    <w:p w:rsidR="009716D2" w:rsidRPr="00E72B02" w:rsidRDefault="009716D2" w:rsidP="004551E9">
      <w:pPr>
        <w:rPr>
          <w:lang w:val="es-ES_tradnl"/>
        </w:rPr>
      </w:pPr>
      <w:r w:rsidRPr="00E72B02">
        <w:rPr>
          <w:lang w:val="es-ES_tradnl"/>
        </w:rPr>
        <w:t xml:space="preserve">A primera vista esta formulación no parece indicar nada nuevo o novedoso en materia de derechos humanos ya que como se ha visto, el derecho a la personalidad jurídica se encuentra ampliamente cubierto por el derecho </w:t>
      </w:r>
      <w:r w:rsidRPr="00E72B02">
        <w:rPr>
          <w:lang w:val="es-ES_tradnl"/>
        </w:rPr>
        <w:lastRenderedPageBreak/>
        <w:t>internacional de los derechos humanos.</w:t>
      </w:r>
      <w:r w:rsidRPr="00E72B02">
        <w:rPr>
          <w:rStyle w:val="Refdenotaalpie"/>
          <w:lang w:val="es-ES_tradnl"/>
        </w:rPr>
        <w:footnoteReference w:id="634"/>
      </w:r>
      <w:r w:rsidRPr="00E72B02">
        <w:rPr>
          <w:lang w:val="es-ES_tradnl"/>
        </w:rPr>
        <w:t xml:space="preserve"> Prueba de ello es quizás la utilización de la palabra “reafirman” que, como su propia etimología lo indica, pretende volver a afirmar un derecho previamente reconocido.</w:t>
      </w:r>
      <w:r w:rsidRPr="00E72B02">
        <w:rPr>
          <w:rStyle w:val="Refdenotaalpie"/>
          <w:lang w:val="es-ES_tradnl"/>
        </w:rPr>
        <w:footnoteReference w:id="635"/>
      </w:r>
      <w:r w:rsidRPr="00E72B02">
        <w:rPr>
          <w:lang w:val="es-ES_tradnl"/>
        </w:rPr>
        <w:t xml:space="preserve"> Sin embargo la cláusula del artículo 12(1) de la CDPD en conexión con el objeto y fin del tratado y, principalmente con los conceptos de “persona con discapacidad” (artículo 1) y de discriminación por motivo de discapacidad (artículo 2) nos permite interpretar otras disposiciones de la CDPD de un modo que, a primera vista, podría tener un gran impacto en las legislaciones nacionales vigentes. </w:t>
      </w:r>
    </w:p>
    <w:p w:rsidR="009716D2" w:rsidRPr="00E72B02" w:rsidRDefault="009716D2" w:rsidP="004551E9">
      <w:pPr>
        <w:rPr>
          <w:lang w:val="es-ES_tradnl"/>
        </w:rPr>
      </w:pPr>
      <w:r w:rsidRPr="00E72B02">
        <w:rPr>
          <w:lang w:val="es-ES_tradnl"/>
        </w:rPr>
        <w:t xml:space="preserve"> En primer lugar es preciso conectar el artículo 12(1) con el artículo 10 que reafirma el derecho inherente a la vida de todos los seres humanos y requiere a los Estados Partes adoptar “</w:t>
      </w:r>
      <w:r w:rsidRPr="00E72B02">
        <w:rPr>
          <w:i/>
          <w:lang w:val="es-ES_tradnl"/>
        </w:rPr>
        <w:t>todas las medidas necesarias para garantizar el goce efectivo de ese derecho por las personas con discapacidad en igualdad de condiciones con las demás</w:t>
      </w:r>
      <w:r w:rsidRPr="00E72B02">
        <w:rPr>
          <w:lang w:val="es-ES_tradnl"/>
        </w:rPr>
        <w:t xml:space="preserve">”. En otras palabras, de la interpretación sistemática del artículo 12(1) con el contenido del artículo 10 de la CDPD, y en el artículo 2, que trata sobre "la discriminación basada en discapacidad”, se puede llegar a la conclusión de que cualquier acción que pudiera impedir la vida o el disfrute del derecho a la vida (y en consecuencia el derecho a la personalidad jurídica) debe ser considerada discriminatoria y contraria a los preceptos de la CDPD. Pensemos por ejemplo en aquellas legislaciones como la española que contempla la posibilidad de interrumpir el embarazo cuando se alega que el feto pueda </w:t>
      </w:r>
      <w:r w:rsidRPr="00E72B02">
        <w:rPr>
          <w:lang w:val="es-ES_tradnl"/>
        </w:rPr>
        <w:lastRenderedPageBreak/>
        <w:t>tener algún tipo de discapacidad.</w:t>
      </w:r>
      <w:r w:rsidRPr="00E72B02">
        <w:rPr>
          <w:rStyle w:val="Refdenotaalpie"/>
          <w:lang w:val="es-ES_tradnl"/>
        </w:rPr>
        <w:footnoteReference w:id="636"/>
      </w:r>
      <w:r w:rsidRPr="00E72B02">
        <w:rPr>
          <w:lang w:val="es-ES_tradnl"/>
        </w:rPr>
        <w:t xml:space="preserve"> También podría constituir discriminación aquellas normas o prácticas que permiten prácticas eugenésicas sólo en casos de personas con discapacidad, o en prácticas que denieguen asistencia o tratamientos médicos necesarios para preservar la vida como podría ser un trasplante de órganos, o técnicas de resucitación por motivo de discapacidad.</w:t>
      </w:r>
      <w:r w:rsidRPr="00E72B02">
        <w:rPr>
          <w:rStyle w:val="Refdenotaalpie"/>
          <w:lang w:val="es-ES_tradnl"/>
        </w:rPr>
        <w:footnoteReference w:id="637"/>
      </w:r>
      <w:r w:rsidRPr="00E72B02">
        <w:rPr>
          <w:lang w:val="es-ES_tradnl"/>
        </w:rPr>
        <w:t xml:space="preserve"> </w:t>
      </w:r>
    </w:p>
    <w:p w:rsidR="009716D2" w:rsidRPr="00E72B02" w:rsidRDefault="009716D2" w:rsidP="004551E9">
      <w:pPr>
        <w:rPr>
          <w:lang w:val="es-ES_tradnl"/>
        </w:rPr>
      </w:pPr>
      <w:r w:rsidRPr="00E72B02">
        <w:rPr>
          <w:lang w:val="es-ES_tradnl"/>
        </w:rPr>
        <w:t xml:space="preserve">En segundo lugar es también importante conectar el artículo 12(1) con el artículo 18 sobre “libertad de desplazamiento y nacionalidad”. Este último </w:t>
      </w:r>
      <w:r w:rsidRPr="00E72B02">
        <w:rPr>
          <w:lang w:val="es-ES_tradnl"/>
        </w:rPr>
        <w:lastRenderedPageBreak/>
        <w:t>artículo pretende asegurar el derecho de las personas con discapacidad de acceder a ciertos derechos que se encuentran íntimamente relacionados con el reconocimiento de la personalidad jurídica como son la nacionalidad, el nombre, el domicilio, el patrimonio, etc. Prácticas frecuentes en mucho Estados que, ya sea por prejuicios o por falta de accesibilidad, no permiten que las personas con discapacidad sean registradas al nacimiento, o que puedan acceder a un documento nacional de identidad, generan un efecto en cadena donde aspectos vitales de los derechos de la personalidad como son el nombre, la nacionalidad, el domicilio y el patrimonio, sean sistemáticamente vulnerados. En otras palabras, el artículo 12(1) en conexión con el artículo 18 nos exige reflexionar y sobre todo, revisar el modo en el cual las normas o prácticas nacionales garantizan el derecho a la identidad de las personas con discapacidad.</w:t>
      </w:r>
      <w:r w:rsidRPr="00E72B02">
        <w:rPr>
          <w:rStyle w:val="Refdenotaalpie"/>
          <w:lang w:val="es-ES_tradnl"/>
        </w:rPr>
        <w:footnoteReference w:id="638"/>
      </w:r>
      <w:r w:rsidRPr="00E72B02">
        <w:rPr>
          <w:lang w:val="es-ES_tradnl"/>
        </w:rPr>
        <w:t xml:space="preserve"> </w:t>
      </w:r>
    </w:p>
    <w:p w:rsidR="009716D2" w:rsidRPr="00E72B02" w:rsidRDefault="009716D2" w:rsidP="004551E9">
      <w:pPr>
        <w:rPr>
          <w:lang w:val="es-ES_tradnl"/>
        </w:rPr>
      </w:pPr>
      <w:r w:rsidRPr="00E72B02">
        <w:rPr>
          <w:lang w:val="es-ES_tradnl"/>
        </w:rPr>
        <w:lastRenderedPageBreak/>
        <w:t>En tercer lugar el artículo 12(1) resulta de vital importancia también para analizar si las normas o prácticas nacionales permiten un trato discriminatorio en materia de titularidad de derechos. Pensemos por ejemplo en aquellas normas que denieguen a las personas con discapacidad del derecho a heredar o recibir legados, o incluso aquellas normas que privan a las personas con discapacidad del derecho de ejercer cargos públicos o ciertas profesiones por el simple motivo de su discapacidad.</w:t>
      </w:r>
      <w:r w:rsidRPr="00E72B02">
        <w:rPr>
          <w:rStyle w:val="Refdenotaalpie"/>
          <w:lang w:val="es-ES_tradnl"/>
        </w:rPr>
        <w:footnoteReference w:id="639"/>
      </w:r>
    </w:p>
    <w:p w:rsidR="009716D2" w:rsidRPr="00E72B02" w:rsidRDefault="009716D2" w:rsidP="004551E9">
      <w:pPr>
        <w:rPr>
          <w:lang w:val="es-ES_tradnl"/>
        </w:rPr>
      </w:pPr>
      <w:r w:rsidRPr="00E72B02">
        <w:rPr>
          <w:lang w:val="es-ES_tradnl"/>
        </w:rPr>
        <w:t>Finalmente el artículo 12(1) también cobra especial relevancia como criterio o parámetro interpretativo del artículo 12(2). Aunque a esto se hará especial referencia en el punto siguiente, si el artículo 12(2) debe interpretarse, como afirman algunas reservas,</w:t>
      </w:r>
      <w:r w:rsidRPr="00E72B02">
        <w:rPr>
          <w:rStyle w:val="Refdenotaalpie"/>
          <w:lang w:val="es-ES_tradnl"/>
        </w:rPr>
        <w:footnoteReference w:id="640"/>
      </w:r>
      <w:r w:rsidRPr="00E72B02">
        <w:rPr>
          <w:lang w:val="es-ES_tradnl"/>
        </w:rPr>
        <w:t xml:space="preserve"> como el reconocimiento de la capacidad de la titularidad de los derechos y no de la capacidad de ejercicio o de obrar de los mismos, entonces el citado artículo 12(1) resulta innecesario, redundante y reiterativo.</w:t>
      </w:r>
      <w:r w:rsidRPr="00E72B02">
        <w:rPr>
          <w:rStyle w:val="Refdenotaalpie"/>
          <w:lang w:val="es-ES_tradnl"/>
        </w:rPr>
        <w:footnoteReference w:id="641"/>
      </w:r>
      <w:r w:rsidRPr="00E72B02">
        <w:rPr>
          <w:lang w:val="es-ES_tradnl"/>
        </w:rPr>
        <w:t xml:space="preserve"> </w:t>
      </w:r>
    </w:p>
    <w:p w:rsidR="009716D2" w:rsidRPr="00E72B02" w:rsidRDefault="009716D2" w:rsidP="004551E9">
      <w:pPr>
        <w:rPr>
          <w:lang w:val="es-ES_tradnl"/>
        </w:rPr>
      </w:pPr>
    </w:p>
    <w:p w:rsidR="009716D2" w:rsidRPr="00E72B02" w:rsidRDefault="009716D2" w:rsidP="00A57374">
      <w:pPr>
        <w:pStyle w:val="TTULO12"/>
      </w:pPr>
      <w:r w:rsidRPr="00E72B02">
        <w:t xml:space="preserve">5.3.1 Identificación de las obligaciones jurídico internacionales </w:t>
      </w:r>
    </w:p>
    <w:p w:rsidR="009716D2" w:rsidRPr="00E72B02" w:rsidRDefault="009716D2" w:rsidP="004551E9">
      <w:pPr>
        <w:rPr>
          <w:lang w:val="es-ES_tradnl"/>
        </w:rPr>
      </w:pPr>
    </w:p>
    <w:p w:rsidR="009716D2" w:rsidRPr="00E72B02" w:rsidRDefault="009716D2" w:rsidP="004551E9">
      <w:pPr>
        <w:rPr>
          <w:lang w:val="es-ES_tradnl"/>
        </w:rPr>
      </w:pPr>
      <w:r w:rsidRPr="00E72B02">
        <w:rPr>
          <w:lang w:val="es-ES_tradnl"/>
        </w:rPr>
        <w:t>A la luz de lo señalado es posible inferir que el artículo 12(1) establece las obligaciones de los Estados Pates de:</w:t>
      </w:r>
    </w:p>
    <w:p w:rsidR="009716D2" w:rsidRPr="00E72B02" w:rsidRDefault="009716D2" w:rsidP="004551E9">
      <w:pPr>
        <w:pStyle w:val="Prrafodelista"/>
      </w:pPr>
      <w:r w:rsidRPr="00E72B02">
        <w:t>Asegurar la igualdad y la no discriminación de las personas con discapacidad en el reconocimiento del derecho a la personalidad jurídica. El párrafo 1 del artículo 12 reafirma una norma consolidada de derecho internacional de los derechos humanos recogida en varios tratados internacionales tales como el PIDCP (artículo 16), así como en la CIADH (artículo 3) y en el CEDH.</w:t>
      </w:r>
    </w:p>
    <w:p w:rsidR="009716D2" w:rsidRPr="00E72B02" w:rsidRDefault="009716D2" w:rsidP="004551E9">
      <w:pPr>
        <w:pStyle w:val="Prrafodelista"/>
      </w:pPr>
      <w:r w:rsidRPr="00E72B02">
        <w:t>Reconocer que todas las personas con discapacidad deben ser reconocidas como titulares de derechos humanos en igualdad de condiciones con los demás;</w:t>
      </w:r>
    </w:p>
    <w:p w:rsidR="009716D2" w:rsidRPr="00E72B02" w:rsidRDefault="009716D2" w:rsidP="004551E9">
      <w:pPr>
        <w:pStyle w:val="Prrafodelista"/>
      </w:pPr>
      <w:r w:rsidRPr="00E72B02">
        <w:t>Asegurar que ninguna persona con discapacidad sea discriminada por motivo de discapacidad en el reconocimiento de su derecho a la personalidad jurídica. y, por tanto, en el reconocimiento de los demás derechos humanos. A dichos efectos deberán “</w:t>
      </w:r>
      <w:r w:rsidRPr="00E72B02">
        <w:rPr>
          <w:i/>
        </w:rPr>
        <w:t>adoptar todas las medidas legislativas, administrativas y de otra índole que sean pertinentes para hacer efectivos los derechos reconocidos en la</w:t>
      </w:r>
      <w:r w:rsidRPr="00E72B02">
        <w:t>” CDPD;</w:t>
      </w:r>
    </w:p>
    <w:p w:rsidR="009716D2" w:rsidRPr="00E72B02" w:rsidRDefault="009716D2" w:rsidP="004551E9">
      <w:pPr>
        <w:pStyle w:val="Prrafodelista"/>
      </w:pPr>
      <w:r w:rsidRPr="00E72B02">
        <w:t>Prestar especial atención al interpretar y aplicar el párrafo 1 en conexión con el artículo 10. Las normas o prácticas que permitan un tratamiento diferenciado entre personas con o sin discapacidad en relación con el derecho a la vida tanto, antes, como luego del nacimiento de las personas constituye una discriminación por motivo de discapacidad y consecuentemente una denegación del derecho a la personalidad jurídica reconocido en el párrafo 1 del artículo 12;</w:t>
      </w:r>
    </w:p>
    <w:p w:rsidR="009716D2" w:rsidRPr="00E72B02" w:rsidRDefault="009716D2" w:rsidP="004551E9">
      <w:pPr>
        <w:pStyle w:val="Prrafodelista"/>
      </w:pPr>
      <w:r w:rsidRPr="00E72B02">
        <w:t xml:space="preserve">Prestar especial atención al interpretar y aplicar el párrafo 1 en conexión con el artículo 18. La denegación del derecho a la registración ante el nacimiento y como consecuencia de ello del derecho al nombre, a la documentación (en formatos accesibles) y a </w:t>
      </w:r>
      <w:r w:rsidRPr="00E72B02">
        <w:lastRenderedPageBreak/>
        <w:t>la nacionalidad podría dejar sin efecto el derecho a la personalidad jurídica reconocido en el párrafo 1 del artículo 12;</w:t>
      </w:r>
    </w:p>
    <w:p w:rsidR="009716D2" w:rsidRPr="00E72B02" w:rsidRDefault="009716D2" w:rsidP="004551E9">
      <w:pPr>
        <w:pStyle w:val="Prrafodelista"/>
        <w:rPr>
          <w:lang w:val="es-ES_tradnl"/>
        </w:rPr>
      </w:pPr>
      <w:r w:rsidRPr="00E72B02">
        <w:t>Prestar especial atención al interpretar y aplicar el párrafo 1 en conexión con el artículo 23. Las normas o prácticas que permitan la esterilización forzada (considerada como crimen internacional en virtud del Estatuto de Roma de 1998 sobre la Corte Penal Internacional) o la denegación de los derechos sexuales y reproductivos de las personas con discapacidad en igualdad de condiciones con los demás podrían dejar sin efecto el derecho a la personalidad jurídica reconocido en el párrafo 1 del artículo 12;</w:t>
      </w:r>
    </w:p>
    <w:p w:rsidR="009716D2" w:rsidRPr="003B4195" w:rsidRDefault="009716D2" w:rsidP="004551E9">
      <w:pPr>
        <w:rPr>
          <w:lang w:val="es-ES_tradnl"/>
        </w:rPr>
      </w:pPr>
    </w:p>
    <w:p w:rsidR="009716D2" w:rsidRPr="003B4195" w:rsidRDefault="003B4195" w:rsidP="004A69C7">
      <w:pPr>
        <w:pStyle w:val="TITULO12"/>
      </w:pPr>
      <w:r w:rsidRPr="003B4195">
        <w:t>5.4 ARTÍCULO 12(2): EL DERECHO DE LAS PERSONAS CON DISCAPACIDAD A LA IGUALDAD EN EL EJERCICIO DE LA CAPACIDAD JURÍDICA</w:t>
      </w:r>
    </w:p>
    <w:p w:rsidR="009716D2" w:rsidRPr="00E72B02" w:rsidRDefault="009716D2" w:rsidP="004551E9">
      <w:pPr>
        <w:rPr>
          <w:lang w:val="es-ES_tradnl"/>
        </w:rPr>
      </w:pPr>
    </w:p>
    <w:p w:rsidR="009716D2" w:rsidRPr="00E72B02" w:rsidRDefault="009716D2" w:rsidP="004551E9">
      <w:pPr>
        <w:rPr>
          <w:lang w:val="es-ES_tradnl"/>
        </w:rPr>
      </w:pPr>
      <w:r w:rsidRPr="00E72B02">
        <w:rPr>
          <w:lang w:val="es-ES_tradnl"/>
        </w:rPr>
        <w:t xml:space="preserve">El párrafo 2 del artículo 12 establece que: </w:t>
      </w:r>
    </w:p>
    <w:p w:rsidR="009716D2" w:rsidRPr="00E72B02" w:rsidRDefault="009716D2" w:rsidP="004551E9">
      <w:pPr>
        <w:pStyle w:val="Cita"/>
        <w:rPr>
          <w:lang w:val="es-ES_tradnl"/>
        </w:rPr>
      </w:pPr>
      <w:r w:rsidRPr="00E72B02">
        <w:rPr>
          <w:lang w:val="es-ES_tradnl"/>
        </w:rPr>
        <w:t>“Los Estados Partes reconocerán que las personas con discapacidad tienen capacidad jurídica en igualdad de condiciones con las demás en todos los aspectos de la vida”</w:t>
      </w:r>
    </w:p>
    <w:p w:rsidR="009716D2" w:rsidRPr="00E72B02" w:rsidRDefault="009716D2" w:rsidP="004551E9">
      <w:pPr>
        <w:rPr>
          <w:lang w:val="es-ES_tradnl"/>
        </w:rPr>
      </w:pPr>
      <w:r w:rsidRPr="00E72B02">
        <w:rPr>
          <w:lang w:val="es-ES_tradnl"/>
        </w:rPr>
        <w:t xml:space="preserve">Aunque se trata de una enunciación breve a los efectos de comprender su significado jurídico resulta oportuno desmembrar sus elementos medulares. En especial resultan relevantes definir o clarificar lo que el artículo 12(2) quiere decir cuando hace referencia a: “personas con discapacidad”, “capacidad jurídica”, “igualdad de condiciones con los demás”, y “todos los aspectos de la vida”. </w:t>
      </w:r>
    </w:p>
    <w:p w:rsidR="009716D2" w:rsidRPr="00E72B02" w:rsidRDefault="009716D2" w:rsidP="004551E9">
      <w:pPr>
        <w:rPr>
          <w:lang w:val="es-ES_tradnl"/>
        </w:rPr>
      </w:pPr>
    </w:p>
    <w:p w:rsidR="009716D2" w:rsidRPr="00A71F97" w:rsidRDefault="003B4195" w:rsidP="00A57374">
      <w:pPr>
        <w:pStyle w:val="TTULO12"/>
      </w:pPr>
      <w:r w:rsidRPr="00A71F97">
        <w:lastRenderedPageBreak/>
        <w:t xml:space="preserve">5.4.1 PERSONAS CON DISCAPACIDAD </w:t>
      </w:r>
    </w:p>
    <w:p w:rsidR="009716D2" w:rsidRPr="00E72B02" w:rsidRDefault="009716D2" w:rsidP="004551E9">
      <w:pPr>
        <w:rPr>
          <w:lang w:val="es-ES_tradnl"/>
        </w:rPr>
      </w:pPr>
    </w:p>
    <w:p w:rsidR="009716D2" w:rsidRPr="00E72B02" w:rsidRDefault="009716D2" w:rsidP="004551E9">
      <w:pPr>
        <w:rPr>
          <w:lang w:val="es-ES"/>
        </w:rPr>
      </w:pPr>
      <w:r w:rsidRPr="00E72B02">
        <w:rPr>
          <w:lang w:val="es-ES_tradnl"/>
        </w:rPr>
        <w:t xml:space="preserve">El primer elemento a tener en cuenta para interpretar el alcance jurídico del artículo 12(2) es el de “persona con discapacidad”. Claramente el artículo 12(2) establece un reconocimiento de derecho destinado a un sujeto jurídico determinado, esto es, las personas con discapacidad. Afortunadamente la CDPD recoge en su articulado el concepto jurídico de “persona con discapacidad” que, tal hemos visto en la primera parte de este trabajo, se inspira en el modelo social de discapacidad. Y este punto de partida para analizar el artículo 12(2) no es nada banal o superfluo puesto que, </w:t>
      </w:r>
      <w:r w:rsidRPr="00E72B02">
        <w:rPr>
          <w:lang w:val="es-ES"/>
        </w:rPr>
        <w:t xml:space="preserve">dependiendo del modelo que se utilice, las consecuencias jurídicas pueden ser diametralmente opuestas. </w:t>
      </w:r>
    </w:p>
    <w:p w:rsidR="009716D2" w:rsidRPr="00E72B02" w:rsidRDefault="009716D2" w:rsidP="004551E9">
      <w:r w:rsidRPr="00E72B02">
        <w:t>Si partimos de un concepto de discapacidad sustentado en el modelo médico - modelo que  define la discapacidad desde la limitación de la persona-, la sucesión lógica en términos jurídicos determinará que la discapacidad derive inevitablemente en la incapacitación jurídica, con lo cual el cambio que propone la CDPD no se producirá, sin perjuicio de que pueda haber cambios cosméticos como son los de lenguaje.</w:t>
      </w:r>
    </w:p>
    <w:p w:rsidR="009716D2" w:rsidRPr="00E72B02" w:rsidRDefault="009716D2" w:rsidP="004551E9">
      <w:pPr>
        <w:rPr>
          <w:lang w:val="es-MX"/>
        </w:rPr>
      </w:pPr>
      <w:r w:rsidRPr="00E72B02">
        <w:rPr>
          <w:lang w:val="es-MX"/>
        </w:rPr>
        <w:t xml:space="preserve">Para comenzar es preciso citar el inciso e) del preámbulo de la CDPD que recoge de un modo claro y sencillo una definición de “discapacidad” al establecer que: </w:t>
      </w:r>
    </w:p>
    <w:p w:rsidR="009716D2" w:rsidRPr="00E72B02" w:rsidRDefault="009716D2" w:rsidP="004551E9">
      <w:pPr>
        <w:pStyle w:val="Cita"/>
        <w:rPr>
          <w:lang w:val="es-MX"/>
        </w:rPr>
      </w:pPr>
      <w:r w:rsidRPr="00E72B02">
        <w:rPr>
          <w:lang w:val="es-MX"/>
        </w:rPr>
        <w:t xml:space="preserve">“…la discapacidad es un concepto que evoluciona y que resulta de la interacción entre las personas con deficiencias y las barreras debidas a la actitud y al entorno que evitan su participación plena y efectiva en la sociedad, en igualdad de condiciones con las demás”. </w:t>
      </w:r>
    </w:p>
    <w:p w:rsidR="009716D2" w:rsidRPr="00E72B02" w:rsidRDefault="009716D2" w:rsidP="004551E9">
      <w:pPr>
        <w:rPr>
          <w:lang w:val="es-MX"/>
        </w:rPr>
      </w:pPr>
      <w:r w:rsidRPr="00E72B02">
        <w:rPr>
          <w:lang w:val="es-MX"/>
        </w:rPr>
        <w:t xml:space="preserve">Esta definición responde al modelo social y está constituida por la interacción de dos elementos: I) el concepto de deficiencia, el cual es parte de la diversidad humana pero no es lo que determina la discapacidad; y, </w:t>
      </w:r>
      <w:r w:rsidRPr="00E72B02">
        <w:rPr>
          <w:lang w:val="es-MX"/>
        </w:rPr>
        <w:lastRenderedPageBreak/>
        <w:t>particularmente, II) el concepto de barrera, que impiden o limita el goce de los derechos humanos en igualdad de condiciones con los demás.</w:t>
      </w:r>
    </w:p>
    <w:p w:rsidR="009716D2" w:rsidRPr="00E72B02" w:rsidRDefault="009716D2" w:rsidP="004551E9">
      <w:pPr>
        <w:rPr>
          <w:lang w:val="es-MX"/>
        </w:rPr>
      </w:pPr>
      <w:r w:rsidRPr="00E72B02">
        <w:rPr>
          <w:lang w:val="es-MX"/>
        </w:rPr>
        <w:t>Así, el modelo social integra una dimensión social al reconocer la existencia de barrera en la sociedad que limitan o impiden el ejercicio de derechos, a diferencia del modelo médico en el que se basa el actual sistema de incapacitación y que considera a la persona con discapacidad como “anormal” y por lo cual debe rehabilitarse o quedar excluida.</w:t>
      </w:r>
    </w:p>
    <w:p w:rsidR="009716D2" w:rsidRPr="00E72B02" w:rsidRDefault="009716D2" w:rsidP="004551E9">
      <w:pPr>
        <w:rPr>
          <w:lang w:val="es-ES"/>
        </w:rPr>
      </w:pPr>
      <w:r w:rsidRPr="00E72B02">
        <w:rPr>
          <w:lang w:val="es-MX"/>
        </w:rPr>
        <w:t>Es cierto que los preámbulos en los tratados de derechos humanos no son considerados en rigor como derecho vinculante pero poseen un valor interpretativo importante.</w:t>
      </w:r>
      <w:r w:rsidRPr="00E72B02">
        <w:rPr>
          <w:rStyle w:val="Refdenotaalpie"/>
          <w:lang w:val="es-MX"/>
        </w:rPr>
        <w:footnoteReference w:id="642"/>
      </w:r>
      <w:r w:rsidRPr="00E72B02">
        <w:rPr>
          <w:lang w:val="es-MX"/>
        </w:rPr>
        <w:t xml:space="preserve"> Así el citado inciso e) se constituye como un elemento más de apoyo a la tesis que señala al modelo social de discapacidad como el marco </w:t>
      </w:r>
      <w:r w:rsidRPr="00E72B02">
        <w:rPr>
          <w:lang w:val="es-ES"/>
        </w:rPr>
        <w:t>ideológico, filosófico, jurídico en el que basar la interpretación de sus postulados.</w:t>
      </w:r>
    </w:p>
    <w:p w:rsidR="009716D2" w:rsidRPr="00E72B02" w:rsidRDefault="009716D2" w:rsidP="004551E9">
      <w:pPr>
        <w:rPr>
          <w:lang w:val="es-MX"/>
        </w:rPr>
      </w:pPr>
      <w:r w:rsidRPr="00E72B02">
        <w:rPr>
          <w:lang w:val="es-MX"/>
        </w:rPr>
        <w:t xml:space="preserve">Por su parte, la definición de “persona con discapacidad” se encuentra en el artículo 1 párrafo 2 de la Convención que establece: </w:t>
      </w:r>
    </w:p>
    <w:p w:rsidR="009716D2" w:rsidRPr="00E72B02" w:rsidRDefault="009716D2" w:rsidP="004551E9">
      <w:pPr>
        <w:pStyle w:val="Cita"/>
        <w:rPr>
          <w:lang w:val="es-MX"/>
        </w:rPr>
      </w:pPr>
      <w:r w:rsidRPr="00E72B02">
        <w:rPr>
          <w:lang w:val="es-MX"/>
        </w:rPr>
        <w:t xml:space="preserve">“las personas con discapacidad incluyen a aquellas que tengan deficiencias físicas, mentales, intelectuales o sensoriales a largo plazo que, al interactuar con diversas barreras, puedan impedir su participación plena y efectiva en la sociedad, en igualdad de condiciones con las demás”. </w:t>
      </w:r>
    </w:p>
    <w:p w:rsidR="009716D2" w:rsidRPr="00E72B02" w:rsidRDefault="009716D2" w:rsidP="004551E9">
      <w:pPr>
        <w:rPr>
          <w:lang w:val="es-MX"/>
        </w:rPr>
      </w:pPr>
      <w:r w:rsidRPr="00E72B02">
        <w:rPr>
          <w:lang w:val="es-MX"/>
        </w:rPr>
        <w:t xml:space="preserve">De lo mencionado se desprende, por un lado, la asunción del modelo social de discapacidad, al asumir que la discapacidad resulta de la interacción con barreras debidas a la actitud y al entorno. Y por otro, que la definición no es cerrada, sino que incluye a las personas mencionadas, lo que no significa </w:t>
      </w:r>
      <w:r w:rsidRPr="00E72B02">
        <w:rPr>
          <w:lang w:val="es-MX"/>
        </w:rPr>
        <w:lastRenderedPageBreak/>
        <w:t>que excluya a otras situaciones o personas que puedan estar protegidas por las legislaciones internas de los Estados.</w:t>
      </w:r>
      <w:r w:rsidRPr="00E72B02">
        <w:rPr>
          <w:rStyle w:val="Refdenotaalpie"/>
          <w:lang w:val="es-MX"/>
        </w:rPr>
        <w:footnoteReference w:id="643"/>
      </w:r>
    </w:p>
    <w:p w:rsidR="009716D2" w:rsidRPr="00E72B02" w:rsidRDefault="009716D2" w:rsidP="004551E9">
      <w:pPr>
        <w:rPr>
          <w:lang w:val="es-MX"/>
        </w:rPr>
      </w:pPr>
      <w:r w:rsidRPr="00E72B02">
        <w:rPr>
          <w:lang w:val="es-MX"/>
        </w:rPr>
        <w:t>Como se observa, la definición incluye a personas con discapacidad mental o intelectual, por lo que ninguna interpretación del artículo 12(2) puede llevar a la conclusión de que éste las excluye. También se fundamenta en el modelo social. Así se considera que el problema no es, por ejemplo, que la persona con síndrome de Down no pueda comprender un acto jurídico, sino que el problema es que, según como se plantean los actos jurídicos, esa persona enfrenta la barrera social que no le permite situarse en igualdad de condiciones con los demás. Con esto, se le da la vuelta a la aproximación del modelo médico (no es la limitación personal sino la barrera contextual la que impide ejercer la capacidad jurídica en igualdad de condiciones).</w:t>
      </w:r>
    </w:p>
    <w:p w:rsidR="009716D2" w:rsidRPr="00E72B02" w:rsidRDefault="009716D2" w:rsidP="004551E9">
      <w:pPr>
        <w:rPr>
          <w:lang w:val="es-MX"/>
        </w:rPr>
      </w:pPr>
      <w:r w:rsidRPr="00E72B02">
        <w:rPr>
          <w:lang w:val="es-MX"/>
        </w:rPr>
        <w:t>Ahora bien, esta definición amplia de persona con discapacidad empieza a ser ampliamente aceptada por la sociedad en el área de la discapacidad física, pero cuando se busca aplicarla a la discapacidad intelectual o mental, la sociedad aún se resiste al cambio de paradigma que propone la CDPD. De ahí la importancia que tiene el artículo 12, que en definitiva no es otra cosa que la aplicación del modelo social a la discapacidad intelectual o mental.</w:t>
      </w:r>
      <w:r w:rsidRPr="00E72B02">
        <w:rPr>
          <w:rStyle w:val="Refdenotaalpie"/>
          <w:lang w:val="es-MX"/>
        </w:rPr>
        <w:footnoteReference w:id="644"/>
      </w:r>
    </w:p>
    <w:p w:rsidR="009716D2" w:rsidRPr="00E72B02" w:rsidRDefault="009716D2" w:rsidP="004551E9">
      <w:pPr>
        <w:rPr>
          <w:lang w:val="es-MX"/>
        </w:rPr>
      </w:pPr>
      <w:r w:rsidRPr="00E72B02">
        <w:rPr>
          <w:lang w:val="es-MX"/>
        </w:rPr>
        <w:t xml:space="preserve">Por ello, la consecuencia más importante a la hora de aplicar este concepto a nivel nacional es la diferencia sutil y no siempre comprendida, entre la “deficiencia" y la "discapacidad". El artículo 12 utiliza el concepto "discapacidad" y, por tanto, centra la atención dicha discapacidad, entendida como las barreras que impiden la participación plena y efectiva en la sociedad en pie de igualdad con los demás. En consecuencia, el análisis debe limitarse a estas situaciones y no a la deficiencia individual de la persona. Esto tiene una importancia especial cuando se trata de cuestiones </w:t>
      </w:r>
      <w:r w:rsidRPr="00E72B02">
        <w:rPr>
          <w:lang w:val="es-MX"/>
        </w:rPr>
        <w:lastRenderedPageBreak/>
        <w:t>de capacidad jurídica a nivel nacional. La mayoría de las restricciones legales de derecho interno relativas al ejercicio de la capacidad de las personas con discapacidad se siguen centrando y justificando en la deficiencia de la persona (sordera, ceguera, demencia, estado de salud mental, etc.) Además, este enfoque plantea dos inconvenientes. El primero es que la determinación de la causa o motivo que permite la restricción legal queda inevitablemente reducida a una evaluación médica, o en el mejor de los casos, a un equipo forense interdisciplinar que de todos modos se basan en un enfoque de modelo médico. El segundo de los inconvenientes señalados radica en una cuestión conceptual ya que la mayoría de las legislaciones nacionales que limitan el ejercicio de la capacidad jurídica no utilizar el concepto de "discapacidad", sino que en su lugar se valen de conceptos técnicos o de uso común que denotan deficiencias como la demencia, la ceguera, la sordera, etc. Esto no debe ser utilizado como una excusa para no aplicar la CDPD a estas legislaciones, debido a que las personas nombradas en dichas normas no son las mismas personas protegidas por el CDPD.</w:t>
      </w:r>
      <w:r w:rsidRPr="00E72B02">
        <w:rPr>
          <w:rStyle w:val="Refdenotaalpie"/>
          <w:lang w:val="es-MX"/>
        </w:rPr>
        <w:footnoteReference w:id="645"/>
      </w:r>
    </w:p>
    <w:p w:rsidR="009716D2" w:rsidRPr="00E72B02" w:rsidRDefault="009716D2" w:rsidP="004551E9">
      <w:pPr>
        <w:rPr>
          <w:lang w:val="es-MX"/>
        </w:rPr>
      </w:pPr>
      <w:r w:rsidRPr="00E72B02">
        <w:rPr>
          <w:lang w:val="es-MX"/>
        </w:rPr>
        <w:t>En resumidas cuentas el artículo 12(2) resulta de aplicación a todas las personas con discapacidad, sin importar el tipo o grado de deficiencia en cuestión.</w:t>
      </w:r>
      <w:r w:rsidRPr="00E72B02">
        <w:rPr>
          <w:rStyle w:val="Refdenotaalpie"/>
          <w:lang w:val="es-MX"/>
        </w:rPr>
        <w:footnoteReference w:id="646"/>
      </w:r>
      <w:r w:rsidRPr="00E72B02">
        <w:rPr>
          <w:lang w:val="es-MX"/>
        </w:rPr>
        <w:t xml:space="preserve"> </w:t>
      </w:r>
    </w:p>
    <w:p w:rsidR="009716D2" w:rsidRPr="00E72B02" w:rsidRDefault="009716D2" w:rsidP="004551E9">
      <w:pPr>
        <w:rPr>
          <w:lang w:val="es-MX"/>
        </w:rPr>
      </w:pPr>
    </w:p>
    <w:p w:rsidR="009716D2" w:rsidRPr="00A71F97" w:rsidRDefault="009443FC" w:rsidP="00A57374">
      <w:pPr>
        <w:pStyle w:val="TTULO12"/>
      </w:pPr>
      <w:r w:rsidRPr="00A71F97">
        <w:t>5.4.2 CAPACIDAD JURÍDICA</w:t>
      </w:r>
    </w:p>
    <w:p w:rsidR="009716D2" w:rsidRPr="00E72B02" w:rsidRDefault="009716D2" w:rsidP="004551E9">
      <w:pPr>
        <w:rPr>
          <w:lang w:val="es-MX"/>
        </w:rPr>
      </w:pPr>
    </w:p>
    <w:p w:rsidR="009716D2" w:rsidRPr="00E72B02" w:rsidRDefault="009716D2" w:rsidP="004551E9">
      <w:pPr>
        <w:rPr>
          <w:lang w:val="es-MX"/>
        </w:rPr>
      </w:pPr>
      <w:r w:rsidRPr="00E72B02">
        <w:rPr>
          <w:lang w:val="es-MX"/>
        </w:rPr>
        <w:t xml:space="preserve">La capacidad jurídica es difícil de entender tanto para juristas como para no juristas por la ambigüedad que rodea a este concepto desde el punto de vista jurídico. La capacidad jurídica habla de la aptitud jurídica, de la aptitud legal, de la aptitud para el derecho. Cuando uno tiene capacidad jurídica es apto jurídicamente para algo. La pregunta inmediata que se deriva de ello es entonces ¿aptitud para qué? La primera respuesta podría derivar de la distinción que se hace entre la aptitud de tener derechos y la aptitud de ejercerlos; es decir, la distinción entre la titularidad del derecho y el ejercicio del mismo. </w:t>
      </w:r>
    </w:p>
    <w:p w:rsidR="009716D2" w:rsidRPr="00E72B02" w:rsidRDefault="009716D2" w:rsidP="004551E9">
      <w:r w:rsidRPr="00E72B02">
        <w:t>La ficción jurídica de distinguir entre titularidad y ejercicio de los derechos, parece a primera vista como necesaria para el derecho. Así, por ejemplo, deviene necesario mantener esta dualidad jurídica para instrumentar lo que en un sentido genérico podríamos denominar como la “teoría de la representación jurídica” que en esencia, sirve de base ineludible para poder pensar en instituciones jurídicas como el mandato, la gestión, la patria potestad, la tutela, o la curatela, por nombrar sólo algunas.</w:t>
      </w:r>
      <w:r w:rsidRPr="00E72B02">
        <w:rPr>
          <w:rStyle w:val="Refdenotaalpie"/>
        </w:rPr>
        <w:footnoteReference w:id="647"/>
      </w:r>
      <w:r w:rsidRPr="00E72B02">
        <w:t xml:space="preserve">  </w:t>
      </w:r>
    </w:p>
    <w:p w:rsidR="009716D2" w:rsidRPr="00E72B02" w:rsidRDefault="009716D2" w:rsidP="004551E9">
      <w:r w:rsidRPr="00E72B02">
        <w:rPr>
          <w:lang w:val="es-MX"/>
        </w:rPr>
        <w:t xml:space="preserve">Como se ha visto anteriormente, el concepto de capacidad jurídica generó importantes debates durante el proceso de negociación de la CDPD, a lo que hay que sumar las escasas referencias al mismo por parte del derecho internacional de los derechos humanos. </w:t>
      </w:r>
      <w:r w:rsidRPr="00E72B02">
        <w:t>Desde el momento que el concepto de “capacidad jurídica” apareció en el primer borrador, comenzaron a surgir intensas discusiones sobre su significado jurídico</w:t>
      </w:r>
      <w:r w:rsidRPr="00E72B02">
        <w:rPr>
          <w:rStyle w:val="Refdenotaalpie"/>
        </w:rPr>
        <w:footnoteReference w:id="648"/>
      </w:r>
      <w:r w:rsidRPr="00E72B02">
        <w:t xml:space="preserve">. En términos generales, </w:t>
      </w:r>
      <w:r w:rsidRPr="00E72B02">
        <w:lastRenderedPageBreak/>
        <w:t xml:space="preserve">la disputa se centró en definir si, capacidad jurídica, debía implicar únicamente “capacidad de tener derechos”, o si por lo contrario, debía incluir también “capacidad de obrar”. </w:t>
      </w:r>
    </w:p>
    <w:p w:rsidR="009716D2" w:rsidRPr="00E72B02" w:rsidRDefault="009716D2" w:rsidP="004551E9">
      <w:r w:rsidRPr="00E72B02">
        <w:t>Esto nos lleva a analizar la dinámica de la relación jurídica, que en prácticamente todos los sistemas jurídicos del mundo, distingue entre una dimensión de titularidad de los derechos, y una dimensión de ejercicio de los mismos, y que por lo tanto, no necesariamente se pueden presentar en cabeza de la misma persona. Así, la condición de persona es la puerta de acceso a la titularidad de los derechos, y la capacidad jurídica, es la puerta de acceso al ejercicio de los mismos</w:t>
      </w:r>
      <w:r w:rsidRPr="00E72B02">
        <w:rPr>
          <w:rStyle w:val="Refdenotaalpie"/>
        </w:rPr>
        <w:footnoteReference w:id="649"/>
      </w:r>
      <w:r w:rsidRPr="00E72B02">
        <w:t>. Sin un reconocimiento pleno de capacidad jurídica, no es posible acceder verdaderamente al ejercicio de los derechos humanos en general, pero tampoco al exhaustivo y detallado listado de derechos reconocidos por la CDPD a todas las personas con discapacidad.</w:t>
      </w:r>
      <w:r w:rsidRPr="00E72B02">
        <w:rPr>
          <w:rStyle w:val="Refdenotaalpie"/>
        </w:rPr>
        <w:footnoteReference w:id="650"/>
      </w:r>
    </w:p>
    <w:p w:rsidR="009716D2" w:rsidRPr="00E72B02" w:rsidRDefault="009716D2" w:rsidP="004551E9">
      <w:r w:rsidRPr="00E72B02">
        <w:t xml:space="preserve">De este modo, parece ganar apoyos la concepción que entiende que “el derecho al reconocimiento a la personalidad jurídica” confiere al individuo la capacidad de ser reconocido como persona ante la ley, y por tanto, es un requisito previo a todos los otros derechos. El concepto de “capacidad jurídica” es un concepto más amplio que lógicamente presupone la capacidad de ser sujeto de derechos y obligaciones (elemento estático), pero </w:t>
      </w:r>
      <w:r w:rsidRPr="00E72B02">
        <w:lastRenderedPageBreak/>
        <w:t>también presupone la capacidad de ejercer dichos derechos, o asumir obligaciones a través de sus propias decisiones (elemento dinámico)”. Por ello, la capacidad jurídica incluye la “capacidad de obrar”, entendida como la capacidad y la facultad de una persona en virtud del derecho de asumir compromisos o transacciones particulares, mantener un estatus determinado, o una relación con otro, o en un sentido más general, de crear, modificar, o extinguir relaciones jurídicas.</w:t>
      </w:r>
      <w:r w:rsidRPr="00E72B02">
        <w:rPr>
          <w:rStyle w:val="Refdenotaalpie"/>
        </w:rPr>
        <w:footnoteReference w:id="651"/>
      </w:r>
    </w:p>
    <w:p w:rsidR="009716D2" w:rsidRPr="00E72B02" w:rsidRDefault="009716D2" w:rsidP="004551E9">
      <w:r w:rsidRPr="00E72B02">
        <w:t xml:space="preserve">Ahora bien, interpretar que el artículo 12(2) de la CDPD está generando obligaciones internacionales en el ámbito de las condiciones de goce y ejercicio de los derechos humanos de las personas con discapacidad, significa que el ordenamiento jurídico internacional está avanzando sobre aspectos regulatorios que tradicionalmente se han considerado como de exclusivo asunto doméstico. </w:t>
      </w:r>
    </w:p>
    <w:p w:rsidR="009716D2" w:rsidRPr="00E72B02" w:rsidRDefault="009716D2" w:rsidP="004551E9">
      <w:r w:rsidRPr="00E72B02">
        <w:t>Así en las últimas dos décadas, y dentro del ámbito de las Naciones Unidas, se ha comenzado a cuestionar la compatibilidad del uso de la sustitución en la toma de decisiones de personas por parte de los ordenamientos nacionales, en circunstancias que pudieran resultar discriminatorias. Y es importante enfatizar “el criterio” del test de compatibilidad puesto que no cuestiona la facultad de los Estados de situar el ejercicio de la capacidad jurídica fuera de la propia persona, sino más bien, intenta garantizar que la sustitución no se genere de un modo discriminatorio.</w:t>
      </w:r>
      <w:r w:rsidRPr="00E72B02">
        <w:rPr>
          <w:rStyle w:val="Refdenotaalpie"/>
        </w:rPr>
        <w:footnoteReference w:id="652"/>
      </w:r>
      <w:r w:rsidRPr="00E72B02">
        <w:t xml:space="preserve"> </w:t>
      </w:r>
    </w:p>
    <w:p w:rsidR="009716D2" w:rsidRPr="00E72B02" w:rsidRDefault="009716D2" w:rsidP="004551E9">
      <w:r w:rsidRPr="00E72B02">
        <w:lastRenderedPageBreak/>
        <w:t>El primer gran cuestionamiento a nivel universal se produjo en relación con el género, a la vista de los numerosos ordenamientos jurídicos que denegaban el ejercicio de la capacidad jurídica a las mujeres, por el simple hecho de su género sexual. El artículo 15(2) de la CEFDM, garantiza de un modo claro y absoluto la igualdad en el ejercicio de la capacidad jurídica entre hombres y mujeres.</w:t>
      </w:r>
      <w:r w:rsidRPr="00E72B02">
        <w:rPr>
          <w:rStyle w:val="Refdenotaalpie"/>
        </w:rPr>
        <w:footnoteReference w:id="653"/>
      </w:r>
    </w:p>
    <w:p w:rsidR="009716D2" w:rsidRPr="00E72B02" w:rsidRDefault="009716D2" w:rsidP="004551E9">
      <w:r w:rsidRPr="00E72B02">
        <w:t>El Segundo gran cuestionamiento a nivel universal lo podríamos situar en relación con los derechos humanos del niño a través de la adopción de la CDN. Aunque no se podría afirmar que la CDN reconoce el derecho pleno al ejercicio de la capacidad jurídica del niño, lo cierto es que incorpora algunas disposiciones y principios que tienen como objetivo justamente, cuestionar los modelos paternalistas y tutelares donde los niño sólo pueden ejercer sus derecho y tomar decisiones jurídicamente vinculante por intermedio de sus padres o representantes legales. Así, en la CDN se establece, en el artículo 3.1, que “</w:t>
      </w:r>
      <w:r w:rsidRPr="00E72B02">
        <w:rPr>
          <w:rStyle w:val="apple-style-span"/>
          <w:i/>
        </w:rPr>
        <w:t xml:space="preserve">En todas las medidas concernientes a los </w:t>
      </w:r>
      <w:r w:rsidRPr="00E72B02">
        <w:rPr>
          <w:rStyle w:val="apple-style-span"/>
          <w:i/>
        </w:rPr>
        <w:lastRenderedPageBreak/>
        <w:t>niños que tomen las instituciones públicas o privadas de bienestar social, los tribunales, las autoridades administrativas o los órganos legislativos, una consideración primordial a que se atenderá será el interés superior del niño</w:t>
      </w:r>
      <w:r w:rsidRPr="00E72B02">
        <w:rPr>
          <w:rStyle w:val="apple-style-span"/>
        </w:rPr>
        <w:t>”; y en el artículo 12.1, que “</w:t>
      </w:r>
      <w:r w:rsidRPr="00E72B02">
        <w:rPr>
          <w:rStyle w:val="apple-style-span"/>
          <w:i/>
        </w:rPr>
        <w:t>Los Estados Partes garantizarán al niño que esté en condiciones de formarse un juicio propio el derecho de expresar su opinión libremente en todos los asuntos que afectan al niño, teniéndose debidamente en cuenta las opiniones del niño, en función de la edad y madurez del niño</w:t>
      </w:r>
      <w:r w:rsidRPr="00E72B02">
        <w:rPr>
          <w:rStyle w:val="apple-style-span"/>
        </w:rPr>
        <w:t>”</w:t>
      </w:r>
      <w:r w:rsidRPr="00E72B02">
        <w:rPr>
          <w:rStyle w:val="Refdenotaalpie"/>
          <w:lang w:val="es-ES"/>
        </w:rPr>
        <w:t xml:space="preserve"> </w:t>
      </w:r>
      <w:r w:rsidRPr="00E72B02">
        <w:rPr>
          <w:rStyle w:val="Refdenotaalpie"/>
          <w:lang w:val="es-ES"/>
        </w:rPr>
        <w:footnoteReference w:id="654"/>
      </w:r>
    </w:p>
    <w:p w:rsidR="009716D2" w:rsidRPr="00E72B02" w:rsidRDefault="009716D2" w:rsidP="004551E9">
      <w:r w:rsidRPr="00E72B02">
        <w:t>El tercer gran cuestionamiento,</w:t>
      </w:r>
      <w:r w:rsidRPr="00E72B02">
        <w:rPr>
          <w:rStyle w:val="Refdenotaalpie"/>
          <w:lang w:val="es-ES"/>
        </w:rPr>
        <w:footnoteReference w:id="655"/>
      </w:r>
      <w:r w:rsidRPr="00E72B02">
        <w:t xml:space="preserve"> no exento de grandes polémicas e incógnitas, se produjo precisamente con la adopción de la CDPD. Por primera vez se refleja en un instrumento vinculante de derechos humanos un serio cuestionamiento el modo en el cual, la inmensa mayoría de los ordenamientos nacionales, relacionan el ejercicio de la capacidad jurídica con la discapacidad, lo que, en la inmensa mayoría de los casos, se salda con la privación absoluta de este derecho.</w:t>
      </w:r>
    </w:p>
    <w:p w:rsidR="009716D2" w:rsidRPr="00E72B02" w:rsidRDefault="009716D2" w:rsidP="004551E9">
      <w:r w:rsidRPr="00E72B02">
        <w:lastRenderedPageBreak/>
        <w:t xml:space="preserve">Por ello, la conexión entre capacidad jurídica, entendida como la dimensión de acceso al ejercicio de los derechos, y los derechos humanos nos permite situar a las condiciones de ejercicio estipuladas en normas universales, por encima de toda consideración nacional, cultural, religiosa, e incluso cuestionar instituciones jurídicas con más de un milenio de vigencia, guiados por el principio </w:t>
      </w:r>
      <w:r w:rsidRPr="00E72B02">
        <w:rPr>
          <w:i/>
        </w:rPr>
        <w:t>pro homine</w:t>
      </w:r>
      <w:r w:rsidRPr="00E72B02">
        <w:t xml:space="preserve"> como máxima aspiración de justicia.</w:t>
      </w:r>
      <w:r w:rsidRPr="00E72B02">
        <w:rPr>
          <w:rStyle w:val="Refdenotaalpie"/>
        </w:rPr>
        <w:footnoteReference w:id="656"/>
      </w:r>
    </w:p>
    <w:p w:rsidR="009716D2" w:rsidRPr="00E72B02" w:rsidRDefault="009716D2" w:rsidP="004551E9">
      <w:pPr>
        <w:rPr>
          <w:lang w:val="es-MX"/>
        </w:rPr>
      </w:pPr>
      <w:r w:rsidRPr="00E72B02">
        <w:t xml:space="preserve">En resumidas cuentas, el artículo 12(2) cuando hace referencia al derecho de ejercicio de la capacidad jurídica, el mismo debe interpretarse como el derecho a la capacidad de obrar, es decir, a tomar decisiones en nombre propio. </w:t>
      </w:r>
      <w:r w:rsidRPr="00E72B02">
        <w:rPr>
          <w:lang w:val="es-MX"/>
        </w:rPr>
        <w:t>El valor jurídico y el verdadero cambio de paradigma del artículo 12(2) radican justamente en dicha interpretación.</w:t>
      </w:r>
      <w:r w:rsidRPr="00E72B02">
        <w:rPr>
          <w:rStyle w:val="Refdenotaalpie"/>
          <w:lang w:val="es-MX"/>
        </w:rPr>
        <w:footnoteReference w:id="657"/>
      </w:r>
      <w:r w:rsidRPr="00E72B02">
        <w:rPr>
          <w:lang w:val="es-MX"/>
        </w:rPr>
        <w:t xml:space="preserve"> </w:t>
      </w:r>
    </w:p>
    <w:p w:rsidR="009716D2" w:rsidRPr="00E72B02" w:rsidRDefault="009716D2" w:rsidP="004551E9">
      <w:pPr>
        <w:rPr>
          <w:lang w:val="es-MX"/>
        </w:rPr>
      </w:pPr>
    </w:p>
    <w:p w:rsidR="009716D2" w:rsidRPr="00A71F97" w:rsidRDefault="009443FC" w:rsidP="00A57374">
      <w:pPr>
        <w:pStyle w:val="TTULO12"/>
      </w:pPr>
      <w:r w:rsidRPr="00A71F97">
        <w:t>5.4.3 IGUALDAD DE CONDICIONES CON LOS DEMÁS</w:t>
      </w:r>
    </w:p>
    <w:p w:rsidR="009716D2" w:rsidRPr="00E72B02" w:rsidRDefault="009716D2" w:rsidP="004551E9">
      <w:pPr>
        <w:rPr>
          <w:lang w:val="es-MX"/>
        </w:rPr>
      </w:pPr>
    </w:p>
    <w:p w:rsidR="009716D2" w:rsidRPr="00E72B02" w:rsidRDefault="009716D2" w:rsidP="004551E9">
      <w:pPr>
        <w:rPr>
          <w:lang w:val="es-MX"/>
        </w:rPr>
      </w:pPr>
      <w:r w:rsidRPr="00E72B02">
        <w:rPr>
          <w:lang w:val="es-MX"/>
        </w:rPr>
        <w:t xml:space="preserve">El artículo 12(2) no recoge un derecho absoluto al ejercicio de la capacidad jurídica de las personas con discapacidad, sino que establece una garantía de igualdad en el ejercicio del mismo. Esto supone que el Estado puede restringir el derecho al ejercicio de la capacidad jurídica de las personas, pero no puede hacer por motivo de discapacidad. </w:t>
      </w:r>
    </w:p>
    <w:p w:rsidR="009716D2" w:rsidRPr="00E72B02" w:rsidRDefault="009716D2" w:rsidP="004551E9">
      <w:pPr>
        <w:rPr>
          <w:lang w:val="es-MX"/>
        </w:rPr>
      </w:pPr>
      <w:r w:rsidRPr="00E72B02">
        <w:rPr>
          <w:lang w:val="es-MX"/>
        </w:rPr>
        <w:lastRenderedPageBreak/>
        <w:t xml:space="preserve">Por ello, para comprender de forma adecuada las implicancias y consecuencias jurídicas del artículo 12(2), es preciso identificar cuando nos encontramos ante un caso de discriminación por motivo de discapacidad. </w:t>
      </w:r>
    </w:p>
    <w:p w:rsidR="009716D2" w:rsidRPr="00E72B02" w:rsidRDefault="009716D2" w:rsidP="004551E9">
      <w:pPr>
        <w:rPr>
          <w:lang w:val="es-MX"/>
        </w:rPr>
      </w:pPr>
      <w:r w:rsidRPr="00E72B02">
        <w:rPr>
          <w:lang w:val="es-MX"/>
        </w:rPr>
        <w:t xml:space="preserve">La definición de “discriminación por motivos de discapacidad” la encontramos en el artículo 2 de la Convención: “Por </w:t>
      </w:r>
      <w:r w:rsidRPr="00E72B02">
        <w:rPr>
          <w:i/>
          <w:lang w:val="es-MX"/>
        </w:rPr>
        <w:t>discriminación por motivos de discapacidad</w:t>
      </w:r>
      <w:r w:rsidRPr="00E72B02">
        <w:rPr>
          <w:lang w:val="es-MX"/>
        </w:rPr>
        <w:t xml:space="preserve"> se entenderá cualquier distinción, exclusión o restricción por motivos de discapacidad que tenga el propósito o el efecto de obstaculizar o dejar sin efecto el reconocimiento, goce o ejercicio, en igualdad de condiciones, de todos los derechos humanos y libertades fundamentales en los ámbitos político, económico, social, cultural, civil o de otro tipo”.</w:t>
      </w:r>
    </w:p>
    <w:p w:rsidR="009716D2" w:rsidRPr="00E72B02" w:rsidRDefault="009716D2" w:rsidP="004551E9">
      <w:pPr>
        <w:rPr>
          <w:lang w:val="es-MX"/>
        </w:rPr>
      </w:pPr>
      <w:r w:rsidRPr="00E72B02">
        <w:rPr>
          <w:lang w:val="es-MX"/>
        </w:rPr>
        <w:t xml:space="preserve">Este es uno de los artículos que potencialmente mayor impacto debería tener en las legislaciones antidiscriminatorias en materia de discapacidad en los derechos nacionales, debido a que incluye un concepto amplio y adecuado basado en el modelo social de la discapacidad. </w:t>
      </w:r>
    </w:p>
    <w:p w:rsidR="009716D2" w:rsidRPr="00E72B02" w:rsidRDefault="009716D2" w:rsidP="004551E9">
      <w:pPr>
        <w:rPr>
          <w:lang w:val="es-MX"/>
        </w:rPr>
      </w:pPr>
      <w:r w:rsidRPr="00E72B02">
        <w:rPr>
          <w:lang w:val="es-MX"/>
        </w:rPr>
        <w:t xml:space="preserve">La definición de discriminación en la CDPD tiene varias particularidades que representan grandes logros, probablemente la principal, la de servir de base interpretativa de todos derechos de las personas con discapacidad en el derecho interno de cada Estado.  </w:t>
      </w:r>
    </w:p>
    <w:p w:rsidR="009716D2" w:rsidRPr="00E72B02" w:rsidRDefault="009716D2" w:rsidP="004551E9">
      <w:pPr>
        <w:rPr>
          <w:lang w:val="es-MX"/>
        </w:rPr>
      </w:pPr>
      <w:r w:rsidRPr="00E72B02">
        <w:rPr>
          <w:lang w:val="es-MX"/>
        </w:rPr>
        <w:t>Por una parte, se refiere a discriminación “por motivo” de discapacidad y no así a discriminación “a personas con discapacidad”. Esta precisión conceptual es muy relevante porque no importa la discapacidad en sí, sino que la persona sea percibida como persona con discapacidad. Lo anterior cobra importancia en ordenamientos, como el nuestro, que determinan si una persona tiene o no discapacidad sobre la base de un certificado, con lo en muchas ocasiones pueden quedar excluidas ciertas personas de la protección de los marcos antidiscriminatorios.</w:t>
      </w:r>
    </w:p>
    <w:p w:rsidR="009716D2" w:rsidRPr="00E72B02" w:rsidRDefault="009716D2" w:rsidP="004551E9">
      <w:pPr>
        <w:rPr>
          <w:lang w:val="es-MX"/>
        </w:rPr>
      </w:pPr>
      <w:r w:rsidRPr="00E72B02">
        <w:rPr>
          <w:lang w:val="es-MX"/>
        </w:rPr>
        <w:t xml:space="preserve">Por otra parte, la definición se refiere a que la discriminación por motivos de discapacidad pueda tener “el propósito” o “el efecto” de obstaculizar o </w:t>
      </w:r>
      <w:r w:rsidRPr="00E72B02">
        <w:rPr>
          <w:lang w:val="es-MX"/>
        </w:rPr>
        <w:lastRenderedPageBreak/>
        <w:t>dejar sin efecto el reconocimiento, goce o ejercicio, en igualdad de condiciones, de todos los derechos humanos y libertades fundamentales. A este respecto destaca que no importa si la persona tiene la intención de discriminar; basta con que se produzca el efecto para que se presente un acto discriminatorio.</w:t>
      </w:r>
    </w:p>
    <w:p w:rsidR="009716D2" w:rsidRPr="00E72B02" w:rsidRDefault="009716D2" w:rsidP="004551E9">
      <w:pPr>
        <w:rPr>
          <w:lang w:val="es-MX"/>
        </w:rPr>
      </w:pPr>
      <w:r w:rsidRPr="00E72B02">
        <w:rPr>
          <w:lang w:val="es-MX"/>
        </w:rPr>
        <w:t>El derecho a la igualdad está recogido en la CDPD desde varias perspectivas. En primer lugar como propósito del tratado (artículo1), en segundo lugar como principio y como valor (artículo 3), en ercer lugar como obligación directa a los Estados Partes (artículo 4), y en quinto lugar como derecho autónomo (artículo 5). Por ello, podría decirse que la CDPD recoge un concepto amplio de igualdad el cual no se resume en la igualdad formal, sino más bien en la igualdad material. Esto supone el respecto de a diferencia y la aceptación de las personas con discapacidad como parte de la diversidad humana, lo cual necesariamente supone la adopción de políticas de reconocimiento, así como de medidas para garantizar la participación e inclusión total y efectiva de las personas con discapacidad en la sociedad.</w:t>
      </w:r>
      <w:r w:rsidRPr="00E72B02">
        <w:rPr>
          <w:rStyle w:val="Refdenotaalpie"/>
        </w:rPr>
        <w:t xml:space="preserve"> </w:t>
      </w:r>
      <w:r w:rsidRPr="00E72B02">
        <w:rPr>
          <w:rStyle w:val="Refdenotaalpie"/>
        </w:rPr>
        <w:footnoteReference w:id="658"/>
      </w:r>
      <w:r w:rsidRPr="00E72B02">
        <w:rPr>
          <w:lang w:val="es-MX"/>
        </w:rPr>
        <w:t xml:space="preserve"> </w:t>
      </w:r>
    </w:p>
    <w:p w:rsidR="009716D2" w:rsidRPr="00E72B02" w:rsidRDefault="009716D2" w:rsidP="004551E9">
      <w:pPr>
        <w:rPr>
          <w:lang w:val="es-MX"/>
        </w:rPr>
      </w:pPr>
      <w:r w:rsidRPr="00E72B02">
        <w:rPr>
          <w:lang w:val="es-MX"/>
        </w:rPr>
        <w:t xml:space="preserve">Consecuentemente, al trasladas estas premisas sobre el derecho a la no discriminación al ámbito de la capacidad jurídica es posible extraer las siguientes : </w:t>
      </w:r>
    </w:p>
    <w:p w:rsidR="009716D2" w:rsidRPr="00E72B02" w:rsidRDefault="009716D2" w:rsidP="004551E9">
      <w:pPr>
        <w:rPr>
          <w:lang w:val="es-MX"/>
        </w:rPr>
      </w:pPr>
      <w:r w:rsidRPr="00E72B02">
        <w:rPr>
          <w:lang w:val="es-MX"/>
        </w:rPr>
        <w:t>En primer lugar, y en consonancia con el concepto de discapacidad basado en el modelo social que recoge la CDPD, la base de la discriminación de centra las barreras que obstaculizan o dejan sin efecto el reconocimiento, goce o ejercicio, en igualdad de condiciones, de todos los derechos humanos y libertades fundamentales, y no en las deficiencias personales.</w:t>
      </w:r>
      <w:r w:rsidRPr="00E72B02">
        <w:rPr>
          <w:rStyle w:val="Refdenotaalpie"/>
          <w:lang w:val="es-MX"/>
        </w:rPr>
        <w:footnoteReference w:id="659"/>
      </w:r>
      <w:r w:rsidRPr="00E72B02">
        <w:rPr>
          <w:lang w:val="es-MX"/>
        </w:rPr>
        <w:t xml:space="preserve"> Así si una </w:t>
      </w:r>
      <w:r w:rsidRPr="00E72B02">
        <w:rPr>
          <w:lang w:val="es-MX"/>
        </w:rPr>
        <w:lastRenderedPageBreak/>
        <w:t>persona usuaria de lengua de signos que no puede comprender los términos de un acto jurídico será discriminada si no cuenta con un intérprete que le permita generar las condiciones de igualdad con los demás.</w:t>
      </w:r>
      <w:r w:rsidRPr="00E72B02">
        <w:rPr>
          <w:rStyle w:val="Refdenotaalpie"/>
          <w:lang w:val="es-MX"/>
        </w:rPr>
        <w:footnoteReference w:id="660"/>
      </w:r>
      <w:r w:rsidRPr="00E72B02">
        <w:rPr>
          <w:lang w:val="es-MX"/>
        </w:rPr>
        <w:t xml:space="preserve"> </w:t>
      </w:r>
    </w:p>
    <w:p w:rsidR="009716D2" w:rsidRPr="00E72B02" w:rsidRDefault="009716D2" w:rsidP="004551E9">
      <w:r w:rsidRPr="00E72B02">
        <w:t>En segundo lugar, la discapacidad tiene como uno de sus elementos constitutivos la existencia de una deficiencia que puede ser física, sensorial, intelectual o mental, lo cual no puede ser un motivo de distinción o de trato desigual. Por ello, toda diferenciación que se base en alguno de dichas deficiencias, deberá ser considerada una discriminación por motivo de discapacidad. Esto cobra gran relevancia al momento de analizar las condiciones por las cuales la mayoría de los ordenamientos jurídicos domésticos determinan las causas o motivos de la incapacidad, que generalizadamente se asocian a la existencia de una demencia, locura, estado de salud mental, o minusvalía intelectual.</w:t>
      </w:r>
      <w:r w:rsidRPr="00E72B02">
        <w:rPr>
          <w:rStyle w:val="Refdenotaalpie"/>
        </w:rPr>
        <w:footnoteReference w:id="661"/>
      </w:r>
    </w:p>
    <w:p w:rsidR="009716D2" w:rsidRPr="00E72B02" w:rsidRDefault="009716D2" w:rsidP="004551E9">
      <w:r w:rsidRPr="00E72B02">
        <w:t xml:space="preserve">Como se ha señalado en un estudio del Alto Comisionado de las Naciones Unidas para los Derechos Humanos, “…En muchos países la legislación en vigor permite declarar incapaz a una persona por deficiencia mental, </w:t>
      </w:r>
      <w:r w:rsidRPr="00E72B02">
        <w:lastRenderedPageBreak/>
        <w:t>intelectual o sensorial y atribuir a un tutor la capacidad jurídica para actuar en su nombre. Toda ley que prevea que la existencia de una discapacidad es motivo directo o indirecto para declarar la incapacidad jurídica entra en conflicto con el reconocimiento de la capacidad jurídica de las personas con discapacidad consagrado en el párrafo 2 del artículo 12”.</w:t>
      </w:r>
      <w:r w:rsidRPr="00E72B02">
        <w:rPr>
          <w:rStyle w:val="Refdenotaalpie"/>
        </w:rPr>
        <w:footnoteReference w:id="662"/>
      </w:r>
    </w:p>
    <w:p w:rsidR="009716D2" w:rsidRPr="00E72B02" w:rsidRDefault="009716D2" w:rsidP="004551E9"/>
    <w:p w:rsidR="009716D2" w:rsidRPr="00A71F97" w:rsidRDefault="009443FC" w:rsidP="00A57374">
      <w:pPr>
        <w:pStyle w:val="TTULO12"/>
      </w:pPr>
      <w:r w:rsidRPr="00A71F97">
        <w:t>5.4.4 TODOS LOS ASPECTOS DE LA VIDA</w:t>
      </w:r>
    </w:p>
    <w:p w:rsidR="009716D2" w:rsidRPr="00E72B02" w:rsidRDefault="009716D2" w:rsidP="004551E9">
      <w:pPr>
        <w:rPr>
          <w:lang w:val="es-MX"/>
        </w:rPr>
      </w:pPr>
    </w:p>
    <w:p w:rsidR="009716D2" w:rsidRPr="00E72B02" w:rsidRDefault="009716D2" w:rsidP="004551E9">
      <w:pPr>
        <w:rPr>
          <w:lang w:val="es-MX"/>
        </w:rPr>
      </w:pPr>
      <w:r w:rsidRPr="00E72B02">
        <w:rPr>
          <w:lang w:val="es-MX"/>
        </w:rPr>
        <w:t xml:space="preserve">Finalmente, el artículo 12(2) finaliza mediante la referencia a “todos los aspectos de la vida”. Esta mención puede tener importantes consecuencias jurídicas al momento de aplicarlo a nivel doméstico, en especial en aquellos Estados cuyos ordenamientos jurídicos están basados en el sistema de derecho civil. </w:t>
      </w:r>
    </w:p>
    <w:p w:rsidR="009716D2" w:rsidRPr="00E72B02" w:rsidRDefault="009716D2" w:rsidP="004551E9">
      <w:pPr>
        <w:rPr>
          <w:lang w:val="es-MX"/>
        </w:rPr>
      </w:pPr>
      <w:r w:rsidRPr="00E72B02">
        <w:rPr>
          <w:lang w:val="es-MX"/>
        </w:rPr>
        <w:t xml:space="preserve">Los sistemas de derecho civil de origen en el derecho romano, y que tradicionalmente abordan los aspectos relativos al ejercicio de la capacidad jurídica en códigos civiles, se han centrado históricamente en la dimensión patrimonial de los derechos (contratos, derechos reales, responsabilidad civil, sucesiones etc.), dejando de lado, o abordando insuficientemente, la dimensión personal de los derechos (matrimonio, patria potestad, adopción, decisiones sobre el cuerpo o la salud, etc.). </w:t>
      </w:r>
    </w:p>
    <w:p w:rsidR="009716D2" w:rsidRPr="00E72B02" w:rsidRDefault="009716D2" w:rsidP="004551E9">
      <w:pPr>
        <w:rPr>
          <w:lang w:val="es-MX"/>
        </w:rPr>
      </w:pPr>
      <w:r w:rsidRPr="00E72B02">
        <w:rPr>
          <w:lang w:val="es-MX"/>
        </w:rPr>
        <w:t xml:space="preserve">El artículo 12(2) claramente se debe aplicar tanto a los aspectos patrimoniales como personales de las personas con discapacidad. Y esto cobra especial importancia al momento de pensar en su aplicación a nivel nacional, puesto que la mayoría de los códigos civiles contienen expresas y precisas disposiciones sobre el modo de proteger a las personas con </w:t>
      </w:r>
      <w:r w:rsidRPr="00E72B02">
        <w:rPr>
          <w:lang w:val="es-MX"/>
        </w:rPr>
        <w:lastRenderedPageBreak/>
        <w:t>discapacidad en el ejercicio de sus derechos patrimoniales, pero suelen guardar silencio, o denegar directa o indirectamente el ejercicio de los derechos personales. Esto encuentra su razón de ser básicamente en dos motivos, uno de base ideológica, y otro de base practica. Desde un punto de vista ideológico, la mayoría de los códigos civiles han</w:t>
      </w:r>
      <w:r w:rsidR="00891CD2">
        <w:rPr>
          <w:lang w:val="es-MX"/>
        </w:rPr>
        <w:t xml:space="preserve"> </w:t>
      </w:r>
      <w:r w:rsidRPr="00E72B02">
        <w:rPr>
          <w:lang w:val="es-MX"/>
        </w:rPr>
        <w:t>sido gestados desde el auge de liberalismo capitalista y tienen como principal objetivo regular y proteger el derecho a la propiedad privada. Desde un punto de vista práctico, el remedio o herramienta legal de protección que se aplica, esto es la representación sustitutiva, no permite en muchos casos trasladar la toma de decisiones de tipo personal al tutor o representante cuando se trata de derechos personalísimos que sólo puede llevar a cabo la persona en nombre propio, como podría ser el ejemplo del matrimonio, o el ejercicio del derecho al sufragio.</w:t>
      </w:r>
      <w:r w:rsidRPr="00E72B02">
        <w:rPr>
          <w:rStyle w:val="Refdenotaalpie"/>
          <w:lang w:val="es-MX"/>
        </w:rPr>
        <w:footnoteReference w:id="663"/>
      </w:r>
    </w:p>
    <w:p w:rsidR="009716D2" w:rsidRPr="00E72B02" w:rsidRDefault="009716D2" w:rsidP="004551E9">
      <w:pPr>
        <w:rPr>
          <w:lang w:val="es-MX"/>
        </w:rPr>
      </w:pPr>
    </w:p>
    <w:p w:rsidR="009716D2" w:rsidRPr="00A71F97" w:rsidRDefault="009443FC" w:rsidP="00A57374">
      <w:pPr>
        <w:pStyle w:val="TTULO12"/>
      </w:pPr>
      <w:r w:rsidRPr="00A71F97">
        <w:t>5.4.5 LA GARANTÍA DE IGUALDAD EN EL EJERCICIO DE LA CAPACIDAD JURÍDICA Y SU CONEXIÓN CON OTROS DERECHOS</w:t>
      </w:r>
    </w:p>
    <w:p w:rsidR="009716D2" w:rsidRPr="00E72B02" w:rsidRDefault="009716D2" w:rsidP="004551E9">
      <w:pPr>
        <w:rPr>
          <w:lang w:val="es-MX"/>
        </w:rPr>
      </w:pPr>
    </w:p>
    <w:p w:rsidR="009716D2" w:rsidRPr="00E72B02" w:rsidRDefault="009716D2" w:rsidP="004551E9">
      <w:pPr>
        <w:rPr>
          <w:lang w:val="es-MX"/>
        </w:rPr>
      </w:pPr>
      <w:r w:rsidRPr="00E72B02">
        <w:rPr>
          <w:lang w:val="es-MX"/>
        </w:rPr>
        <w:lastRenderedPageBreak/>
        <w:t xml:space="preserve">Habiendo esclarecido y precisado el alcance conceptual de los términos utilizados por el artículo 12(2), corresponde ahora establecer las consecuencias jurídicas de esta disposición. </w:t>
      </w:r>
    </w:p>
    <w:p w:rsidR="009716D2" w:rsidRPr="00E72B02" w:rsidRDefault="009716D2" w:rsidP="004551E9">
      <w:r w:rsidRPr="00E72B02">
        <w:t>La primera conclusión que se puede inferir del artículo 12(2) es que debe entenderse como una verdadera “garantía” de goce y ejercicio de los derechos humanos de las personas con discapacidad más básicos y fundamentales como la vida, la integridad física y psíquica, la igualdad y la libertad. Se trata de una “garantía” de la persona tanto frente al poder del Estado como frente a la acción u omisión de otras personas. Y como garantía que pretender resguardar derechos que forman parte del estándar mínimo y universal de los derechos humanos,</w:t>
      </w:r>
      <w:r w:rsidRPr="00E72B02">
        <w:rPr>
          <w:rStyle w:val="Refdenotaalpie"/>
        </w:rPr>
        <w:footnoteReference w:id="664"/>
      </w:r>
      <w:r w:rsidRPr="00E72B02">
        <w:t xml:space="preserve"> debe ser, </w:t>
      </w:r>
      <w:r w:rsidRPr="00E72B02">
        <w:rPr>
          <w:i/>
        </w:rPr>
        <w:t>operativa</w:t>
      </w:r>
      <w:r w:rsidRPr="00E72B02">
        <w:t xml:space="preserve"> y de </w:t>
      </w:r>
      <w:r w:rsidRPr="00E72B02">
        <w:rPr>
          <w:i/>
        </w:rPr>
        <w:t>aplicación</w:t>
      </w:r>
      <w:r w:rsidRPr="00E72B02">
        <w:t xml:space="preserve"> directa por cualquier autoridad judicial, </w:t>
      </w:r>
      <w:r w:rsidRPr="00E72B02">
        <w:rPr>
          <w:i/>
        </w:rPr>
        <w:t>irrenunciable</w:t>
      </w:r>
      <w:r w:rsidRPr="00E72B02">
        <w:t xml:space="preserve">, y no sujeta de </w:t>
      </w:r>
      <w:r w:rsidRPr="00E72B02">
        <w:rPr>
          <w:i/>
        </w:rPr>
        <w:t>restricciones o suspensiones</w:t>
      </w:r>
      <w:r w:rsidRPr="00E72B02">
        <w:t>.</w:t>
      </w:r>
      <w:r w:rsidRPr="00E72B02">
        <w:rPr>
          <w:rStyle w:val="Refdenotaalpie"/>
          <w:rFonts w:eastAsia="Calibri"/>
        </w:rPr>
        <w:footnoteReference w:id="665"/>
      </w:r>
      <w:r w:rsidRPr="00E72B02">
        <w:t xml:space="preserve"> </w:t>
      </w:r>
    </w:p>
    <w:p w:rsidR="009716D2" w:rsidRPr="00E72B02" w:rsidRDefault="009716D2" w:rsidP="004551E9">
      <w:r w:rsidRPr="00E72B02">
        <w:t xml:space="preserve">Para entender el alcance de esta garantía debemos ser conscientes que estamos frente a un cambio de paradigma y con ello frente a un cambio radical del sistema imperante. Quizás sólo comparable con el cambio de paradigma que supuso en su momento la implementación del principio de legalidad en el derecho penal y que obliga a los estado a “garantizar” ciertos derechos sin excepción y bajo pena de incumplir con las normas básicas de </w:t>
      </w:r>
      <w:r w:rsidRPr="00E72B02">
        <w:lastRenderedPageBreak/>
        <w:t xml:space="preserve">derechos humanos, como el derecho de defensa en juicio, la inviolabilidad de la persona, el principio de </w:t>
      </w:r>
      <w:r w:rsidRPr="00E72B02">
        <w:rPr>
          <w:i/>
        </w:rPr>
        <w:t>nullum crime sin lege</w:t>
      </w:r>
      <w:r w:rsidRPr="00E72B02">
        <w:t xml:space="preserve"> por nombras sólo algunos. </w:t>
      </w:r>
    </w:p>
    <w:p w:rsidR="009716D2" w:rsidRPr="00E72B02" w:rsidRDefault="009716D2" w:rsidP="004551E9">
      <w:r w:rsidRPr="00E72B02">
        <w:t>El artículo 12(2) impone a los Estado el deber de garantizar que ninguna persona con discapacidad sea restringida en el goce y ejercicio de su capacidad jurídica por motivo de su discapacidad. ¿Qué significa esto? Pues en un sentido muy general que la opción de “proteger” a las personas con discapacidad mediante la institución jurídica de la “incapacitación” y la “representación sustitutiva en la toma de decisiones”, (tenga esta nombre de tutela, curatela, guarda, o cualquier otra), “no puede seguir siendo” una  opción posible o válida a la luz de lo que estipula la CDPD. Debemos entender esta garantía como un límite al poder del Estado, que, aunque tenga lo motivos más nobles o crea que la representación sustitutiva es la mejor herramienta de protección, ya no puede seguir por esta vía y debe pensar en otras alternativas que “protejan” pero al mismo tiempo “no sustituyan” la voluntad de “todas las personas con discapacidad”.</w:t>
      </w:r>
      <w:r w:rsidRPr="00E72B02">
        <w:rPr>
          <w:rStyle w:val="Refdenotaalpie"/>
        </w:rPr>
        <w:footnoteReference w:id="666"/>
      </w:r>
      <w:r w:rsidRPr="00E72B02">
        <w:t xml:space="preserve"> Del </w:t>
      </w:r>
      <w:r w:rsidRPr="00E72B02">
        <w:lastRenderedPageBreak/>
        <w:t>mismo modo que el sistema penal inquisitorio tuvo que cambiar a un sistema acusatorio para adaptar el accionar del Estado frente a las garantías que exigía el principio de legalidad.</w:t>
      </w:r>
    </w:p>
    <w:p w:rsidR="009716D2" w:rsidRPr="00E72B02" w:rsidRDefault="009716D2" w:rsidP="004551E9">
      <w:pPr>
        <w:rPr>
          <w:lang w:eastAsia="es-ES_tradnl"/>
        </w:rPr>
      </w:pPr>
      <w:r w:rsidRPr="00E72B02">
        <w:rPr>
          <w:lang w:val="es-MX"/>
        </w:rPr>
        <w:t xml:space="preserve"> </w:t>
      </w:r>
      <w:r w:rsidRPr="00E72B02">
        <w:t>Se trata, probablemente, del enunciado más importante de toda la CDPD, y que se extrae principalmente del inciso 2 del artículo 12, pero también de</w:t>
      </w:r>
      <w:r w:rsidRPr="00E72B02">
        <w:rPr>
          <w:lang w:eastAsia="es-ES_tradnl"/>
        </w:rPr>
        <w:t xml:space="preserve"> los párrafos 1 y 2 del artículo 5 que establece en el primer caso que “</w:t>
      </w:r>
      <w:r w:rsidRPr="00E72B02">
        <w:rPr>
          <w:i/>
          <w:lang w:eastAsia="es-ES_tradnl"/>
        </w:rPr>
        <w:t>los Estados Partes reconocen que todas las personas son iguales ante la ley y en virtud de ella y que tienen derecho a igual protección legal y a beneficiarse de la ley en igual medida sin discriminación alguna</w:t>
      </w:r>
      <w:r w:rsidRPr="00E72B02">
        <w:rPr>
          <w:lang w:eastAsia="es-ES_tradnl"/>
        </w:rPr>
        <w:t>” y en el segundo caso, que “</w:t>
      </w:r>
      <w:r w:rsidRPr="00E72B02">
        <w:rPr>
          <w:i/>
          <w:lang w:eastAsia="es-ES_tradnl"/>
        </w:rPr>
        <w:t>los Estados Partes prohibirán toda discriminación por motivos de discapacidad y garantizarán a todas las personas con discapacidad protección legal igual y efectiva contra la discriminación por cualquier motivo</w:t>
      </w:r>
      <w:r w:rsidRPr="00E72B02">
        <w:rPr>
          <w:lang w:eastAsia="es-ES_tradnl"/>
        </w:rPr>
        <w:t xml:space="preserve">”. </w:t>
      </w:r>
    </w:p>
    <w:p w:rsidR="009716D2" w:rsidRPr="00E72B02" w:rsidRDefault="009716D2" w:rsidP="004551E9">
      <w:pPr>
        <w:rPr>
          <w:lang w:eastAsia="es-ES_tradnl"/>
        </w:rPr>
      </w:pPr>
      <w:r w:rsidRPr="00E72B02">
        <w:rPr>
          <w:lang w:eastAsia="es-ES_tradnl"/>
        </w:rPr>
        <w:t>De la interacción de estas disposiciones se pueden extraer las siguientes premisas: 1) que las personas con discapacidad (incluidas las que tengan deficiencias mentales o intelectuales) tienen como presupuesto general plena capacidad jurídica, que incluye la capacidad de obrar, y 2) que la discapacidad nunca debe ser motivo de discriminación. Ello ocurrirá cuando exista “</w:t>
      </w:r>
      <w:r w:rsidRPr="00E72B02">
        <w:rPr>
          <w:i/>
          <w:lang w:eastAsia="es-ES_tradnl"/>
        </w:rPr>
        <w:t>c</w:t>
      </w:r>
      <w:r w:rsidRPr="00E72B02">
        <w:rPr>
          <w:i/>
        </w:rPr>
        <w:t xml:space="preserve">ualquier distinción, exclusión o restricción por motivos de </w:t>
      </w:r>
      <w:r w:rsidRPr="00E72B02">
        <w:rPr>
          <w:i/>
        </w:rPr>
        <w:lastRenderedPageBreak/>
        <w:t>discapacidad que tenga el propósito o el efecto de obstaculizar o dejar sin efecto el reconocimiento, goce o ejercicio, en igualdad de condiciones, de todos los derechos humanos y libertades fundamentales en los ámbitos político, económico, social, cultural, civil o de otro tipo</w:t>
      </w:r>
      <w:r w:rsidRPr="00E72B02">
        <w:rPr>
          <w:lang w:eastAsia="es-ES_tradnl"/>
        </w:rPr>
        <w:t>”.</w:t>
      </w:r>
    </w:p>
    <w:p w:rsidR="009716D2" w:rsidRPr="00E72B02" w:rsidRDefault="009716D2" w:rsidP="004551E9">
      <w:pPr>
        <w:rPr>
          <w:lang w:eastAsia="es-ES_tradnl"/>
        </w:rPr>
      </w:pPr>
      <w:r w:rsidRPr="00E72B02">
        <w:rPr>
          <w:lang w:eastAsia="es-ES_tradnl"/>
        </w:rPr>
        <w:t xml:space="preserve">El primer gran elemento de discusión ante este principio surge al intentar dilucidar si la garantía de igualdad supone el inmediato reconocimiento pleno de la capacidad jurídica de todas las personas de un modo absoluto y sin excepciones, es decir, una especie de presunción </w:t>
      </w:r>
      <w:r w:rsidRPr="00E72B02">
        <w:rPr>
          <w:i/>
          <w:lang w:eastAsia="es-ES_tradnl"/>
        </w:rPr>
        <w:t>iure et de iure</w:t>
      </w:r>
      <w:r w:rsidRPr="00E72B02">
        <w:rPr>
          <w:lang w:eastAsia="es-ES_tradnl"/>
        </w:rPr>
        <w:t>, o si por lo contrario, reconoce un principio general pero que permite excepciones, es decir, una especie de presunción</w:t>
      </w:r>
      <w:r w:rsidRPr="00E72B02">
        <w:rPr>
          <w:i/>
          <w:lang w:eastAsia="es-ES_tradnl"/>
        </w:rPr>
        <w:t xml:space="preserve"> iuris tantum</w:t>
      </w:r>
      <w:r w:rsidRPr="00E72B02">
        <w:rPr>
          <w:lang w:eastAsia="es-ES_tradnl"/>
        </w:rPr>
        <w:t>. Curiosamente, el lenguaje del artículo 12 podría permitir ambas conclusiones</w:t>
      </w:r>
      <w:r w:rsidRPr="00E72B02">
        <w:rPr>
          <w:rStyle w:val="Refdenotaalpie"/>
          <w:lang w:eastAsia="es-ES_tradnl"/>
        </w:rPr>
        <w:footnoteReference w:id="667"/>
      </w:r>
      <w:r w:rsidRPr="00E72B02">
        <w:rPr>
          <w:lang w:eastAsia="es-ES_tradnl"/>
        </w:rPr>
        <w:t xml:space="preserve">. </w:t>
      </w:r>
    </w:p>
    <w:p w:rsidR="009716D2" w:rsidRPr="00E72B02" w:rsidRDefault="009716D2" w:rsidP="004551E9">
      <w:pPr>
        <w:rPr>
          <w:lang w:eastAsia="es-ES_tradnl"/>
        </w:rPr>
      </w:pPr>
      <w:r w:rsidRPr="00E72B02">
        <w:rPr>
          <w:lang w:eastAsia="es-ES_tradnl"/>
        </w:rPr>
        <w:t>La primera de las interpretaciones, que fuera, y actualmente es, intensamente defendida por las propias personas con discapacidad</w:t>
      </w:r>
      <w:r w:rsidRPr="00E72B02">
        <w:rPr>
          <w:rStyle w:val="Refdenotaalpie"/>
          <w:lang w:eastAsia="es-ES_tradnl"/>
        </w:rPr>
        <w:footnoteReference w:id="668"/>
      </w:r>
      <w:r w:rsidRPr="00E72B02">
        <w:rPr>
          <w:lang w:eastAsia="es-ES_tradnl"/>
        </w:rPr>
        <w:t xml:space="preserve">, encuentra apoyo en tres fundamentos básicos pero que en esencia se </w:t>
      </w:r>
      <w:r w:rsidRPr="00E72B02">
        <w:rPr>
          <w:lang w:eastAsia="es-ES_tradnl"/>
        </w:rPr>
        <w:lastRenderedPageBreak/>
        <w:t>encuentran directamente interrelacionados: 1) el modelo filosófico que inspira la CDPD (modelo social) que supone la plasmación de los valores que sustentan los derechos humanos; 2) que ésta es la interpretación que se encuentra en mayor sintonía con el resto de la CDPD y con el objeto y fin del tratado; y 3) que el artículo 12 incorpora el sistema de apoyo en la toma de decisiones en el inciso 3 para las situaciones donde la intervención de un tercero resulte necesaria.</w:t>
      </w:r>
      <w:r w:rsidRPr="00E72B02">
        <w:rPr>
          <w:rStyle w:val="Refdenotaalpie"/>
          <w:lang w:eastAsia="es-ES_tradnl"/>
        </w:rPr>
        <w:footnoteReference w:id="669"/>
      </w:r>
      <w:r w:rsidRPr="00E72B02">
        <w:rPr>
          <w:lang w:eastAsia="es-ES_tradnl"/>
        </w:rPr>
        <w:t xml:space="preserve"> La principal crítica interna de este razonamiento radica en la asunción de que “todas” las personas con discapacidad pueden ejercer su capacidad jurídica sin necesidad de sustitución en la toma de decisiones si median los ajustes necesarios. Es decir, esta planteo no permitiría dar lugar a ninguna forma de sustitución en la toma de decisiones, incluso en casos extremos donde es imposible, incluso con apoyos, que una persona pueda tomar decisiones en nombre propio (ejemplo una persona con un Alzheimer muy avanzado).</w:t>
      </w:r>
    </w:p>
    <w:p w:rsidR="009716D2" w:rsidRPr="00E72B02" w:rsidRDefault="009716D2" w:rsidP="004551E9">
      <w:r w:rsidRPr="00E72B02">
        <w:rPr>
          <w:lang w:eastAsia="es-ES_tradnl"/>
        </w:rPr>
        <w:t xml:space="preserve">La segunda de las interpretaciones, encuentra apoyo en los siguiente fundamentos: 1) la literalidad de la formulación del artículo 12 no permite sostener que exista un prohibición expresa de sustitución en la toma de decisiones. En este sentido </w:t>
      </w:r>
      <w:r w:rsidRPr="00E72B02">
        <w:t xml:space="preserve">la práctica de los Estados demuestra que las normas prohibitivas internacionales son muy precisas y más bien escasas; 2) el amplio abanico de discapacidades y situaciones particulares que requieren de un solución jurídica, evidencia la necesidad de seguir contando, en ciertas y específicas situaciones, de mecanismos de sustitución en la toma de decisiones; 3) la aceptación del principio de igualdad y no discriminación en el ejercicio de la capacidad jurídica supone la garantía de tratamiento equitativo en igualdad de condiciones, pero no la garantía absoluta y </w:t>
      </w:r>
      <w:r w:rsidRPr="00E72B02">
        <w:lastRenderedPageBreak/>
        <w:t xml:space="preserve">abstracta de ejercicio de la capacidad jurídica por cualquier persona y en cualquier circunstancia. La principal crítica interna a este razonamiento radica en que por la vía de la excepción, luego en la práctica se puede generar una regla o una generalización. Más aún, la práctica demuestra que incluso aquellos Estados que contemplan mecanismos de protección menos restrictivos como la incapacidad relativa o la inhabilitación, los mismos son escasamente utilizados. </w:t>
      </w:r>
    </w:p>
    <w:p w:rsidR="009716D2" w:rsidRPr="00E72B02" w:rsidRDefault="009716D2" w:rsidP="004551E9">
      <w:r w:rsidRPr="00E72B02">
        <w:t>Independientemente de cualquiera de los dos caminos a tomar, la garantía del artículo 12 leída trasversalmente con toda la CDPD supone al menos, un reconocimiento muy claro de los siguientes principios:</w:t>
      </w:r>
    </w:p>
    <w:p w:rsidR="009716D2" w:rsidRPr="00E72B02" w:rsidRDefault="009716D2" w:rsidP="004551E9">
      <w:r w:rsidRPr="00E72B02">
        <w:t>Presunción de capacidad jurídica:</w:t>
      </w:r>
    </w:p>
    <w:p w:rsidR="009716D2" w:rsidRPr="00E72B02" w:rsidRDefault="009716D2" w:rsidP="004551E9">
      <w:r w:rsidRPr="00E72B02">
        <w:t>La CDPD claramente reconoce el derecho de todas las personas con discapacidad de tener capacidad jurídica para ejercer en nombre propio los derechos reconocidos en dicho instrumento, así como todos los demás derechos reconocidos en otros tratados internacionales. Consecuentemente, la capacidad jurídica se debe “</w:t>
      </w:r>
      <w:r w:rsidRPr="00E72B02">
        <w:rPr>
          <w:i/>
        </w:rPr>
        <w:t>siempre presumir</w:t>
      </w:r>
      <w:r w:rsidRPr="00E72B02">
        <w:t xml:space="preserve">”, lo que invierte la carga de la prueba que tradicionalmente ha estado en cabeza de la persona con discapacidad. </w:t>
      </w:r>
      <w:r w:rsidRPr="00E72B02">
        <w:rPr>
          <w:lang w:val="es-ES"/>
        </w:rPr>
        <w:t>Aunque en rigor la mayoría de los ordenamientos jurídicos vigentes parten formalmente del principio de presunción de capacidad de todas las personas, en la práctica dicha presunción no es más que una ficción jurídica y por imperio de los modelo de atribución por estatus,</w:t>
      </w:r>
      <w:r w:rsidRPr="00E72B02">
        <w:rPr>
          <w:rStyle w:val="Refdenotaalpie"/>
        </w:rPr>
        <w:footnoteReference w:id="670"/>
      </w:r>
      <w:r w:rsidRPr="00E72B02">
        <w:rPr>
          <w:lang w:val="es-ES"/>
        </w:rPr>
        <w:t xml:space="preserve"> se genera una especie de inversión de la carga de la prueba donde es el presunto incapaz el que debe demostrar que no corresponde declara la incapacidad, o en su caso, que puede conservar su capacidad en ciertos aspectos (capacidad residual). Más allá de en quién recae la carga </w:t>
      </w:r>
      <w:r w:rsidRPr="00E72B02">
        <w:rPr>
          <w:lang w:val="es-ES"/>
        </w:rPr>
        <w:lastRenderedPageBreak/>
        <w:t>probatoria, los modelos vigentes que permiten algún tipo de incapacidad relativa, se ciñen a evaluar los actos que la persona puede realizar en nombre propio, cuando en realidad, si estuviéramos en el marco de un principio de presunción de capacidad, la labor probatoria debería ser justamente la opuesta, es decir, que actos no puede hacer en nombre propio, y de dicho modo conservar la capacidad en todo aquello no expresamente limitado en la sentencia</w:t>
      </w:r>
    </w:p>
    <w:p w:rsidR="009716D2" w:rsidRPr="00E72B02" w:rsidRDefault="009716D2" w:rsidP="004551E9">
      <w:r w:rsidRPr="00E72B02">
        <w:t>Consecuentemente, la presunción de capacidad no se limita exclusivamente a que una persona es capaz hasta que se demuestre que es incapaz, sino más bien, a que una persona con discapacidad tiene como presupuesto capacidad jurídica (capacidad de obrar) y solo podrá ser limitada respecto de actos específicos, y siempre y cuando dicha limitación no está basada en un criterio discriminatorio como la existencia de una discapacidad mental o intelectual.</w:t>
      </w:r>
      <w:r w:rsidRPr="00E72B02">
        <w:rPr>
          <w:rStyle w:val="Refdenotaalpie"/>
        </w:rPr>
        <w:footnoteReference w:id="671"/>
      </w:r>
      <w:r w:rsidRPr="00E72B02">
        <w:t xml:space="preserve"> Con lo cual, no se trata simplemente de una presunción legal, sino también de una presunción procesal, es decir, la capacidad se presume siempre, y solo podrá ser limitada, respecto de aquellos actos o ámbitos donde se pruebe fehacientemente, que dicha persona requiere de este tipo de medida grave y excepcional, y en todo aquello no expresamente indicado en la sentencia, la persona debe conservar su plena capacidad de obrar.   </w:t>
      </w:r>
    </w:p>
    <w:p w:rsidR="009716D2" w:rsidRPr="00E72B02" w:rsidRDefault="009716D2" w:rsidP="004551E9">
      <w:r w:rsidRPr="00E72B02">
        <w:t xml:space="preserve">Prohibición de atribución por discapacidad </w:t>
      </w:r>
    </w:p>
    <w:p w:rsidR="009716D2" w:rsidRPr="00E72B02" w:rsidRDefault="009716D2" w:rsidP="004551E9">
      <w:r w:rsidRPr="00E72B02">
        <w:t xml:space="preserve">La discapacidad no puede por sí misma ser una justificación para la denegación del ejercicio de la capacidad jurídica. Consecuentemente, las legislaciones que contiene causas de interdicción que directamente hacen </w:t>
      </w:r>
      <w:r w:rsidRPr="00E72B02">
        <w:lastRenderedPageBreak/>
        <w:t>referencia a una discapacidad (por ejemplo los sordo-mudos que no puedan darse a entender por escrito son incapaces absolutos), se encuentran frontalmente en contradicción a la CDPD.</w:t>
      </w:r>
      <w:r w:rsidRPr="00E72B02">
        <w:rPr>
          <w:rStyle w:val="Refdenotaalpie"/>
        </w:rPr>
        <w:footnoteReference w:id="672"/>
      </w:r>
      <w:r w:rsidRPr="00E72B02">
        <w:t xml:space="preserve"> Como ha reiterado el TEDH, en lo que constituye una especie de doctrina consolidada, “</w:t>
      </w:r>
      <w:r w:rsidRPr="00E72B02">
        <w:rPr>
          <w:i/>
        </w:rPr>
        <w:t>la existencia de una deficiencia mental, incluso si se trata de una muy seria, no puede por sí misma ser la razón de una incapacitación absoluta</w:t>
      </w:r>
      <w:r w:rsidRPr="00E72B02">
        <w:t>”</w:t>
      </w:r>
      <w:r w:rsidRPr="00E72B02">
        <w:rPr>
          <w:rStyle w:val="Refdenotaalpie"/>
        </w:rPr>
        <w:footnoteReference w:id="673"/>
      </w:r>
      <w:r w:rsidRPr="00E72B02">
        <w:t xml:space="preserve">. </w:t>
      </w:r>
    </w:p>
    <w:p w:rsidR="009716D2" w:rsidRPr="00E72B02" w:rsidRDefault="009716D2" w:rsidP="004551E9">
      <w:pPr>
        <w:rPr>
          <w:lang w:val="es-MX"/>
        </w:rPr>
      </w:pPr>
      <w:r w:rsidRPr="00E72B02">
        <w:t xml:space="preserve">Ahora bien, y partiendo del presupuesto de que la existencia de una discapacidad no puede ser elemento suficiente para probar la incapacidad de una persona, entonces ¿Cómo ha se efectuarse el juicio de capacidad de una persona para poder declararla incapaz? </w:t>
      </w:r>
      <w:r w:rsidRPr="00E72B02">
        <w:rPr>
          <w:lang w:val="es-MX"/>
        </w:rPr>
        <w:t>¿Qué analizamos de una persona para saber si tiene capacidad?  ¿Sus errores y aciertos? ¿Su contexto socio-económico? ¿Su formación? ¿Su salud? ¿Su condición mental o intelectual? ¿Sobre qué actos se realiza el juicio de capacidad? ¿Sobre actos o acciones concretas? ¿Sobre actos personales o patrimoniales? ¿Sobre actos o acciones futuras? ¿Sobre qué actos se evalúa la capacidad?</w:t>
      </w:r>
    </w:p>
    <w:p w:rsidR="009716D2" w:rsidRPr="00E72B02" w:rsidRDefault="009716D2" w:rsidP="004551E9">
      <w:pPr>
        <w:rPr>
          <w:lang w:val="es-MX"/>
        </w:rPr>
      </w:pPr>
      <w:r w:rsidRPr="00E72B02">
        <w:rPr>
          <w:lang w:val="es-MX"/>
        </w:rPr>
        <w:t>En la práctica, el juicio de capacidad se realiza “</w:t>
      </w:r>
      <w:r w:rsidRPr="00E72B02">
        <w:rPr>
          <w:i/>
          <w:lang w:val="es-MX"/>
        </w:rPr>
        <w:t>a priori</w:t>
      </w:r>
      <w:r w:rsidRPr="00E72B02">
        <w:rPr>
          <w:lang w:val="es-MX"/>
        </w:rPr>
        <w:t>” e “</w:t>
      </w:r>
      <w:r w:rsidRPr="00E72B02">
        <w:rPr>
          <w:i/>
          <w:lang w:val="es-MX"/>
        </w:rPr>
        <w:t>in abstracto</w:t>
      </w:r>
      <w:r w:rsidRPr="00E72B02">
        <w:rPr>
          <w:lang w:val="es-MX"/>
        </w:rPr>
        <w:t xml:space="preserve">”; es decir, con un efecto hacia el futuro ya que tiene el objeto de afectar actos o acciones futuras generalmente indeterminadas e inciertas. Como consecuencia de ello, el juicio de capacidad afecta todos los actos de cara al futuro, del mismo modo, actos personales como patrimoniales. El juez no se cuestiona qué acto podrá o no podrá realizar la persona, sino que el juicio define en sentido general, y en abstracto, que la persona no tiene capacidad </w:t>
      </w:r>
      <w:r w:rsidRPr="00E72B02">
        <w:rPr>
          <w:lang w:val="es-MX"/>
        </w:rPr>
        <w:lastRenderedPageBreak/>
        <w:t xml:space="preserve">jurídica. Ello no supone que la sentencia de incapacitación pueda llegar a tener efectos sobre actos pasados. </w:t>
      </w:r>
    </w:p>
    <w:p w:rsidR="009716D2" w:rsidRPr="00E72B02" w:rsidRDefault="009716D2" w:rsidP="004551E9">
      <w:pPr>
        <w:rPr>
          <w:lang w:val="es-MX"/>
        </w:rPr>
      </w:pPr>
      <w:r w:rsidRPr="00E72B02">
        <w:rPr>
          <w:lang w:val="es-MX"/>
        </w:rPr>
        <w:t xml:space="preserve">Ahora bien, más allá de las respuestas a los interrogantes planteados anteriormente ¿En qué medios probatorios se basa el juez para un juicio de capacidad? </w:t>
      </w:r>
    </w:p>
    <w:p w:rsidR="009716D2" w:rsidRPr="00E72B02" w:rsidRDefault="009716D2" w:rsidP="004551E9">
      <w:pPr>
        <w:rPr>
          <w:lang w:val="es-MX"/>
        </w:rPr>
      </w:pPr>
      <w:r w:rsidRPr="00E72B02">
        <w:rPr>
          <w:lang w:val="es-MX"/>
        </w:rPr>
        <w:t>La mayoría de los ordenamientos jurídicos vigentes permiten al juez tomar contacto con la persona y con sus familiares, lo cual podría ser un primer elemento probatorio testimonial y personal, sobre el cual el juez podría basar su decisión. Sin embargo, en dichos ordenamientos jurídicos, en rigor, la única y legalmente exigida prueba es el “dictamen médico”. Es la prueba de principal en la que el juez basa su decisión fundamentándose en la opinión de un médico sobre si una persona es médicamente capaz o no.</w:t>
      </w:r>
    </w:p>
    <w:p w:rsidR="009716D2" w:rsidRPr="00E72B02" w:rsidRDefault="009716D2" w:rsidP="004551E9">
      <w:pPr>
        <w:rPr>
          <w:lang w:val="es-MX"/>
        </w:rPr>
      </w:pPr>
      <w:r w:rsidRPr="00E72B02">
        <w:rPr>
          <w:lang w:val="es-MX"/>
        </w:rPr>
        <w:t xml:space="preserve">La garantía de igualdad en el ejercicio de la capacidad jurídica que recoge el artículo 12(2) nos lleva a reflexionar sobre el juicio de capacidad que se realiza desde una dimensión médica y el juicio que se realiza desde una dimensión legal. </w:t>
      </w:r>
    </w:p>
    <w:p w:rsidR="009716D2" w:rsidRPr="00E72B02" w:rsidRDefault="009716D2" w:rsidP="004551E9">
      <w:pPr>
        <w:rPr>
          <w:lang w:val="es-MX"/>
        </w:rPr>
      </w:pPr>
      <w:r w:rsidRPr="00E72B02">
        <w:rPr>
          <w:lang w:val="es-MX"/>
        </w:rPr>
        <w:t>No es lo mismo lo que para un médico es capacidad, que lo que un juez debiera considerar como capacidad legal. Son dos dimensiones que deberían mantenerse separadas. Existe una tendencia de emplear los términos “discernimiento” y “capacidad” de modo intercambiable en relación con la salud mental; sin embargo, no son idénticos. En general, “discernimiento” se refiere específicamente a la presencia de facultades mentales para tomar decisiones o adoptar cursos de acción (…) mientras que “capacidad” se refiere a las consecuencias jurídicas de la falta de discernimiento. En estas definiciones, “discernimiento” es un concepto de salud, mientras que “capacidad” es un concepto jurídico. “Discernimiento” se refiere a niveles individuales de funcionamiento, y “capacidad” a su impacto en su estatus legal y social. Aquí tenemos dos ámbitos debieran mantenerse aparte: la evaluación que hace el médico y la evaluación que hace el juez.</w:t>
      </w:r>
    </w:p>
    <w:p w:rsidR="009716D2" w:rsidRPr="00E72B02" w:rsidRDefault="009716D2" w:rsidP="004551E9">
      <w:pPr>
        <w:rPr>
          <w:lang w:val="es-MX"/>
        </w:rPr>
      </w:pPr>
      <w:r w:rsidRPr="00E72B02">
        <w:rPr>
          <w:lang w:val="es-MX"/>
        </w:rPr>
        <w:lastRenderedPageBreak/>
        <w:t>Al respecto, la OMS ha dicho que la presencia de un trastorno mental importante no implica por sí y por su sola existencia, la inexistencia de discernimiento para adoptar decisiones, de modo que la presencia de un trastorno mental no constituye el factor determinante y último del discernimiento, y menos aún de la capacidad. En otras palabras, además de la necesidad de separar estos dos ámbitos, la OMS ha dicho que incluso desde una evaluación médica, “los trastornos graves no significan que la persona no tiene discernimiento y, por ende, no debiera significar que no tiene capacidad jurídica”.</w:t>
      </w:r>
      <w:r w:rsidRPr="00E72B02">
        <w:rPr>
          <w:rStyle w:val="Refdenotaalpie"/>
          <w:lang w:val="es-MX"/>
        </w:rPr>
        <w:footnoteReference w:id="674"/>
      </w:r>
    </w:p>
    <w:p w:rsidR="009716D2" w:rsidRPr="00E72B02" w:rsidRDefault="009716D2" w:rsidP="004551E9">
      <w:pPr>
        <w:rPr>
          <w:lang w:val="es-MX"/>
        </w:rPr>
      </w:pPr>
      <w:r w:rsidRPr="00E72B02">
        <w:rPr>
          <w:lang w:val="es-MX"/>
        </w:rPr>
        <w:t>El discernimiento y la capacidad son relativos a decisiones y funciones específicas. Dado que el discernimiento puede fluctuar con el tiempo y no constituye un concepto de “todo o nada”, es necesario considerarlo en el contexto de la decisión específica a ser adoptada, o a la función específica a ser cumplida. Nuevamente, la falta de discernimiento no puede ser igual a la falta de capacidad jurídica.</w:t>
      </w:r>
      <w:r w:rsidRPr="00E72B02">
        <w:rPr>
          <w:rStyle w:val="Refdenotaalpie"/>
          <w:lang w:val="es-MX"/>
        </w:rPr>
        <w:footnoteReference w:id="675"/>
      </w:r>
      <w:r w:rsidRPr="00E72B02">
        <w:rPr>
          <w:lang w:val="es-MX"/>
        </w:rPr>
        <w:t xml:space="preserve"> </w:t>
      </w:r>
    </w:p>
    <w:p w:rsidR="009716D2" w:rsidRPr="00E72B02" w:rsidRDefault="009716D2" w:rsidP="004551E9">
      <w:r w:rsidRPr="00E72B02">
        <w:t xml:space="preserve">Pero el alcance del artículo 12(2) no se agota en los sistemas de incapacidad o en el establecimiento de tutelas sustitutivas de la toma de decisiones. La garantía de igualdad en el ejercicio de la capacidad jurídica también tiene importante consecuencias en la lectura y en el reconocimiento de otros derechos recogidos en la CDPD. </w:t>
      </w:r>
    </w:p>
    <w:p w:rsidR="009716D2" w:rsidRPr="00E72B02" w:rsidRDefault="009716D2" w:rsidP="004551E9">
      <w:pPr>
        <w:rPr>
          <w:lang w:val="es-ES_tradnl"/>
        </w:rPr>
      </w:pPr>
      <w:r w:rsidRPr="00E72B02">
        <w:rPr>
          <w:lang w:val="es-ES_tradnl"/>
        </w:rPr>
        <w:lastRenderedPageBreak/>
        <w:t>Como se ha afirmado, la capacidad jurídica está compuesta de dos elementos: capacidad de goce y de ejercicio, es decir, capacidad de ostentar un derecho y la capacidad de actuar y ejercer ese derecho, incluida la capacidad de accionar procesalmente siendo ambos conceptos interdependientes. Por ello, la falta de reconocimiento de la capacidad jurídica niega el acceso a los demás derechos, como el acceso a la justicia (Art. 13); derecho a no ser privado de la libertad arbitrariamente y a la seguridad (Art 14); a no ser sometidos a experimentos médicos o científicos sin el consentimiento libre e informado, a tratos o penas crueles, inhumanas o degradantes (Art. 15); a desplazarse de forma libre y a tener una nacionalidad (Art.18); a tener una vida independiente y a vivir en la comunidad (Art. 19); a tener acceso y movilidad independientes (Art. 20); a elegir con quién se relaciona, a casarse, tener hijos o adoptarlos, construir una familia y vivir en su propio hogar (Art. 23); a decidir en materia de educación (Art. 24); a decidir en materia de salud y gozar de buena salud (Art 25); a acceder y elegir el trabajo en el que se quiera desarrollar (Art. 27); a elegir dónde vivir y de forma digna estando protegidos por la sociedad y a ser asesorados para la toma de decisiones en materia financiera (Art. 28); a decidir en el ejercicio de sus derechos de participación en la vida pública y política como votar, ocupar cargos públicos, servir en jurados (Art. 29),  pues el tutor opera como una persona que tiene un poder dado por la persona con discapacidad pero que no debiera implicar la pérdida de los derechos civiles y, por supuesto, no se debiera sustituir por una voluntad ajena a la persona con discapacidad.</w:t>
      </w:r>
    </w:p>
    <w:p w:rsidR="009716D2" w:rsidRPr="00E72B02" w:rsidRDefault="009716D2" w:rsidP="004551E9">
      <w:pPr>
        <w:rPr>
          <w:lang w:val="es-ES_tradnl"/>
        </w:rPr>
      </w:pPr>
    </w:p>
    <w:p w:rsidR="009716D2" w:rsidRPr="009443FC" w:rsidRDefault="009716D2" w:rsidP="00A57374">
      <w:pPr>
        <w:pStyle w:val="TTULO12"/>
        <w:rPr>
          <w:b/>
        </w:rPr>
      </w:pPr>
      <w:r w:rsidRPr="009443FC">
        <w:rPr>
          <w:b/>
        </w:rPr>
        <w:t>5.4.5.1 Capacidad Jurídica y Acceso a la justicia</w:t>
      </w:r>
    </w:p>
    <w:p w:rsidR="009716D2" w:rsidRPr="00E72B02" w:rsidRDefault="009716D2" w:rsidP="004551E9"/>
    <w:p w:rsidR="009716D2" w:rsidRPr="00E72B02" w:rsidRDefault="009716D2" w:rsidP="004551E9">
      <w:r w:rsidRPr="00E72B02">
        <w:t xml:space="preserve">En primer lugar el artículo 12(2) tiene un fuerte impacto en relación con el artículo 13 sobre acceso a la justicia. Cuando nos referimos al acceso a la justicia lo podemos hacer desde una noción amplia o bien desde una visión </w:t>
      </w:r>
      <w:r w:rsidRPr="00E72B02">
        <w:lastRenderedPageBreak/>
        <w:t>restringida. Desde una visión restringida, el acceso a la justicia se lo suele asociar con la noción de “</w:t>
      </w:r>
      <w:r w:rsidRPr="00E72B02">
        <w:rPr>
          <w:i/>
        </w:rPr>
        <w:t>tutela judicial efectiva</w:t>
      </w:r>
      <w:r w:rsidRPr="00E72B02">
        <w:t>”, y que en rigor supone el compromiso del Estado de Derecho de garantizar a todas las personas la intervención de la justicia ante cualquier conflicto de intereses tutelados por el ordenamiento jurídico. Si el Estado asume el monopolio de la fuerza y priva a las personas del uso de la autocomposición, es lógico que, a cambio, garantice el acceso a un tercero imparcial para la resolución de los conflictos. Desde una visión más amplia el acceso a la justicia, comprende obviamente al derecho a la tutela judicial efectiva, pero amplia su alcance a todas aquellas circunstancias sociales, económicas, personales, y de cualquier otro tipo que pudieran, en la práctica, dificultar o impedir a la personas acceder al amparo de la justicia. En otras palabras, mientras la visión restringida el acceso a la justicia está planteada en términos de igualdad formal, la visión amplia de la misma, se plantea en términos de igualdad material, o incluso, de igualdad de oportunidades.</w:t>
      </w:r>
      <w:r w:rsidRPr="00E72B02">
        <w:rPr>
          <w:rStyle w:val="Refdenotaalpie"/>
          <w:lang w:val="es-ES"/>
        </w:rPr>
        <w:footnoteReference w:id="676"/>
      </w:r>
      <w:r w:rsidRPr="00E72B02">
        <w:t xml:space="preserve"> </w:t>
      </w:r>
    </w:p>
    <w:p w:rsidR="009716D2" w:rsidRPr="00E72B02" w:rsidRDefault="009716D2" w:rsidP="004551E9">
      <w:r w:rsidRPr="00E72B02">
        <w:t xml:space="preserve">Podría afirmarse entonces, que el derecho de acceso a la justicia es, además de un derecho autónomo, un derecho instrumental para la realización de los demás derechos (civiles, políticos, económicos, sociales y culturales). Como expresa </w:t>
      </w:r>
      <w:r w:rsidRPr="00E72B02">
        <w:rPr>
          <w:caps/>
        </w:rPr>
        <w:t>Lawson</w:t>
      </w:r>
      <w:r w:rsidRPr="00E72B02">
        <w:t>, cuando el derecho a la justicia es denegado, el resultado es la “</w:t>
      </w:r>
      <w:r w:rsidRPr="00E72B02">
        <w:rPr>
          <w:i/>
        </w:rPr>
        <w:t>muerte civil</w:t>
      </w:r>
      <w:r w:rsidRPr="00E72B02">
        <w:t>” de la persona.</w:t>
      </w:r>
      <w:r w:rsidRPr="00E72B02">
        <w:rPr>
          <w:rStyle w:val="Refdenotaalpie"/>
        </w:rPr>
        <w:footnoteReference w:id="677"/>
      </w:r>
      <w:r w:rsidRPr="00E72B02">
        <w:t xml:space="preserve"> </w:t>
      </w:r>
    </w:p>
    <w:p w:rsidR="009716D2" w:rsidRPr="00E72B02" w:rsidRDefault="009716D2" w:rsidP="004551E9">
      <w:r w:rsidRPr="00E72B02">
        <w:t>Este derecho, en su doble vertiente (autónomo e instrumental), es un derecho humano fundamental, cuyo contenido esencial engloba el acceso efectivo de las personas “</w:t>
      </w:r>
      <w:r w:rsidRPr="00E72B02">
        <w:rPr>
          <w:i/>
        </w:rPr>
        <w:t>a los sistemas, procedimientos, información y lugares utilizados por la administración de justicia</w:t>
      </w:r>
      <w:r w:rsidRPr="00E72B02">
        <w:t>”.</w:t>
      </w:r>
      <w:r w:rsidRPr="00E72B02">
        <w:rPr>
          <w:rStyle w:val="Refdenotaalpie"/>
        </w:rPr>
        <w:footnoteReference w:id="678"/>
      </w:r>
      <w:r w:rsidRPr="00E72B02">
        <w:t xml:space="preserve"> </w:t>
      </w:r>
    </w:p>
    <w:p w:rsidR="009716D2" w:rsidRPr="00E72B02" w:rsidRDefault="009716D2" w:rsidP="004551E9">
      <w:r w:rsidRPr="00E72B02">
        <w:lastRenderedPageBreak/>
        <w:t>Dicho acceso efectivo no solo se refiere a la persona en su carácter de administrado, sino también para formar parte de dicha administración. Históricamente, las personas con discapacidad han visto denegado su acceso a la justicia y al igual tratamiento por parte de cortes, tribunales, operadores jurídicos, sistema penitenciario, y demás cuerpos involucrados en la administración de justicia. Ello no solo a la hora de querer acceder a la justicia buscando reparación, sino también a la hora de aspirar a posiciones tales como jueces y demás actores en el ámbito de la administración de justicia.  De este modo, diferentes barreras no solo limitan la posibilidad de utilizar el sistema de justicia por parte de las personas con discapacidad, sino que también limitan y/o impiden su posibilidad de contribuir a la administración de justicia, a la sociedad y a la comunidad.</w:t>
      </w:r>
    </w:p>
    <w:p w:rsidR="009716D2" w:rsidRPr="00E72B02" w:rsidRDefault="009716D2" w:rsidP="004551E9">
      <w:r w:rsidRPr="00E72B02">
        <w:t xml:space="preserve">En relación con el ejercicio de la capacidad jurídica, el modelo vigente de incapacidad y el nombramiento de un tutor genera automáticamente la falta de legitimación procesal, lo que en esencia, no es más que la denegación de un derecho fundamental fuertemente resguardado y garantizado en la inmensa mayoría de los sistemas constitucionales, esto es, el derecho a la tutela judicial efectiva. Es cierto que el sistema tutelar permite al tutor o representante legal accionar en nombre del incapaz, pero en rigor la persona depende total y exclusivamente en la voluntad o buena fe de su tutor para tener un acceso efectivo a la justicia, lo cual puede resultar particularmente complicado cuando lo que se pretende es acceder a la justicia por diferencias o problemas entre tutor y tutelado. Asimismo, en el ámbito penal, las personas con discapacidad también enfrentar serios problemas de legitimación procesal y de ejercicio del derecho de defensa desde el momento en que son declaradas inimputables para la ley penal. </w:t>
      </w:r>
    </w:p>
    <w:p w:rsidR="009716D2" w:rsidRPr="00E72B02" w:rsidRDefault="009716D2" w:rsidP="004551E9">
      <w:r w:rsidRPr="00E72B02">
        <w:t xml:space="preserve">El artículo 13(1) de la CDPD establece que: </w:t>
      </w:r>
    </w:p>
    <w:p w:rsidR="009716D2" w:rsidRPr="00E72B02" w:rsidRDefault="009716D2" w:rsidP="004551E9">
      <w:pPr>
        <w:pStyle w:val="Cita"/>
      </w:pPr>
      <w:r w:rsidRPr="00E72B02">
        <w:t xml:space="preserve">“Los Estados Partes asegurarán que las personas con discapacidad tengan acceso a la justicia en igualdad de condiciones con las demás, incluso mediante ajustes de </w:t>
      </w:r>
      <w:r w:rsidRPr="00E72B02">
        <w:lastRenderedPageBreak/>
        <w:t>procedimiento y adecuados a la edad, para facilitar el desempeño de las funciones efectivas de esas personas como participantes directos e indirectos, incluida la declaración como testigos, en todos los procedimientos judiciales, con inclusión de la etapa de investigación y otras etapas preliminares”</w:t>
      </w:r>
    </w:p>
    <w:p w:rsidR="009716D2" w:rsidRPr="00E72B02" w:rsidRDefault="009716D2" w:rsidP="004551E9">
      <w:pPr>
        <w:rPr>
          <w:lang w:val="es-MX"/>
        </w:rPr>
      </w:pPr>
      <w:r w:rsidRPr="00E72B02">
        <w:rPr>
          <w:lang w:val="es-MX"/>
        </w:rPr>
        <w:t>En ámbito de la competencia civil (lo que engloba todas aquellas instancias no que sean del fuero penal, como el laboral o social, familia, mercantil, o administrativo), el artículo 12(2) en conexión con el artículo 13(1) y con el objeto de</w:t>
      </w:r>
      <w:r w:rsidRPr="00E72B02">
        <w:rPr>
          <w:lang w:val="es-ES"/>
        </w:rPr>
        <w:t xml:space="preserve"> garantizar el efectivo acceso a la justicia de las personas con discapacidad, es necesario reconocer su capacidad “</w:t>
      </w:r>
      <w:r w:rsidRPr="00E72B02">
        <w:rPr>
          <w:i/>
          <w:lang w:val="es-ES"/>
        </w:rPr>
        <w:t>procesal</w:t>
      </w:r>
      <w:r w:rsidRPr="00E72B02">
        <w:rPr>
          <w:lang w:val="es-ES"/>
        </w:rPr>
        <w:t>” para intervenir activamente en todas las fases de los procedimientos judiciales estableciéndose para ello los ajustes que puedan resultar necesarios y, por tanto, en este ámbito han de operar también los mecanismos de apoyo –artículo 12(3)-.</w:t>
      </w:r>
      <w:r w:rsidRPr="00E72B02">
        <w:rPr>
          <w:rStyle w:val="Refdenotaalpie"/>
          <w:lang w:val="es-ES"/>
        </w:rPr>
        <w:footnoteReference w:id="679"/>
      </w:r>
      <w:r w:rsidRPr="00E72B02">
        <w:rPr>
          <w:lang w:val="es-ES"/>
        </w:rPr>
        <w:t xml:space="preserve"> En este sentido, deben eliminarse todas las trabas legales que niegan a las personas con discapacidad su actuación como partes plenas en los procesos judiciales y establecerse las medidas positivas necesarias </w:t>
      </w:r>
      <w:r w:rsidRPr="00E72B02">
        <w:rPr>
          <w:lang w:val="es-ES"/>
        </w:rPr>
        <w:lastRenderedPageBreak/>
        <w:t>que faciliten su participación.</w:t>
      </w:r>
      <w:r w:rsidRPr="00E72B02">
        <w:rPr>
          <w:rStyle w:val="Refdenotaalpie"/>
        </w:rPr>
        <w:footnoteReference w:id="680"/>
      </w:r>
      <w:r w:rsidRPr="00E72B02">
        <w:t xml:space="preserve"> </w:t>
      </w:r>
      <w:r w:rsidRPr="00E72B02">
        <w:rPr>
          <w:lang w:val="es-ES"/>
        </w:rPr>
        <w:t>Pero, además, la combinación entre estos dos artículos obliga a revisar aquellas legislaciones que consideran que algunas “</w:t>
      </w:r>
      <w:r w:rsidRPr="00E72B02">
        <w:rPr>
          <w:i/>
          <w:lang w:val="es-ES"/>
        </w:rPr>
        <w:t>deficiencias</w:t>
      </w:r>
      <w:r w:rsidRPr="00E72B02">
        <w:rPr>
          <w:lang w:val="es-ES"/>
        </w:rPr>
        <w:t>” suponen la falta de capacidad para actuar como testigos, jurados o como profesionales en el ámbito de la administración de justicia.</w:t>
      </w:r>
      <w:r w:rsidRPr="00E72B02">
        <w:rPr>
          <w:rStyle w:val="Refdenotaalpie"/>
          <w:lang w:val="es-ES"/>
        </w:rPr>
        <w:footnoteReference w:id="681"/>
      </w:r>
    </w:p>
    <w:p w:rsidR="009716D2" w:rsidRPr="00E72B02" w:rsidRDefault="009716D2" w:rsidP="004551E9">
      <w:r w:rsidRPr="00E72B02">
        <w:t xml:space="preserve">Como señala </w:t>
      </w:r>
      <w:r w:rsidRPr="00E72B02">
        <w:rPr>
          <w:caps/>
        </w:rPr>
        <w:t>Cisternas</w:t>
      </w:r>
      <w:r w:rsidRPr="00E72B02">
        <w:t>,</w:t>
      </w:r>
      <w:r w:rsidRPr="00E72B02">
        <w:rPr>
          <w:rStyle w:val="Refdenotaalpie"/>
        </w:rPr>
        <w:footnoteReference w:id="682"/>
      </w:r>
      <w:r w:rsidRPr="00E72B02">
        <w:t xml:space="preserve"> el verbo rector utilizado es “</w:t>
      </w:r>
      <w:r w:rsidRPr="00E72B02">
        <w:rPr>
          <w:i/>
        </w:rPr>
        <w:t>asegurar</w:t>
      </w:r>
      <w:r w:rsidRPr="00E72B02">
        <w:t xml:space="preserve">”, lo que implica que la garantía obliga a los Estados Partes a realizar todo lo necesario para que el sujeto de derecho pueda acceder a las distintas fases de conocimiento, consideración y juzgamiento que envuelve un proceso judicial. Por un lado esta prescripción impera particularmente a la aplicación del principio de accesibilidad y sus disposiciones de implementación. Ello obliga tanto a la eliminación de barreras como al diseño de políticas y medidas que den cobertura a tal mandato, significando tribunales cuya infraestructura, distribución de sus espacios, mobiliarios, instalaciones y </w:t>
      </w:r>
      <w:r w:rsidRPr="00E72B02">
        <w:lastRenderedPageBreak/>
        <w:t>señalizaciones estén acordes a la exigencia actual, de igual modo que la información, las comunicaciones, la tecnología y también el transporte a través del cual se llega a los recintos judiciales y policiales. También se hace aplicable la asistencia humana o animal e intermediarios, incluidos guías, lectores e intérpretes profesionales de la lengua de señas, para facilitar el acceso a los juzgados y cortes.</w:t>
      </w:r>
    </w:p>
    <w:p w:rsidR="009716D2" w:rsidRPr="00E72B02" w:rsidRDefault="009716D2" w:rsidP="004551E9">
      <w:r w:rsidRPr="00E72B02">
        <w:t>Por ello, se podría afirmar que la noción de acceso a la justicia del artículo 13 de la CDPD se proyecta en al menos tres dimensiones, esto es, legal, física, y comunicacional.</w:t>
      </w:r>
      <w:r w:rsidRPr="00E72B02">
        <w:rPr>
          <w:rStyle w:val="Refdenotaalpie"/>
        </w:rPr>
        <w:footnoteReference w:id="683"/>
      </w:r>
      <w:r w:rsidRPr="00E72B02">
        <w:t xml:space="preserve"> En lo que respecta a la dimensión legal, los Estados Partes deben asegurar que todas las personas con discapacidad tengan legitimación activa y pasiva para acceder efectivamente a los procedimientos judiciales en nombre propio. Esto se vincula directamente con el artículo 12 sobre la igualdad en el ejercicio de la capacidad jurídica.</w:t>
      </w:r>
      <w:r w:rsidRPr="00E72B02">
        <w:rPr>
          <w:rStyle w:val="Refdenotaalpie"/>
        </w:rPr>
        <w:footnoteReference w:id="684"/>
      </w:r>
      <w:r w:rsidRPr="00E72B02">
        <w:t xml:space="preserve"> En la dimensión física, los Estados Partes deberán asegurar que las instalaciones judiciales o las oficinas públicas de reclamación de derechos, sea accesibles a las personas con discapacidad. Esto se vincula directamente con el artículo 9 sobre accesibilidad.</w:t>
      </w:r>
      <w:r w:rsidRPr="00E72B02">
        <w:rPr>
          <w:rStyle w:val="Refdenotaalpie"/>
        </w:rPr>
        <w:footnoteReference w:id="685"/>
      </w:r>
      <w:r w:rsidRPr="00E72B02">
        <w:t xml:space="preserve"> Finalmente en lo que respecta a la dimensión comunicacional, los Estados Partes deberán asegurar que toda la información relevante que se provea en el curso de un proceso judicial sea accesible para las personas con discapacidad en formatos alternativos de comunicación. Esto se vincula directamente con los artículos 2 y 21.</w:t>
      </w:r>
      <w:r w:rsidRPr="00E72B02">
        <w:rPr>
          <w:rStyle w:val="Refdenotaalpie"/>
        </w:rPr>
        <w:footnoteReference w:id="686"/>
      </w:r>
      <w:r w:rsidRPr="00E72B02">
        <w:t xml:space="preserve"> </w:t>
      </w:r>
    </w:p>
    <w:p w:rsidR="009716D2" w:rsidRPr="00E72B02" w:rsidRDefault="009716D2" w:rsidP="004551E9">
      <w:r w:rsidRPr="00E72B02">
        <w:t xml:space="preserve">En este sentido, el TEDH en el caso </w:t>
      </w:r>
      <w:r w:rsidRPr="00E72B02">
        <w:rPr>
          <w:i/>
        </w:rPr>
        <w:t>Stanev v. Bulgaria</w:t>
      </w:r>
      <w:r w:rsidRPr="00E72B02">
        <w:t xml:space="preserve"> en el cual el peticionante –una persona con discapacidad mental- demandó al Estado </w:t>
      </w:r>
      <w:r w:rsidRPr="00E72B02">
        <w:lastRenderedPageBreak/>
        <w:t>Búlgaro debido a que este no le permitió cuestionar una medida judicial de institucionalización en un centro psiquiátrico, sostuvo que “</w:t>
      </w:r>
      <w:r w:rsidRPr="00E72B02">
        <w:rPr>
          <w:i/>
        </w:rPr>
        <w:t>que el Estado sí violó el artículo 6.1 de la CEDH en tanto incumplió con su obligación de establecer recursos judiciales que sean accesibles a cualquier persona, incluida a aquellas con discapacidad mental que hayan sido declaradas incapaces relativas</w:t>
      </w:r>
      <w:r w:rsidRPr="00E72B02">
        <w:t>”.</w:t>
      </w:r>
      <w:r w:rsidRPr="00E72B02">
        <w:rPr>
          <w:rStyle w:val="Refdenotaalpie"/>
          <w:lang w:val="es-ES"/>
        </w:rPr>
        <w:footnoteReference w:id="687"/>
      </w:r>
      <w:r w:rsidRPr="00E72B02">
        <w:t xml:space="preserve"> En un mismo sentido también se ha manifestado el Tribunal Constitucional español al señalar que el derecho del presunto incapaz de expresar su voluntad en el proceso y que se le garantice su derecho de tutela y defensa efectiva también se aplica respecto en el marco de un proceso de incapacitación.</w:t>
      </w:r>
      <w:r w:rsidRPr="00E72B02">
        <w:rPr>
          <w:rStyle w:val="Refdenotaalpie"/>
          <w:lang w:val="es-ES"/>
        </w:rPr>
        <w:footnoteReference w:id="688"/>
      </w:r>
      <w:r w:rsidRPr="00E72B02">
        <w:t xml:space="preserve"> </w:t>
      </w:r>
    </w:p>
    <w:p w:rsidR="009716D2" w:rsidRPr="00E72B02" w:rsidRDefault="009716D2" w:rsidP="004551E9">
      <w:pPr>
        <w:rPr>
          <w:lang w:val="es-MX"/>
        </w:rPr>
      </w:pPr>
      <w:r w:rsidRPr="00E72B02">
        <w:rPr>
          <w:lang w:val="es-MX"/>
        </w:rPr>
        <w:t>En el ámbito del proceso penal, la conexión ente el artículo 12(2) y el artículo 13(1) también conlleva importantes consecuencias frente a modelo predominante de inimputabilidad penal. Como ha afirmado el Alto Comisionado de las Naciones Unidas para los Derechos Humanos: “…</w:t>
      </w:r>
      <w:r w:rsidRPr="00E72B02">
        <w:rPr>
          <w:i/>
          <w:lang w:val="es-MX"/>
        </w:rPr>
        <w:t xml:space="preserve">en el ámbito del derecho penal, el reconocimiento de la capacidad jurídica de las personas con discapacidad lleva a suprimir la circunstancia eximente de la responsabilidad penal constituida por la discapacidad mental o intelectual.  Por consiguiente, al examinar el elemento subjetivo del delito, se debe </w:t>
      </w:r>
      <w:r w:rsidRPr="00E72B02">
        <w:rPr>
          <w:i/>
          <w:lang w:val="es-MX"/>
        </w:rPr>
        <w:lastRenderedPageBreak/>
        <w:t>prescindir de la discapacidad y atender a la situación concreta del autor. De conformidad con el artículo 13 de la Convención, tal vez sea necesario retocar las normas procesales referidas, tanto a la fase de instrucción como al juicio, y ponerlas en práctica</w:t>
      </w:r>
      <w:r w:rsidRPr="00E72B02">
        <w:rPr>
          <w:lang w:val="es-MX"/>
        </w:rPr>
        <w:t>”.</w:t>
      </w:r>
      <w:r w:rsidRPr="00E72B02">
        <w:rPr>
          <w:rStyle w:val="Refdenotaalpie"/>
          <w:lang w:val="es-MX"/>
        </w:rPr>
        <w:footnoteReference w:id="689"/>
      </w:r>
    </w:p>
    <w:p w:rsidR="009716D2" w:rsidRPr="00E72B02" w:rsidRDefault="009716D2" w:rsidP="004551E9">
      <w:pPr>
        <w:rPr>
          <w:lang w:val="es-MX"/>
        </w:rPr>
      </w:pPr>
      <w:r w:rsidRPr="00E72B02">
        <w:rPr>
          <w:lang w:val="es-MX"/>
        </w:rPr>
        <w:t>La noción de inimputabilidad penal</w:t>
      </w:r>
      <w:r w:rsidRPr="00E72B02">
        <w:rPr>
          <w:rStyle w:val="Refdenotaalpie"/>
          <w:lang w:val="es-MX"/>
        </w:rPr>
        <w:footnoteReference w:id="690"/>
      </w:r>
      <w:r w:rsidRPr="00E72B02">
        <w:rPr>
          <w:lang w:val="es-MX"/>
        </w:rPr>
        <w:t xml:space="preserve"> plantea al menos dos aspectos conflictivos en relación con la aplicación de los artículos 12(2) y 13(1) de la CDPD. </w:t>
      </w:r>
    </w:p>
    <w:p w:rsidR="009716D2" w:rsidRPr="00E72B02" w:rsidRDefault="009716D2" w:rsidP="004551E9">
      <w:pPr>
        <w:rPr>
          <w:lang w:val="es-MX"/>
        </w:rPr>
      </w:pPr>
      <w:r w:rsidRPr="00E72B02">
        <w:rPr>
          <w:lang w:val="es-MX"/>
        </w:rPr>
        <w:t>En primer lugar, en relación con la propia naturaleza jurídica de la noción de inimputabilidad penal ya que si el artículo 12(2) establece que todas las personas con discapacidad pueden comprender las consecuencias de sus acciones, con la debida asistencia o ajustes razonables, entonces por analogía también deberían poder ser responsables de sus acciones en el ámbito delictivo en igualdad de condiciones con los demás. Esto supone que la existencia de una deficiencia, como puede ser una psicosis, no debería ser razón suficiente para determinar que la persona no ha podido comprender la antijuridicidad el acto. Al igual que sucede en el ámbito de la incapacitación civil, la evaluación de las capacidades de la persona se remiten a criterios estrictamente médicos que generan el efecto del etiquetamiento y la evaluación sobre la base de la deficiencia personal y no respecto de las circunstancias personales, sociales o contextuales de la persona.</w:t>
      </w:r>
      <w:r w:rsidRPr="00E72B02">
        <w:rPr>
          <w:rStyle w:val="Refdenotaalpie"/>
          <w:lang w:val="es-MX"/>
        </w:rPr>
        <w:footnoteReference w:id="691"/>
      </w:r>
      <w:r w:rsidRPr="00E72B02">
        <w:rPr>
          <w:lang w:val="es-MX"/>
        </w:rPr>
        <w:t xml:space="preserve"> No </w:t>
      </w:r>
      <w:r w:rsidRPr="00E72B02">
        <w:rPr>
          <w:lang w:val="es-MX"/>
        </w:rPr>
        <w:lastRenderedPageBreak/>
        <w:t xml:space="preserve">obstante, y tal como señala el </w:t>
      </w:r>
      <w:r w:rsidRPr="00E72B02">
        <w:rPr>
          <w:caps/>
          <w:lang w:val="es-MX"/>
        </w:rPr>
        <w:t>O’Mahony</w:t>
      </w:r>
      <w:r w:rsidRPr="00E72B02">
        <w:rPr>
          <w:lang w:val="es-MX"/>
        </w:rPr>
        <w:t xml:space="preserve"> el análisis de la relación entre la perspectiva de la discapacidad desde la mirada de los derechos humanos y la institución de la inimputabilidad penal no ha sido aun debidamente explorada.</w:t>
      </w:r>
      <w:r w:rsidRPr="00E72B02">
        <w:rPr>
          <w:rStyle w:val="Refdenotaalpie"/>
          <w:lang w:val="es-MX"/>
        </w:rPr>
        <w:footnoteReference w:id="692"/>
      </w:r>
      <w:r w:rsidRPr="00E72B02">
        <w:rPr>
          <w:lang w:val="es-MX"/>
        </w:rPr>
        <w:t xml:space="preserve"> </w:t>
      </w:r>
    </w:p>
    <w:p w:rsidR="009716D2" w:rsidRPr="00E72B02" w:rsidRDefault="009716D2" w:rsidP="004551E9">
      <w:pPr>
        <w:rPr>
          <w:lang w:val="es-MX"/>
        </w:rPr>
      </w:pPr>
      <w:r w:rsidRPr="00E72B02">
        <w:rPr>
          <w:lang w:val="es-MX"/>
        </w:rPr>
        <w:t xml:space="preserve">En segundo lugar la noción de inimputabilidad penal plantea serios conflictos respecto del derecho de defensa de la persona con discapacidad, así como respecto del principio de </w:t>
      </w:r>
      <w:r w:rsidRPr="00E72B02">
        <w:rPr>
          <w:i/>
          <w:lang w:val="es-MX"/>
        </w:rPr>
        <w:t>nullum crime sine poena</w:t>
      </w:r>
      <w:r w:rsidRPr="00E72B02">
        <w:rPr>
          <w:lang w:val="es-MX"/>
        </w:rPr>
        <w:t xml:space="preserve">. En este punto, el impacto de los artículos 12(2) y 13(1), a lo que se podría añadir el artículo 14(1)(b), resultan mucho más claros y contundentes. Lejos de operar como un mecanismo protector de los derechos de las personas con discapacidad mental o intelectual, la declaración de inimputabilidad priva a la persona de un derecho de defensa adecuado, y no permite acceder a la instancia probatoria que eventualmente podría acreditar su inocencia. Desde un punto de vista procesal la declaración de inimputabilidad se lleva a cabo de forma previa a la etapa probatoria y convierte el proceso penal, en una especie de instancia de verificación de la deficiencia en la cual el principio de legalidad se hace a un lado para dar entrada al dictamen médico que acreditará si la persona puede o no ser declarada inimputable. </w:t>
      </w:r>
    </w:p>
    <w:p w:rsidR="009716D2" w:rsidRPr="00E72B02" w:rsidRDefault="009716D2" w:rsidP="004551E9">
      <w:pPr>
        <w:rPr>
          <w:lang w:val="es-MX"/>
        </w:rPr>
      </w:pPr>
      <w:r w:rsidRPr="00E72B02">
        <w:rPr>
          <w:lang w:val="es-MX"/>
        </w:rPr>
        <w:t xml:space="preserve">Pero unido a lo anterior, los efectos negativos de la inimputabilidad en los derechos de las personas con discapacidad también se proyectan hacia el ámbito punitivo, ya que la persona puede ser pasible de lo que se denomina </w:t>
      </w:r>
      <w:r w:rsidRPr="00E72B02">
        <w:rPr>
          <w:lang w:val="es-MX"/>
        </w:rPr>
        <w:lastRenderedPageBreak/>
        <w:t xml:space="preserve">como una “medida de seguridad” que puede suponer una privación de la libertad de persona. Es decir que no hay delito, no hay culpabilidad, pero hay pena privativa de libertad. Obviamente desde una mirada basada en el modelo médico de la discapacidad y que considera el internamiento como una medida protectora de la persona, no se vería a la medida de seguridad como una pena en el sentido de menoscabar el principio de </w:t>
      </w:r>
      <w:r w:rsidRPr="00E72B02">
        <w:rPr>
          <w:i/>
          <w:lang w:val="es-MX"/>
        </w:rPr>
        <w:t>nullum crime sine poena</w:t>
      </w:r>
      <w:r w:rsidRPr="00E72B02">
        <w:rPr>
          <w:lang w:val="es-MX"/>
        </w:rPr>
        <w:t>. Pero lo cierto es que, en rigor, la medida de seguridad ordenada frente a un caso de inimputabilidad penal en detrimento de una persona que tiene discapacidad mental o intelectual puede ser un claro ejemplo de “privación de la libertad por motivo de discapacidad” que claramente prohíbe el artículo 14(1)(b) de la CDPD.</w:t>
      </w:r>
    </w:p>
    <w:p w:rsidR="009716D2" w:rsidRPr="009443FC" w:rsidRDefault="009716D2" w:rsidP="004551E9">
      <w:pPr>
        <w:rPr>
          <w:b/>
          <w:lang w:val="es-MX"/>
        </w:rPr>
      </w:pPr>
    </w:p>
    <w:p w:rsidR="009716D2" w:rsidRPr="009443FC" w:rsidRDefault="009716D2" w:rsidP="00A57374">
      <w:pPr>
        <w:pStyle w:val="TTULO12"/>
        <w:rPr>
          <w:b/>
        </w:rPr>
      </w:pPr>
      <w:r w:rsidRPr="009443FC">
        <w:rPr>
          <w:b/>
        </w:rPr>
        <w:t xml:space="preserve">5.4.5.2 Capacidad Jurídica y Protección de la Libertad </w:t>
      </w:r>
    </w:p>
    <w:p w:rsidR="009716D2" w:rsidRPr="00E72B02" w:rsidRDefault="009716D2" w:rsidP="004551E9">
      <w:pPr>
        <w:rPr>
          <w:lang w:val="es-MX"/>
        </w:rPr>
      </w:pPr>
    </w:p>
    <w:p w:rsidR="009716D2" w:rsidRPr="00E72B02" w:rsidRDefault="009716D2" w:rsidP="004551E9">
      <w:pPr>
        <w:rPr>
          <w:lang w:val="es-MX"/>
        </w:rPr>
      </w:pPr>
      <w:r w:rsidRPr="00E72B02">
        <w:t>En segundo lugar el artículo 12(2) tiene un fuerte impacto en relación con el artículo</w:t>
      </w:r>
      <w:r w:rsidRPr="00E72B02">
        <w:rPr>
          <w:lang w:val="es-MX"/>
        </w:rPr>
        <w:t xml:space="preserve"> 14, en especial respecto del inciso (1)(b). El internamiento involuntario de personas con discapacidad en centros psiquiátricos es una práctica generalizada y aceptada por prácticamente todas las legislaciones domésticas, pese a que el propio sistema reconoce que, en esencia, se trata de una privación de la libertad. Una vez más, el modelo de social y el reconocimiento del derecho al ejercicio de la capacidad jurídica se conjugan para cuestionar seriamente esta práctica, y al menos revisar su viabilidad desde la perspectiva de la CDPD. </w:t>
      </w:r>
    </w:p>
    <w:p w:rsidR="009716D2" w:rsidRPr="00E72B02" w:rsidRDefault="009716D2" w:rsidP="004551E9">
      <w:pPr>
        <w:rPr>
          <w:lang w:val="es-MX"/>
        </w:rPr>
      </w:pPr>
      <w:r w:rsidRPr="00E72B02">
        <w:rPr>
          <w:lang w:val="es-MX"/>
        </w:rPr>
        <w:t xml:space="preserve">El artículo 14 de la CDPD establece que: </w:t>
      </w:r>
    </w:p>
    <w:p w:rsidR="009716D2" w:rsidRPr="00E72B02" w:rsidRDefault="009716D2" w:rsidP="004551E9">
      <w:pPr>
        <w:pStyle w:val="Cita"/>
        <w:rPr>
          <w:lang w:val="es-MX"/>
        </w:rPr>
      </w:pPr>
      <w:r w:rsidRPr="00E72B02">
        <w:rPr>
          <w:lang w:val="es-MX"/>
        </w:rPr>
        <w:t>“…1) Los Estados Partes asegurarán que las personas con discapacidad, en igualdad de condiciones con las demás:</w:t>
      </w:r>
    </w:p>
    <w:p w:rsidR="009716D2" w:rsidRPr="00E72B02" w:rsidRDefault="009716D2" w:rsidP="004551E9">
      <w:pPr>
        <w:pStyle w:val="Cita"/>
        <w:rPr>
          <w:lang w:val="es-MX"/>
        </w:rPr>
      </w:pPr>
      <w:r w:rsidRPr="00E72B02">
        <w:rPr>
          <w:lang w:val="es-MX"/>
        </w:rPr>
        <w:t>a) Disfruten del derecho a la libertad y seguridad de la persona;</w:t>
      </w:r>
    </w:p>
    <w:p w:rsidR="009716D2" w:rsidRPr="00E72B02" w:rsidRDefault="009716D2" w:rsidP="004551E9">
      <w:pPr>
        <w:pStyle w:val="Cita"/>
        <w:rPr>
          <w:lang w:val="es-MX"/>
        </w:rPr>
      </w:pPr>
      <w:r w:rsidRPr="00E72B02">
        <w:rPr>
          <w:lang w:val="es-MX"/>
        </w:rPr>
        <w:t xml:space="preserve">b) No se vean privadas de su libertad ilegal o arbitrariamente y que cualquier privación de libertad sea de conformidad con la </w:t>
      </w:r>
      <w:r w:rsidRPr="00E72B02">
        <w:rPr>
          <w:lang w:val="es-MX"/>
        </w:rPr>
        <w:lastRenderedPageBreak/>
        <w:t>ley, y que la existencia de una discapacidad no justifique en ningún caso una privación de la libertad.</w:t>
      </w:r>
    </w:p>
    <w:p w:rsidR="009716D2" w:rsidRPr="00E72B02" w:rsidRDefault="009716D2" w:rsidP="004551E9">
      <w:pPr>
        <w:pStyle w:val="Cita"/>
        <w:rPr>
          <w:lang w:val="es-MX"/>
        </w:rPr>
      </w:pPr>
      <w:r w:rsidRPr="00E72B02">
        <w:rPr>
          <w:lang w:val="es-MX"/>
        </w:rPr>
        <w:t xml:space="preserve">2) Los Estados Partes asegurarán que las personas con discapacidad que se vean privadas de su libertad en razón de un proceso tengan, en igualdad de condiciones con las demás, derecho a garantías de conformidad con el derecho internacional de los derechos humanos y a ser tratadas de conformidad con los objetivos y principios de la presente Convención, incluida la realización de ajustes razonables”.  </w:t>
      </w:r>
    </w:p>
    <w:p w:rsidR="009716D2" w:rsidRPr="00E72B02" w:rsidRDefault="009716D2" w:rsidP="004551E9">
      <w:r w:rsidRPr="00E72B02">
        <w:t>Esta disposición claramente apunta a garantizar que las personas con discapacidad no se vean confinadas a instituciones o centros de régimen cerrado en razón de su discapacidad, y debe leerse en conexión con el artículo 19 relativo al derecho a vivir de forma independiente y a ser incluido en la comunidad. Ahora bien, si el derecho a vivir de forma independiente y a ser incluido en la comunidad, que a su vez se encuentra reforzado por una garantía de no privación de la libertad por motivo de discapacidad, no es acompañado del reconocimiento al ejercicio de la capacidad jurídica, la persona queda completamente vulnerable a la decisión de su representante legal que será quien decida sobre un derecho inalienable y personalísimo como este.</w:t>
      </w:r>
    </w:p>
    <w:p w:rsidR="009716D2" w:rsidRPr="00E72B02" w:rsidRDefault="009716D2" w:rsidP="004551E9">
      <w:r w:rsidRPr="00E72B02">
        <w:t>El artículo 14 no prohíbe al Estado la posibilidad de ingresar involuntariamente a personas para tratamientos médicos, pero si prohíbe que dichas medidas se apliquen por “motivo de discapacidad”, es decir, exclusivamente respecto de personas con discapacidad.</w:t>
      </w:r>
      <w:r w:rsidRPr="00E72B02">
        <w:rPr>
          <w:rStyle w:val="Refdenotaalpie"/>
          <w:lang w:val="es-ES"/>
        </w:rPr>
        <w:footnoteReference w:id="693"/>
      </w:r>
      <w:r w:rsidRPr="00E72B02">
        <w:t xml:space="preserve"> El modelo </w:t>
      </w:r>
      <w:r w:rsidRPr="00E72B02">
        <w:lastRenderedPageBreak/>
        <w:t xml:space="preserve">imperante en las legislaciones domésticas establece un régimen diferenciado para la privación legítima de la libertad entre personas con y sin discapacidad, tanto en el ámbito civil como en el ámbito penal. En el ámbito penal, como se ha visto más arriba, el sistema establece una diferenciación entre imputables e inimputables, y en el ámbito civil, restringe las medidas de internamiento forzoso exclusivamente respecto de personas con discapacidad.   </w:t>
      </w:r>
    </w:p>
    <w:p w:rsidR="009716D2" w:rsidRPr="00E72B02" w:rsidRDefault="009716D2" w:rsidP="004551E9">
      <w:pPr>
        <w:rPr>
          <w:kern w:val="24"/>
          <w:lang w:eastAsia="es-AR"/>
        </w:rPr>
      </w:pPr>
      <w:r w:rsidRPr="00E72B02">
        <w:t xml:space="preserve">Ahora bien, el modelo imperante en materia de internamiento forzoso se basa en dos premisas, esto es, que existe una enfermedad o trastorno psíquico que requiere de atención médica, y que la persona no puede decidir por sí misma a raíz de dicho trastorno o enfermedad. A su vez se suele justificar el internamiento (a veces de modo explícito y otras de modo implícito) por los siguientes tres motivos: i) </w:t>
      </w:r>
      <w:r w:rsidRPr="00E72B02">
        <w:rPr>
          <w:kern w:val="24"/>
          <w:lang w:eastAsia="es-AR"/>
        </w:rPr>
        <w:t>riesgo grave para la salud de la persona; ii) riesgo grave de agresividad social; o iii) grave disminución de la autonomía personal.</w:t>
      </w:r>
      <w:r w:rsidRPr="00E72B02">
        <w:rPr>
          <w:rStyle w:val="Refdenotaalpie"/>
          <w:kern w:val="24"/>
          <w:lang w:val="es-ES" w:eastAsia="es-AR"/>
        </w:rPr>
        <w:footnoteReference w:id="694"/>
      </w:r>
      <w:r w:rsidRPr="00E72B02">
        <w:rPr>
          <w:kern w:val="24"/>
          <w:lang w:eastAsia="es-AR"/>
        </w:rPr>
        <w:t xml:space="preserve"> </w:t>
      </w:r>
    </w:p>
    <w:p w:rsidR="009716D2" w:rsidRPr="00E72B02" w:rsidRDefault="009716D2" w:rsidP="004551E9">
      <w:r w:rsidRPr="00E72B02">
        <w:rPr>
          <w:kern w:val="24"/>
          <w:lang w:eastAsia="es-AR"/>
        </w:rPr>
        <w:lastRenderedPageBreak/>
        <w:t xml:space="preserve">Desde el prisma de la CDPD, y más concretamente desde la interacción de los  artículos 12 y </w:t>
      </w:r>
      <w:r w:rsidRPr="00E72B02">
        <w:t>14, el esquema señalado queda seriamente cuestionado y requiere una revisión.</w:t>
      </w:r>
      <w:r w:rsidRPr="00E72B02">
        <w:rPr>
          <w:rStyle w:val="Refdenotaalpie"/>
          <w:lang w:val="es-ES"/>
        </w:rPr>
        <w:footnoteReference w:id="695"/>
      </w:r>
      <w:r w:rsidRPr="00E72B02">
        <w:t xml:space="preserve"> </w:t>
      </w:r>
    </w:p>
    <w:p w:rsidR="009716D2" w:rsidRPr="00E72B02" w:rsidRDefault="009716D2" w:rsidP="004551E9">
      <w:r w:rsidRPr="00E72B02">
        <w:t xml:space="preserve">En primer lugar la CDPD desmantela y desnuda las incongruencias y contradicciones de las dos premisas sobre las que se basa el modelo imperante. Recordemos que el test que debemos aplicar al presente caso es el de la “no discriminación por motivo de discapacidad” y todo ello en virtud de los conceptos de discriminación por motivo de discapacidad y de persona con discapacidad que recoge la CDPD. </w:t>
      </w:r>
    </w:p>
    <w:p w:rsidR="009716D2" w:rsidRPr="00E72B02" w:rsidRDefault="009716D2" w:rsidP="004551E9">
      <w:r w:rsidRPr="00E72B02">
        <w:t xml:space="preserve">Por ello, si la razón de la medida de internamiento es la aplicación de un tratamiento médico que se considera necesario para la salud de la persona (es decir por el propio bien de la persona) por encima de su propia voluntad (resulta indistinto de la voluntad sea negativa o inexistente), ¿Cuál es la razón para distinguir entre personas con o sin discapacidad, o lo que es lo mismo, entre personas con o sin trastornos psíquicos? Y la respuesta la encontraremos una vez más en el modelo médico de la discapacidad que parte del prejuicio y del estigma de la “locura” como un elemento de verificación y tratamiento médico por encima de cualquier consideración personal. Si analizamos un poco las legislaciones vigentes, y más precisamente la práctica procesal, podremos corroborar que el proceso de internamiento se reduce a verificar mediante un dictamen médico que </w:t>
      </w:r>
      <w:r w:rsidRPr="00E72B02">
        <w:lastRenderedPageBreak/>
        <w:t>acredita las dos premisas sobre las que se basa el modelo (trastorno psíquico e incapacidad de decidir).</w:t>
      </w:r>
      <w:r w:rsidRPr="00E72B02">
        <w:rPr>
          <w:rStyle w:val="Refdenotaalpie"/>
          <w:lang w:val="es-ES"/>
        </w:rPr>
        <w:footnoteReference w:id="696"/>
      </w:r>
      <w:r w:rsidRPr="00E72B02">
        <w:t xml:space="preserve"> </w:t>
      </w:r>
    </w:p>
    <w:p w:rsidR="009716D2" w:rsidRPr="00E72B02" w:rsidRDefault="009716D2" w:rsidP="004551E9">
      <w:r w:rsidRPr="00E72B02">
        <w:t xml:space="preserve">Ahora bien, si analizamos el modelo de internamiento desde la CDPD, resulta útil esclarecer las obligaciones del </w:t>
      </w:r>
      <w:r w:rsidR="0074119B" w:rsidRPr="00E72B02">
        <w:t>Estado Parte</w:t>
      </w:r>
      <w:r w:rsidRPr="00E72B02">
        <w:t xml:space="preserve"> desde las tres dimensiones o modalidades de obligaciones internacionales en materia de derechos humanos, esto es, respetar, proteger y satisfacer.</w:t>
      </w:r>
      <w:r w:rsidRPr="00E72B02">
        <w:rPr>
          <w:rStyle w:val="Refdenotaalpie"/>
          <w:lang w:val="es-ES"/>
        </w:rPr>
        <w:footnoteReference w:id="697"/>
      </w:r>
    </w:p>
    <w:p w:rsidR="009716D2" w:rsidRPr="00E72B02" w:rsidRDefault="009716D2" w:rsidP="004551E9">
      <w:r w:rsidRPr="00E72B02">
        <w:t>La obligación de respetar, que principalmente supone obligaciones de no hacer por parte del Estado, viene generada principalmente por el artículo 12(2) ya que iguala a las personas con discapacidad con aquellas sin discapacidad. Es decir, si todas las personas con discapacidad (incluidas las que puedan tener un “trastorno psíquico”) gozan de plena capacidad jurídica, esto es, capacidad de obrar y de tomar sus propias decisiones, entonces el elemento de la incapacidad se cae y solo nos queda centrarnos en el elemento médico o de salud. El artículo 12(2) prohíbe al Estado que  un representante legal, o incluso un juez, autorice un internamiento forzoso en nombre de la persona. En otras palabras aquí el Estado tiene que abstenerse de restringir la capacidad jurídica de las personas con discapacidad mediante la abolición de las leyes o prácticas que permiten que este tipo de decisiones sean tomadas por personas diferentes a la propia persona con discapacidad.</w:t>
      </w:r>
      <w:r w:rsidRPr="00E72B02">
        <w:rPr>
          <w:rStyle w:val="Refdenotaalpie"/>
          <w:lang w:val="es-ES"/>
        </w:rPr>
        <w:footnoteReference w:id="698"/>
      </w:r>
      <w:r w:rsidRPr="00E72B02">
        <w:t xml:space="preserve">  </w:t>
      </w:r>
    </w:p>
    <w:p w:rsidR="009716D2" w:rsidRPr="00E72B02" w:rsidRDefault="009716D2" w:rsidP="004551E9">
      <w:r w:rsidRPr="00E72B02">
        <w:lastRenderedPageBreak/>
        <w:t xml:space="preserve">La obligación de proteger, que principalmente supone obligaciones activas del Estado para garantizar que ninguno de sus agentes o terceros privados, violen dichas obligaciones, viene generada principalmente por el artículo 14(1)(b) ya que exige que ninguna persona con discapacidad se privada de su libertad por motivo de discapacidad. De nada sirve que el Estado garantice la capacidad de decidir de todas las personas con discapacidad, si al mismo tiempo, permite que una persona por motivo de una discapacidad mental pueda ser ingresada forzosamente en un centro psiquiátrico. Por ello, el artículo 14 de la CDPD también cuestiona seriamente la primera de las premisas del modelo imperante señaladas anteriormente, esto es, existencia de un trastorno psíquico que requiere de atención médica. </w:t>
      </w:r>
    </w:p>
    <w:p w:rsidR="009716D2" w:rsidRPr="00E72B02" w:rsidRDefault="009716D2" w:rsidP="004551E9">
      <w:pPr>
        <w:rPr>
          <w:kern w:val="24"/>
          <w:lang w:eastAsia="es-AR"/>
        </w:rPr>
      </w:pPr>
      <w:r w:rsidRPr="00E72B02">
        <w:t xml:space="preserve">Si eliminamos el elemento de capacidad y nos centramos en el elemento médico, el análisis se centraría entonces en determinar si un trastorno psíquico puede justificar un internamiento forzoso, y para evaluar esto es preciso indagar sobre los tres motivos o justificaciones que generalmente se sostienen desde el modelo imperante, esto es, i) </w:t>
      </w:r>
      <w:r w:rsidRPr="00E72B02">
        <w:rPr>
          <w:kern w:val="24"/>
          <w:lang w:eastAsia="es-AR"/>
        </w:rPr>
        <w:t xml:space="preserve">riesgo grave para la salud de la persona; ii) riesgo grave de agresividad social; o iii) grave disminución de la autonomía personal. </w:t>
      </w:r>
    </w:p>
    <w:p w:rsidR="009716D2" w:rsidRPr="00E72B02" w:rsidRDefault="009716D2" w:rsidP="004551E9">
      <w:pPr>
        <w:pStyle w:val="Prrafodelista"/>
      </w:pPr>
      <w:r w:rsidRPr="00E72B02">
        <w:t>Riesgo grave para la salud de la persona</w:t>
      </w:r>
    </w:p>
    <w:p w:rsidR="009716D2" w:rsidRPr="00E72B02" w:rsidRDefault="009716D2" w:rsidP="004551E9">
      <w:pPr>
        <w:rPr>
          <w:kern w:val="24"/>
          <w:lang w:eastAsia="es-AR"/>
        </w:rPr>
      </w:pPr>
      <w:r w:rsidRPr="00E72B02">
        <w:rPr>
          <w:kern w:val="24"/>
          <w:lang w:eastAsia="es-AR"/>
        </w:rPr>
        <w:t xml:space="preserve">Aunque la mayoría de las legislaciones vigentes establecen que los internamientos en centros psiquiátricos son de carácter temporal y deben tener un control judicial, la práctica demuestra que el nivel de recuperación de la libertad es muy excepcional. Las personas con discapacidad suelen ingresar a centro psiquiátricos de los que nunca volverán a salir, donde viven en condiciones de hacinamiento, donde la supuesta atención médica es muy deficiente, y donde el nivel de “saneamiento” (si es que ello existe) </w:t>
      </w:r>
      <w:r w:rsidRPr="00E72B02">
        <w:rPr>
          <w:kern w:val="24"/>
          <w:lang w:eastAsia="es-AR"/>
        </w:rPr>
        <w:lastRenderedPageBreak/>
        <w:t>es ciertamente mínimo, por no decir nulo. Es decir que el fin por el cual las personas ingresan a centro psiquiátricos se desvanece desde el momento que la persona pasa de la puerta de acceso, y los centros pasan a convertirse en depósito de personas no deseadas por la sociedad.</w:t>
      </w:r>
      <w:r w:rsidRPr="00E72B02">
        <w:rPr>
          <w:rStyle w:val="Refdenotaalpie"/>
          <w:kern w:val="24"/>
          <w:lang w:val="es-ES" w:eastAsia="es-AR"/>
        </w:rPr>
        <w:footnoteReference w:id="699"/>
      </w:r>
      <w:r w:rsidRPr="00E72B02">
        <w:rPr>
          <w:kern w:val="24"/>
          <w:lang w:eastAsia="es-AR"/>
        </w:rPr>
        <w:t xml:space="preserve"> Por ello, es preciso destacar que el ámbito de la salud mental se encuentra inmerso en un proceso que tiende a abandonar la técnica del internamiento psiquiátrico a favor de los tratamientos ambulatorios y del tratamiento comunitario.</w:t>
      </w:r>
      <w:r w:rsidRPr="00E72B02">
        <w:rPr>
          <w:rStyle w:val="Refdenotaalpie"/>
          <w:kern w:val="24"/>
          <w:lang w:val="es-ES" w:eastAsia="es-AR"/>
        </w:rPr>
        <w:footnoteReference w:id="700"/>
      </w:r>
      <w:r w:rsidRPr="00E72B02">
        <w:rPr>
          <w:kern w:val="24"/>
          <w:lang w:eastAsia="es-AR"/>
        </w:rPr>
        <w:t xml:space="preserve"> Este movimiento trasciende y precede a la propia CDPD y tiene fuertes raíces en el discurso de los derechos humanos.</w:t>
      </w:r>
      <w:r w:rsidRPr="00E72B02">
        <w:rPr>
          <w:rStyle w:val="Refdenotaalpie"/>
          <w:kern w:val="24"/>
          <w:lang w:val="es-ES" w:eastAsia="es-AR"/>
        </w:rPr>
        <w:footnoteReference w:id="701"/>
      </w:r>
      <w:r w:rsidRPr="00E72B02">
        <w:rPr>
          <w:kern w:val="24"/>
          <w:lang w:eastAsia="es-AR"/>
        </w:rPr>
        <w:t xml:space="preserve"> Los centros psiquiátricos son centros destinados claramente a un sector de la población, esto es, personas con discapacidad, y su justificación queda definitivamente desmantelada con la entrada en vigor de la CDPD. El artículo 14(1)(b) prohíbe la privación de libertad por motivo de discapacidad, y la práctica del internamiento forzoso en centros psiquiátricos es un claro ejemplo de una privación de libertad por motivo de discapacidad. </w:t>
      </w:r>
    </w:p>
    <w:p w:rsidR="009716D2" w:rsidRPr="00E72B02" w:rsidRDefault="009716D2" w:rsidP="004551E9">
      <w:pPr>
        <w:rPr>
          <w:kern w:val="24"/>
          <w:lang w:eastAsia="es-AR"/>
        </w:rPr>
      </w:pPr>
      <w:r w:rsidRPr="00E72B02">
        <w:rPr>
          <w:kern w:val="24"/>
          <w:lang w:eastAsia="es-AR"/>
        </w:rPr>
        <w:t xml:space="preserve">El cambio que propone la CDPD en materia de internamiento involuntario, es un cambio de paradigma profundo, y como todo cambio de paradigma, pretende romper estructuras e ideologías fuertemente arraigadas en las mentes y en las prácticas domesticas. Por ello, es entendible ciertas resistencias al cambio, y sobre todo, un necesario proceso gradual. Mientras en el ámbito doméstico, este cambio es aún muy incipiente, y si se quiere, muy resistido, en el ámbito del sistema universal de derechos humanos es posible identificar avances. </w:t>
      </w:r>
    </w:p>
    <w:p w:rsidR="009716D2" w:rsidRPr="00E72B02" w:rsidRDefault="009716D2" w:rsidP="004551E9">
      <w:r w:rsidRPr="00E72B02">
        <w:rPr>
          <w:kern w:val="24"/>
          <w:lang w:eastAsia="es-AR"/>
        </w:rPr>
        <w:lastRenderedPageBreak/>
        <w:t xml:space="preserve">En primer lugar, resultan relevantes las </w:t>
      </w:r>
      <w:r w:rsidRPr="00E72B02">
        <w:t>Observaciones del CteCDPD respecto de los informes remitidos por los Estados Parte en cumplimiento de lo establecido en el artículo 35 de la CDPD y que claramente señalan la preocupación del órgano de control del tratado, respecto del modelo imperante en los Estados Partes.</w:t>
      </w:r>
      <w:r w:rsidRPr="00E72B02">
        <w:rPr>
          <w:rStyle w:val="Refdenotaalpie"/>
          <w:kern w:val="24"/>
          <w:lang w:val="es-ES" w:eastAsia="es-AR"/>
        </w:rPr>
        <w:footnoteReference w:id="702"/>
      </w:r>
      <w:r w:rsidRPr="00E72B02">
        <w:t xml:space="preserve"> Pero también el Comité de Derechos Humanos ha efectuado observaciones similares sobre la afectación del internamiento involuntario de personas con discapacidad frente a los derechos amparados por el Pacto, fundamentalmente, en relación con el </w:t>
      </w:r>
      <w:r w:rsidRPr="00E72B02">
        <w:lastRenderedPageBreak/>
        <w:t>derecho a la libertad.</w:t>
      </w:r>
      <w:r w:rsidRPr="00E72B02">
        <w:rPr>
          <w:rStyle w:val="Refdenotaalpie"/>
          <w:lang w:val="es-ES"/>
        </w:rPr>
        <w:footnoteReference w:id="703"/>
      </w:r>
      <w:r w:rsidRPr="00E72B02">
        <w:t xml:space="preserve"> Por su parte los tribunales regionales de derechos humanos han abordado también la cuestión en donde se comienza a percibir un ligero cambio de rumbo. El TEDH cuenta con una considerable jurisprudencia sobre la relación entre el internamiento involuntario y la afectación del derecho a la libertad conforme al artículo 5 del Convenio Europeo de Derechos Humanos, actividad que se ha acrecentado considerablemente desde la entrada en vigor de la CDPD. Aunque el Tribunal no llega a la conclusión de que el internamiento en instituciones psiquiátricas resulta, </w:t>
      </w:r>
      <w:r w:rsidRPr="00E72B02">
        <w:rPr>
          <w:i/>
        </w:rPr>
        <w:t>per se</w:t>
      </w:r>
      <w:r w:rsidRPr="00E72B02">
        <w:t>, incompatible con la CDPD,</w:t>
      </w:r>
      <w:r w:rsidRPr="00E72B02">
        <w:rPr>
          <w:rStyle w:val="Refdenotaalpie"/>
          <w:lang w:val="es-ES"/>
        </w:rPr>
        <w:footnoteReference w:id="704"/>
      </w:r>
      <w:r w:rsidRPr="00E72B02">
        <w:t xml:space="preserve"> lo cierto es que </w:t>
      </w:r>
      <w:r w:rsidRPr="00E72B02">
        <w:lastRenderedPageBreak/>
        <w:t xml:space="preserve">la reciente jurisprudencia ha aportado elementos interesantes hacia una visión de la temática desde la perspectiva de los derechos humanos. </w:t>
      </w:r>
    </w:p>
    <w:p w:rsidR="009716D2" w:rsidRPr="00E72B02" w:rsidRDefault="009716D2" w:rsidP="004551E9">
      <w:r w:rsidRPr="00E72B02">
        <w:t xml:space="preserve">En </w:t>
      </w:r>
      <w:r w:rsidRPr="00E72B02">
        <w:rPr>
          <w:i/>
        </w:rPr>
        <w:t>Stanev v. Bulgaria</w:t>
      </w:r>
      <w:r w:rsidRPr="00E72B02">
        <w:t xml:space="preserve"> el Tribunal ha señalado que para determinar si un internamiento involuntario es contrario al derecho a la libertad (Artículo 5), se deben analizar tanto el elemento objetivo como el elemento subjetivo de la medida. En la evaluación del elemento objetivo el Tribunal se ha centrado básicamente en dos aspectos, esto es, el hecho de si la institución otorga o no a la persona la libertad de salir a su voluntad, así como el tiempo o duración de la medida. En el caso particular (</w:t>
      </w:r>
      <w:r w:rsidRPr="00E72B02">
        <w:rPr>
          <w:i/>
        </w:rPr>
        <w:t>Stanev</w:t>
      </w:r>
      <w:r w:rsidRPr="00E72B02">
        <w:t xml:space="preserve">) el Tribunal ha señalado que el elemento objetivo no estaba justificado por parte del Estado puesto que el reclamante si bien podía ocasionalmente salir de la institución, sólo podía hacerlo con permiso de las autoridades y bajo estricta supervisión. Adicionalmente el Tribunal ha determinado que la medida de internamiento dispensada al Sr. </w:t>
      </w:r>
      <w:r w:rsidRPr="00E72B02">
        <w:rPr>
          <w:i/>
        </w:rPr>
        <w:t>Stanev</w:t>
      </w:r>
      <w:r w:rsidRPr="00E72B02">
        <w:t xml:space="preserve"> no tenía una fecha cierta de caducidad, y por tanto debía considerarse como una medida que pone en riesgo serio el goce de sus derechos fundamentales.</w:t>
      </w:r>
      <w:r w:rsidRPr="00E72B02">
        <w:rPr>
          <w:rStyle w:val="Refdenotaalpie"/>
          <w:lang w:val="es-ES"/>
        </w:rPr>
        <w:footnoteReference w:id="705"/>
      </w:r>
      <w:r w:rsidRPr="00E72B02">
        <w:t xml:space="preserve"> En cuanto al elemento subjetivo, el Tribunal se ha centrado a determinar si la voluntad del reclamante ha sido tomada en cuenta al momento de ordenar la medida. El Tribunal ha encontrado en relación con el Sr. </w:t>
      </w:r>
      <w:r w:rsidRPr="00E72B02">
        <w:rPr>
          <w:i/>
        </w:rPr>
        <w:t>Stanev</w:t>
      </w:r>
      <w:r w:rsidRPr="00E72B02">
        <w:t xml:space="preserve"> que, pese a preverse en el derecho doméstico, su voluntad no fue requerida en todo el procedimiento, y que luego fuere trasladado a un centro en Pastra sin haber sido notificado y consultado ni informado de la modalidad o duración del internamiento.</w:t>
      </w:r>
      <w:r w:rsidRPr="00E72B02">
        <w:rPr>
          <w:rStyle w:val="Refdenotaalpie"/>
          <w:lang w:val="es-ES"/>
        </w:rPr>
        <w:footnoteReference w:id="706"/>
      </w:r>
      <w:r w:rsidRPr="00E72B02">
        <w:t xml:space="preserve"> </w:t>
      </w:r>
    </w:p>
    <w:p w:rsidR="009716D2" w:rsidRPr="00E72B02" w:rsidRDefault="009716D2" w:rsidP="004551E9">
      <w:r w:rsidRPr="00E72B02">
        <w:lastRenderedPageBreak/>
        <w:t>Con lo cual la jurisprudencia del TEDH ha sentado un criterio o test de evaluación de las medidas de internamiento que trasciende lo meramente formal para introducirse en los aspectos reales de impacto del medida en el goce efectivo del derecho a la libertad de la persona por un lado, y respecto de las voluntad y los deseos de la persona por otro. Es decir, el hecho que se hayan seguido todos los pasos legales establecidos por el derecho doméstico, no garantiza que la medida sea “legal”. El Tribunal señala que el objetivo del artículo 5 es proteger a las personas de la arbitrariedad y que las medidas restrictivas de la libertad sólo deben ordenarse cuando otras medida menos restrictiva han sido consideradas y evaluadas para resguardar el interés público.  No obstante el Tribunal no logra dar el paso adelante que plantea la CDPD, y más precisamente los artículos 12(2) y 14(1)(b), ya que reconoce que “</w:t>
      </w:r>
      <w:r w:rsidRPr="00E72B02">
        <w:rPr>
          <w:i/>
        </w:rPr>
        <w:t>existen situaciones donde los deseos de la persona con deficiencia en sus facultades mentales pueden válidamente ser sustituidos  por aquellos de otras personas actuando en el contexto de una medida protectora, y que, en ocasiones, es difícil determinar los verdaderos deseos o preferencias de la persona en cuestión</w:t>
      </w:r>
      <w:r w:rsidRPr="00E72B02">
        <w:t>”.</w:t>
      </w:r>
      <w:r w:rsidRPr="00E72B02">
        <w:rPr>
          <w:rStyle w:val="Refdenotaalpie"/>
          <w:lang w:val="es-ES"/>
        </w:rPr>
        <w:footnoteReference w:id="707"/>
      </w:r>
      <w:r w:rsidRPr="00E72B02">
        <w:t xml:space="preserve"> Más aún el Tribunal da vía libre al internamiento de personas con discapacidad estableciendo un criterio que reúna los siguientes tres elementos: a) se debe acreditar fehacientemente que la persona padece una enajenación mental; b) la enajenación debe ser de un tipo o grado suficiente como para justificar el confinamiento; c) la validez de la continuidad del confinamiento deberá depender de la persistencia de la deficiencia”.</w:t>
      </w:r>
      <w:r w:rsidRPr="00E72B02">
        <w:rPr>
          <w:rStyle w:val="Refdenotaalpie"/>
          <w:lang w:val="es-ES"/>
        </w:rPr>
        <w:footnoteReference w:id="708"/>
      </w:r>
      <w:r w:rsidRPr="00E72B02">
        <w:t xml:space="preserve"> </w:t>
      </w:r>
    </w:p>
    <w:p w:rsidR="009716D2" w:rsidRPr="00E72B02" w:rsidRDefault="009716D2" w:rsidP="004551E9">
      <w:r w:rsidRPr="00E72B02">
        <w:lastRenderedPageBreak/>
        <w:t>En sentido similar se ha pronunciado el CteDH en el marco de las reclamaciones individuales.</w:t>
      </w:r>
      <w:r w:rsidRPr="00E72B02">
        <w:rPr>
          <w:rStyle w:val="Refdenotaalpie"/>
          <w:lang w:val="es-ES"/>
        </w:rPr>
        <w:footnoteReference w:id="709"/>
      </w:r>
      <w:r w:rsidRPr="00E72B02">
        <w:t xml:space="preserve"> En el ámbito del sistema interamericano de derechos humanos, y a diferencia del sistema europeo, no existe una casuística que permita extraer conclusiones útiles para analizar la perspectiva de la Corte y de la Comisión en relación con la afectación del derecho a la libertad ante medidas de internamiento forzoso por parte de personas con discapacidad. Los dos casos principales que se suelen citar tanto de la Corte (</w:t>
      </w:r>
      <w:r w:rsidRPr="00E72B02">
        <w:rPr>
          <w:i/>
        </w:rPr>
        <w:t>Ximenes Lopes</w:t>
      </w:r>
      <w:r w:rsidRPr="00E72B02">
        <w:t>) como de la Comisión (</w:t>
      </w:r>
      <w:r w:rsidRPr="00E72B02">
        <w:rPr>
          <w:i/>
        </w:rPr>
        <w:t>Congo</w:t>
      </w:r>
      <w:r w:rsidRPr="00E72B02">
        <w:t xml:space="preserve">), sólo se refieren a las condiciones del internamiento y la eventual afectación del derecho a la vida o a la integridad personal. </w:t>
      </w:r>
    </w:p>
    <w:p w:rsidR="009716D2" w:rsidRPr="00E72B02" w:rsidRDefault="009716D2" w:rsidP="004551E9">
      <w:r w:rsidRPr="00E72B02">
        <w:t>En resumidas cuentas, nos encontramos en un momento de transición donde los órganos universales y regionales de derechos humanos aún poco han aportado a la nueva lectura y al cambio de paradigma que la CDPD plantea en relación con la protección del derecho a la libertad de las personas con discapacidad. La coexistencia de instrumentos internacionales que reflejan el viejo paradigma</w:t>
      </w:r>
      <w:r w:rsidRPr="00E72B02">
        <w:rPr>
          <w:rStyle w:val="Refdenotaalpie"/>
          <w:lang w:val="es-ES"/>
        </w:rPr>
        <w:footnoteReference w:id="710"/>
      </w:r>
      <w:r w:rsidRPr="00E72B02">
        <w:t xml:space="preserve"> frente a al cambio que plantea la CDPD hacen </w:t>
      </w:r>
      <w:r w:rsidRPr="00E72B02">
        <w:lastRenderedPageBreak/>
        <w:t>necesario una relectura de los derechos humanos de las personas con discapacidad. En este sentido el Alto Comisionado de las Naciones Unidas para los Derechos Humanos ha señalado que:</w:t>
      </w:r>
    </w:p>
    <w:p w:rsidR="009716D2" w:rsidRPr="00E72B02" w:rsidRDefault="009716D2" w:rsidP="004551E9">
      <w:pPr>
        <w:rPr>
          <w:kern w:val="24"/>
          <w:lang w:eastAsia="es-AR"/>
        </w:rPr>
      </w:pPr>
      <w:r w:rsidRPr="00E72B02">
        <w:t xml:space="preserve"> “….Antes de la entrada en vigor de la Convención, la existencia de una discapacidad mental era motivo lícito de privación de libertad y detención en la normativa internacional de derechos humanos.  La Convención se aparta radicalmente de ese enfoque y prohíbe por discriminatoria la privación de libertad basada en la existencia de una forma de discapacidad, en particular mental o intelectual.  El apartado b) del párrafo 1 del artículo 14 de la Convención establece claramente que los Estados partes asegurarán que "la existencia de una discapacidad no justifique en ningún caso una privación de la libertad". Las propuestas formuladas durante la redacción de la Convención de limitar la prohibición de privación de libertad a los casos "únicamente" determinados por la discapacidad fueron rechazadas.  Así pues, constituye detención ilegal la privación de libertad fundada en la combinación de una discapacidad mental o intelectual y otros elementos como la peligrosidad o la atención y el tratamiento.  Dado que esas medidas se justifican en parte por la discapacidad de la persona, deben considerarse discriminatorias y contrarias a la prohibición de privación de libertad por motivos de discapacidad y del derecho a la libertad en igualdad de condiciones con los demás previstos en el artículo 14…”.</w:t>
      </w:r>
      <w:r w:rsidRPr="00E72B02">
        <w:rPr>
          <w:rStyle w:val="Refdenotaalpie"/>
          <w:lang w:val="es-ES"/>
        </w:rPr>
        <w:footnoteReference w:id="711"/>
      </w:r>
      <w:r w:rsidRPr="00E72B02">
        <w:rPr>
          <w:kern w:val="24"/>
          <w:lang w:eastAsia="es-AR"/>
        </w:rPr>
        <w:tab/>
      </w:r>
    </w:p>
    <w:p w:rsidR="009716D2" w:rsidRPr="00E72B02" w:rsidRDefault="009716D2" w:rsidP="004551E9">
      <w:pPr>
        <w:pStyle w:val="Prrafodelista"/>
        <w:rPr>
          <w:kern w:val="24"/>
          <w:lang w:eastAsia="es-AR"/>
        </w:rPr>
      </w:pPr>
      <w:r w:rsidRPr="00E72B02">
        <w:rPr>
          <w:kern w:val="24"/>
          <w:lang w:eastAsia="es-AR"/>
        </w:rPr>
        <w:lastRenderedPageBreak/>
        <w:t>Riesgo grave de agresividad social</w:t>
      </w:r>
    </w:p>
    <w:p w:rsidR="009716D2" w:rsidRPr="00E72B02" w:rsidRDefault="009716D2" w:rsidP="004551E9">
      <w:pPr>
        <w:rPr>
          <w:kern w:val="24"/>
          <w:lang w:eastAsia="es-AR"/>
        </w:rPr>
      </w:pPr>
      <w:r w:rsidRPr="00E72B02">
        <w:rPr>
          <w:kern w:val="24"/>
          <w:lang w:eastAsia="es-AR"/>
        </w:rPr>
        <w:t xml:space="preserve">Como se ha visto, el motivo de riesgo a la salud de la persona resulta injustificado para sostener una medida de internamiento forzoso en instituciones psiquiátricas, puesto que la medida es discriminatoria respecto de personas con discapacidad y supone una afectación grave al derecho a la libertad, que a su vez no se corresponde que el resultado que en la práctica se genera respecto de la salud mental de las personas con discapacidad. Diferente es el caso de medidas forzosas sobre tratamientos médicos ambulatorios y precisos, lo cual será analizado más adelante ya que afectaría otros derechos reconocidos en la CDPD. </w:t>
      </w:r>
    </w:p>
    <w:p w:rsidR="009716D2" w:rsidRPr="00E72B02" w:rsidRDefault="009716D2" w:rsidP="004551E9">
      <w:pPr>
        <w:rPr>
          <w:kern w:val="24"/>
          <w:lang w:eastAsia="es-AR"/>
        </w:rPr>
      </w:pPr>
      <w:r w:rsidRPr="00E72B02">
        <w:rPr>
          <w:kern w:val="24"/>
          <w:lang w:eastAsia="es-AR"/>
        </w:rPr>
        <w:t xml:space="preserve">Ahora bien, también se ha sostenido explícitamente tanto por las legislaciones domésticas, como por la jurisprudencia internacional, que una medida de internamiento forzoso podría estar justificada debido al riesgo de daño que una persona con “trastorno psíquico” pueda generar frente a terceros. </w:t>
      </w:r>
    </w:p>
    <w:p w:rsidR="009716D2" w:rsidRPr="00E72B02" w:rsidRDefault="009716D2" w:rsidP="004551E9">
      <w:r w:rsidRPr="00E72B02">
        <w:rPr>
          <w:kern w:val="24"/>
          <w:lang w:eastAsia="es-AR"/>
        </w:rPr>
        <w:t>Existen mecanismos válidos por los cuales el Estado puede p</w:t>
      </w:r>
      <w:r w:rsidRPr="00E72B02">
        <w:t xml:space="preserve">rescindir de voluntad de una persona o grupo de personas para someterlas forzosamente a un internamiento por motivo de salud, como podría ser un brote epidémico que requiera poner en cuarentena a un grupo de personas. Pero en estos casos excepcionales y de público conocimiento, la medida es ordenada generalmente para el poder ejecutivo y bajo estrictas y acreditadas evidencias de la existencia de un riesgo grave y cierto. </w:t>
      </w:r>
    </w:p>
    <w:p w:rsidR="009716D2" w:rsidRPr="00E72B02" w:rsidRDefault="009716D2" w:rsidP="004551E9">
      <w:pPr>
        <w:rPr>
          <w:kern w:val="24"/>
          <w:lang w:eastAsia="es-AR"/>
        </w:rPr>
      </w:pPr>
      <w:r w:rsidRPr="00E72B02">
        <w:lastRenderedPageBreak/>
        <w:t xml:space="preserve">Diferente es el caso respecto del supuesto riesgo que las personas con discapacidad mental pueden suponer para la sociedad mediante sus actitudes agresivas o lesivas. </w:t>
      </w:r>
      <w:r w:rsidRPr="00E72B02">
        <w:rPr>
          <w:kern w:val="24"/>
          <w:lang w:eastAsia="es-AR"/>
        </w:rPr>
        <w:t xml:space="preserve">Cuando la razón de la medida de internamiento sea la protección de la sociedad por considerar que existe un grave riesgo de actitudes agresivas de la persona, es importante destacar tres cuestiones. </w:t>
      </w:r>
    </w:p>
    <w:p w:rsidR="009716D2" w:rsidRPr="00E72B02" w:rsidRDefault="009716D2" w:rsidP="004551E9">
      <w:pPr>
        <w:rPr>
          <w:kern w:val="24"/>
          <w:lang w:eastAsia="es-AR"/>
        </w:rPr>
      </w:pPr>
      <w:r w:rsidRPr="00E72B02">
        <w:rPr>
          <w:kern w:val="24"/>
          <w:lang w:eastAsia="es-AR"/>
        </w:rPr>
        <w:t xml:space="preserve">En primer lugar, que no es ni científica, ni estadísticamente posible acreditar que la agresividad social sea producto de trastornos psíquicos, por lo que no parece justificable que la legislación trace una distinción entre personas que padecen o no dichos trastornos para posibilitar su internamiento forzoso. Ningún estudio de criminalidad puede demostrar que existe una relación directa entre la existencia de una discapacidad mental y eventual comisión de delitos o conductas lesivas hacia terceros. </w:t>
      </w:r>
    </w:p>
    <w:p w:rsidR="009716D2" w:rsidRPr="00E72B02" w:rsidRDefault="009716D2" w:rsidP="004551E9">
      <w:pPr>
        <w:rPr>
          <w:kern w:val="24"/>
          <w:lang w:eastAsia="es-AR"/>
        </w:rPr>
      </w:pPr>
      <w:r w:rsidRPr="00E72B02">
        <w:rPr>
          <w:kern w:val="24"/>
          <w:lang w:eastAsia="es-AR"/>
        </w:rPr>
        <w:t xml:space="preserve">En segundo lugar, que existen medidas mucho menos restrictivas que se utilizan respecto de otros grupos o situaciones que se consideran riesgosas frente a la sociedad o frente a terceros como podría ser la “violencia de género”. A diferencia de la situación de personas con discapacidad mental, el regulación por parte del Estado respecto de la protección de mujeres de la violencia de género se encuentra claramente justificada en estadísticas contundentes que demuestran los riesgos ciertos de la violencia machista en la vida e integridad personal de las mujeres, y sin embargo los marcos regulatorios sólo permiten la privación de libertad en el marco de un proceso penal. Existen órdenes de restricción o medidas de alejamiento que no vulneran el derecho a la libertad del presunto agresor. </w:t>
      </w:r>
    </w:p>
    <w:p w:rsidR="009716D2" w:rsidRPr="00E72B02" w:rsidRDefault="009716D2" w:rsidP="004551E9">
      <w:pPr>
        <w:rPr>
          <w:kern w:val="24"/>
          <w:lang w:eastAsia="es-AR"/>
        </w:rPr>
      </w:pPr>
      <w:r w:rsidRPr="00E72B02">
        <w:rPr>
          <w:kern w:val="24"/>
          <w:lang w:eastAsia="es-AR"/>
        </w:rPr>
        <w:t>En tercer lugar, de admitirse un procedimiento que permitiese al Estado internar a personas por el posible riesgo de su agresividad, dicho procedimiento debería instarse por medio de la vía penal, y gozar de todas las garantías, y condiciones probatorias que garantizan el principio de legalidad. Ello siempre teniendo en cuenta los cuestionamientos que la CDPD plantea sobre la figura de la inimputabilidad de personas con discapacidad mental y las medidas penales de seguridad.</w:t>
      </w:r>
    </w:p>
    <w:p w:rsidR="009716D2" w:rsidRPr="00E72B02" w:rsidRDefault="009716D2" w:rsidP="004551E9">
      <w:pPr>
        <w:rPr>
          <w:kern w:val="24"/>
          <w:lang w:eastAsia="es-AR"/>
        </w:rPr>
      </w:pPr>
      <w:r w:rsidRPr="00E72B02">
        <w:rPr>
          <w:kern w:val="24"/>
          <w:lang w:eastAsia="es-AR"/>
        </w:rPr>
        <w:lastRenderedPageBreak/>
        <w:t xml:space="preserve">Con lo cual, la CDPD y más precisamente el artículo 14 cuestionan seriamente la posibilidad del Estado de internar forzosamente a una persona con discapacidad mental por motivo de su supuesta agresividad social.  </w:t>
      </w:r>
    </w:p>
    <w:p w:rsidR="009716D2" w:rsidRPr="00E72B02" w:rsidRDefault="009716D2" w:rsidP="004551E9">
      <w:pPr>
        <w:pStyle w:val="Prrafodelista"/>
        <w:rPr>
          <w:kern w:val="24"/>
          <w:lang w:eastAsia="es-AR"/>
        </w:rPr>
      </w:pPr>
      <w:r w:rsidRPr="00E72B02">
        <w:rPr>
          <w:kern w:val="24"/>
          <w:lang w:eastAsia="es-AR"/>
        </w:rPr>
        <w:t>Grave disminución de la autonomía personal</w:t>
      </w:r>
    </w:p>
    <w:p w:rsidR="009716D2" w:rsidRPr="00E72B02" w:rsidRDefault="009716D2" w:rsidP="004551E9">
      <w:pPr>
        <w:rPr>
          <w:kern w:val="24"/>
          <w:lang w:eastAsia="es-AR"/>
        </w:rPr>
      </w:pPr>
      <w:r w:rsidRPr="00E72B02">
        <w:rPr>
          <w:kern w:val="24"/>
          <w:lang w:eastAsia="es-AR"/>
        </w:rPr>
        <w:t>Aunque la mayoría de las legislaciones domésticas no lo establecen explícitamente, la práctica demuestra, que la “grave disminución de la autonomía personal con incapacidad para realizar las tareas de cuidado personal más necesario para la supervivencia”, puede ser una razón de internamiento forzoso. Y ello, se verifica principalmente en los Estados menos desarrollados o con índices de pobreza importantes. Algunos informes de ONGs demuestras que por ejemplo en Latinoamérica más de la mitad de las personas ingresan y permanecen en instituciones psiquiátricas sin registrar ningún tipo de discapacidad o riesgo social y son remitidas a dichos centro por encontrarse en situación de calle e indigencia, sin identificación personal o acreditación de tener familia o allegados que puedan asistirlos.</w:t>
      </w:r>
      <w:r w:rsidRPr="00E72B02">
        <w:rPr>
          <w:rStyle w:val="Refdenotaalpie"/>
          <w:kern w:val="24"/>
          <w:lang w:val="es-ES" w:eastAsia="es-AR"/>
        </w:rPr>
        <w:footnoteReference w:id="712"/>
      </w:r>
    </w:p>
    <w:p w:rsidR="009716D2" w:rsidRPr="00E72B02" w:rsidRDefault="009716D2" w:rsidP="004551E9">
      <w:pPr>
        <w:rPr>
          <w:kern w:val="24"/>
          <w:lang w:eastAsia="es-AR"/>
        </w:rPr>
      </w:pPr>
      <w:r w:rsidRPr="00E72B02">
        <w:rPr>
          <w:kern w:val="24"/>
          <w:lang w:eastAsia="es-AR"/>
        </w:rPr>
        <w:t xml:space="preserve">Más aún, el razonamiento e incluso el procedimiento judicial del internamiento forzoso se suele utilizar frecuentemente para ingresar a personas con discapacidad de todo tipo, o personas mayores en instituciones de otro tipo como residencias o asilos de ancianos y centros de rehabilitación física. </w:t>
      </w:r>
    </w:p>
    <w:p w:rsidR="009716D2" w:rsidRPr="00E72B02" w:rsidRDefault="009716D2" w:rsidP="004551E9">
      <w:pPr>
        <w:rPr>
          <w:kern w:val="24"/>
          <w:lang w:eastAsia="es-AR"/>
        </w:rPr>
      </w:pPr>
      <w:r w:rsidRPr="00E72B02">
        <w:rPr>
          <w:kern w:val="24"/>
          <w:lang w:eastAsia="es-AR"/>
        </w:rPr>
        <w:t xml:space="preserve">El internamiento forzoso no puede seguir convirtiéndose, como lo es en muchos casos, un modo de resolver las necesidades especiales de las personas con discapacidad, o de solucionar el derecho a los cuidados </w:t>
      </w:r>
      <w:r w:rsidRPr="00E72B02">
        <w:rPr>
          <w:kern w:val="24"/>
          <w:lang w:eastAsia="es-AR"/>
        </w:rPr>
        <w:lastRenderedPageBreak/>
        <w:t>familiares, quitando a la persona de la vida social y confinándola en instituciones por el resto de su vida.</w:t>
      </w:r>
    </w:p>
    <w:p w:rsidR="009716D2" w:rsidRPr="00E72B02" w:rsidRDefault="009716D2" w:rsidP="004551E9">
      <w:pPr>
        <w:rPr>
          <w:kern w:val="24"/>
          <w:lang w:eastAsia="es-AR"/>
        </w:rPr>
      </w:pPr>
      <w:r w:rsidRPr="00E72B02">
        <w:rPr>
          <w:kern w:val="24"/>
          <w:lang w:eastAsia="es-AR"/>
        </w:rPr>
        <w:t xml:space="preserve">Es aquí donde emerge la tercera de las dimensiones de las obligaciones internacionales que los artículos 12(2) y 14(1)(b) establecen frente a los Estados Partes aludidas más arriba, y que requiere conectar las disposiciones señaladas con el artículo 19 de la CDPD. </w:t>
      </w:r>
    </w:p>
    <w:p w:rsidR="009716D2" w:rsidRPr="00E72B02" w:rsidRDefault="009716D2" w:rsidP="004551E9">
      <w:pPr>
        <w:rPr>
          <w:kern w:val="24"/>
          <w:lang w:eastAsia="es-AR"/>
        </w:rPr>
      </w:pPr>
      <w:r w:rsidRPr="00E72B02">
        <w:rPr>
          <w:kern w:val="24"/>
          <w:lang w:eastAsia="es-AR"/>
        </w:rPr>
        <w:t xml:space="preserve">Consecuentemente la CDPD impone a los Estados Partes en materia de garantía del derecho a la libertad de personas con discapacidad la “obligación de satisfacer” este derecho, principalmente mediante la obligación de tomar medidas activas para garantizar la vida independiente y en la comunidad. De nada sirve reconocer la plena capacidad jurídica de la persona, y de nada sirve garantizar el no ingreso forzoso de personas con discapacidad a instituciones públicas o privadas, si el Estado no establece o dispensa medidas para garantizar la vida independiente y en la comunidad de dichas personas. </w:t>
      </w:r>
    </w:p>
    <w:p w:rsidR="009716D2" w:rsidRPr="009443FC" w:rsidRDefault="009716D2" w:rsidP="004551E9">
      <w:pPr>
        <w:rPr>
          <w:b/>
          <w:kern w:val="24"/>
          <w:lang w:eastAsia="es-AR"/>
        </w:rPr>
      </w:pPr>
    </w:p>
    <w:p w:rsidR="009716D2" w:rsidRPr="009443FC" w:rsidRDefault="009716D2" w:rsidP="00A57374">
      <w:pPr>
        <w:pStyle w:val="TTULO12"/>
        <w:rPr>
          <w:b/>
        </w:rPr>
      </w:pPr>
      <w:r w:rsidRPr="009443FC">
        <w:rPr>
          <w:b/>
        </w:rPr>
        <w:t>5.4.5.3 Capacidad Jurídica y Vida Independiente</w:t>
      </w:r>
    </w:p>
    <w:p w:rsidR="009716D2" w:rsidRPr="00E72B02" w:rsidRDefault="009716D2" w:rsidP="004551E9">
      <w:pPr>
        <w:rPr>
          <w:kern w:val="24"/>
          <w:lang w:eastAsia="es-AR"/>
        </w:rPr>
      </w:pPr>
    </w:p>
    <w:p w:rsidR="009716D2" w:rsidRPr="00E72B02" w:rsidRDefault="009716D2" w:rsidP="004551E9">
      <w:pPr>
        <w:rPr>
          <w:kern w:val="24"/>
          <w:lang w:eastAsia="es-AR"/>
        </w:rPr>
      </w:pPr>
      <w:r w:rsidRPr="00E72B02">
        <w:rPr>
          <w:kern w:val="24"/>
          <w:lang w:eastAsia="es-AR"/>
        </w:rPr>
        <w:t xml:space="preserve">El artículo 19 de la CDPD relativo al derecho a vivir de forma independiente y a ser incluido en la comunidad establece que: </w:t>
      </w:r>
    </w:p>
    <w:p w:rsidR="009716D2" w:rsidRPr="00E72B02" w:rsidRDefault="009716D2" w:rsidP="004551E9">
      <w:pPr>
        <w:pStyle w:val="Cita"/>
        <w:rPr>
          <w:lang w:eastAsia="es-AR"/>
        </w:rPr>
      </w:pPr>
      <w:r w:rsidRPr="00E72B02">
        <w:rPr>
          <w:lang w:eastAsia="es-AR"/>
        </w:rPr>
        <w:t>“…Los Estados Partes en la presente Convención reconocen el derecho en igualdad de condiciones de todas las personas con discapacidad a vivir en la comunidad, con opciones iguales a las de las demás, y adoptarán medidas efectivas y pertinentes para facilitar el pleno goce de este derecho por las personas con discapacidad y su plena inclusión y participación en la comunidad, asegurando en especial que:</w:t>
      </w:r>
    </w:p>
    <w:p w:rsidR="009716D2" w:rsidRPr="00E72B02" w:rsidRDefault="009716D2" w:rsidP="004551E9">
      <w:pPr>
        <w:pStyle w:val="Cita"/>
        <w:rPr>
          <w:lang w:eastAsia="es-AR"/>
        </w:rPr>
      </w:pPr>
      <w:r w:rsidRPr="00E72B02">
        <w:rPr>
          <w:lang w:eastAsia="es-AR"/>
        </w:rPr>
        <w:t xml:space="preserve">a) Las personas con discapacidad tengan la oportunidad de elegir su lugar de residencia y dónde y con quién vivir, en </w:t>
      </w:r>
      <w:r w:rsidRPr="00E72B02">
        <w:rPr>
          <w:lang w:eastAsia="es-AR"/>
        </w:rPr>
        <w:lastRenderedPageBreak/>
        <w:t>igualdad de condiciones con las demás, y no se vean obligadas a vivir con arreglo a un sistema de vida específico;</w:t>
      </w:r>
    </w:p>
    <w:p w:rsidR="009716D2" w:rsidRPr="00E72B02" w:rsidRDefault="009716D2" w:rsidP="004551E9">
      <w:pPr>
        <w:pStyle w:val="Cita"/>
        <w:rPr>
          <w:lang w:eastAsia="es-AR"/>
        </w:rPr>
      </w:pPr>
      <w:r w:rsidRPr="00E72B02">
        <w:rPr>
          <w:lang w:eastAsia="es-AR"/>
        </w:rPr>
        <w:t>b) Las personas con discapacidad tengan acceso a una variedad de servicios de asistencia domiciliaria, residencial y otros servicios de apoyo de la comunidad, incluida la asistencia personal que sea necesaria para facilitar su existencia y su inclusión en la comunidad y para evitar su aislamiento o separación de ésta;</w:t>
      </w:r>
    </w:p>
    <w:p w:rsidR="009716D2" w:rsidRPr="00E72B02" w:rsidRDefault="009716D2" w:rsidP="004551E9">
      <w:pPr>
        <w:pStyle w:val="Cita"/>
        <w:rPr>
          <w:lang w:eastAsia="es-AR"/>
        </w:rPr>
      </w:pPr>
      <w:r w:rsidRPr="00E72B02">
        <w:rPr>
          <w:lang w:eastAsia="es-AR"/>
        </w:rPr>
        <w:t>c) Las instalaciones y los servicios comunitarios para la población en general estén a disposición, en igualdad de condiciones, de las personas con discapacidad y tengan en cuenta sus necesidades…”</w:t>
      </w:r>
    </w:p>
    <w:p w:rsidR="009716D2" w:rsidRPr="00E72B02" w:rsidRDefault="009716D2" w:rsidP="004551E9">
      <w:pPr>
        <w:rPr>
          <w:kern w:val="24"/>
          <w:lang w:eastAsia="es-AR"/>
        </w:rPr>
      </w:pPr>
      <w:r w:rsidRPr="00E72B02">
        <w:rPr>
          <w:kern w:val="24"/>
          <w:lang w:eastAsia="es-AR"/>
        </w:rPr>
        <w:t>Aunque la CPDP en rigor es considerada un tratado que recoge una perspectiva específica de no discriminación a personas con discapacidad, y que por tanto, no recoge nuevos derechos humanos, se ha señalado que el artículo 19 se trataría de un derecho específico de las personas con discapacidad. No obstante, la lectura del artículo 19 revela una clara perspectiva de no discriminación, y en la práctica esta cuestión no conlleva consecuencias importantes. Lo relevante del artículo 19 es que el Estado debe adoptar medidas activas e inmediatas para igualar las condiciones de vida independiente y comunitaria de personas con discapacidad con aquellas que no tienen discapacidad.</w:t>
      </w:r>
      <w:r w:rsidRPr="00E72B02">
        <w:rPr>
          <w:rStyle w:val="Refdenotaalpie"/>
          <w:kern w:val="24"/>
          <w:lang w:val="es-ES" w:eastAsia="es-AR"/>
        </w:rPr>
        <w:footnoteReference w:id="713"/>
      </w:r>
    </w:p>
    <w:p w:rsidR="009716D2" w:rsidRPr="00E72B02" w:rsidRDefault="009716D2" w:rsidP="004551E9">
      <w:pPr>
        <w:rPr>
          <w:kern w:val="24"/>
          <w:lang w:eastAsia="es-AR"/>
        </w:rPr>
      </w:pPr>
      <w:r w:rsidRPr="00E72B02">
        <w:rPr>
          <w:kern w:val="24"/>
          <w:lang w:eastAsia="es-AR"/>
        </w:rPr>
        <w:lastRenderedPageBreak/>
        <w:t>Aunque el artículo 19 se debe leer de forma autónoma y los Estados deben informar al Comité sobre sus avances, resulta de vital importancia para cerrar el círculo del marco regulatorio del derecho a la libertad de las personas con discapacidad, principalmente aquellas con discapacidad mental e intelectual.</w:t>
      </w:r>
    </w:p>
    <w:p w:rsidR="009716D2" w:rsidRPr="00E72B02" w:rsidRDefault="009716D2" w:rsidP="004551E9">
      <w:pPr>
        <w:rPr>
          <w:kern w:val="24"/>
          <w:lang w:eastAsia="es-AR"/>
        </w:rPr>
      </w:pPr>
      <w:r w:rsidRPr="00E72B02">
        <w:rPr>
          <w:kern w:val="24"/>
          <w:lang w:eastAsia="es-AR"/>
        </w:rPr>
        <w:t>Algunos Estados, principalmente aquellos con una fuerte perspectiva de “estado social”, han adoptado marcos regulatorios que pretenden reconocer y organizar las condiciones de acceso de las personas en situación de dependencia a ayudas o mecanismos de asistencia que promuevan su autonomía personal.</w:t>
      </w:r>
      <w:r w:rsidRPr="00E72B02">
        <w:rPr>
          <w:rStyle w:val="Refdenotaalpie"/>
          <w:kern w:val="24"/>
          <w:lang w:val="es-ES" w:eastAsia="es-AR"/>
        </w:rPr>
        <w:footnoteReference w:id="714"/>
      </w:r>
      <w:r w:rsidRPr="00E72B02">
        <w:rPr>
          <w:kern w:val="24"/>
          <w:lang w:eastAsia="es-AR"/>
        </w:rPr>
        <w:t xml:space="preserve"> </w:t>
      </w:r>
    </w:p>
    <w:p w:rsidR="009716D2" w:rsidRPr="00E72B02" w:rsidRDefault="009716D2" w:rsidP="004551E9">
      <w:pPr>
        <w:rPr>
          <w:kern w:val="24"/>
          <w:lang w:eastAsia="es-AR"/>
        </w:rPr>
      </w:pPr>
      <w:r w:rsidRPr="00E72B02">
        <w:rPr>
          <w:kern w:val="24"/>
          <w:lang w:eastAsia="es-AR"/>
        </w:rPr>
        <w:t xml:space="preserve">El artículo 19 impone obligaciones a los Estados Partes que se podría decir transitan por vías paralelas. Y sería obligaciones paralelas puesto que se deben llevar a cabo conjuntamente para desterrar viejas prácticas y usos, e implementar nuevos mecanismos que reemplacen gradualmente las anteriores. </w:t>
      </w:r>
    </w:p>
    <w:p w:rsidR="009716D2" w:rsidRPr="00E72B02" w:rsidRDefault="009716D2" w:rsidP="004551E9">
      <w:pPr>
        <w:rPr>
          <w:kern w:val="24"/>
          <w:lang w:eastAsia="es-AR"/>
        </w:rPr>
      </w:pPr>
      <w:r w:rsidRPr="00E72B02">
        <w:rPr>
          <w:kern w:val="24"/>
          <w:lang w:eastAsia="es-AR"/>
        </w:rPr>
        <w:t xml:space="preserve">Por una lado el Estado debe tomar medidas para remover todas las barreras (legales, institucionales, físicas, actitudinales), que impiden a las personas con discapacidad ejercer este derecho, lo que incluye claramente abstenerse de apoyar medidas que menoscaben este derecho, tales como el financiamiento o creación de instituciones psiquiátricas u otros centros destinados a personas con discapacidad que supongan un régimen cerrado, supervisado o controlado de la libertad. Mucho se ha debatido sobre si el artículo 19 recoge la obligación del Estado de no crear nuevas instituciones </w:t>
      </w:r>
      <w:r w:rsidRPr="00E72B02">
        <w:rPr>
          <w:kern w:val="24"/>
          <w:lang w:eastAsia="es-AR"/>
        </w:rPr>
        <w:lastRenderedPageBreak/>
        <w:t>psiquiátricas o centros análogos, y la verdad que de la literalidad de la disposición no parece surgir dicha obligación. No obstante, y teniendo en cuenta las conclusiones vertidas en relación con las consecuencias jurídicas de los artículos 12(2) y 14(1)(b), la necesidad de eliminar progresivamente las instituciones existentes, y la necesidad de no crear o financiar nuevas instituciones para una respuesta lógica y congruente con el propósito de la convención, y con el cambio de paradigma que propone.</w:t>
      </w:r>
      <w:r w:rsidRPr="00E72B02">
        <w:rPr>
          <w:rStyle w:val="Refdenotaalpie"/>
          <w:kern w:val="24"/>
          <w:lang w:val="es-ES" w:eastAsia="es-AR"/>
        </w:rPr>
        <w:footnoteReference w:id="715"/>
      </w:r>
      <w:r w:rsidRPr="00E72B02">
        <w:rPr>
          <w:kern w:val="24"/>
          <w:lang w:eastAsia="es-AR"/>
        </w:rPr>
        <w:t xml:space="preserve">  </w:t>
      </w:r>
    </w:p>
    <w:p w:rsidR="009716D2" w:rsidRPr="00E72B02" w:rsidRDefault="009716D2" w:rsidP="004551E9">
      <w:pPr>
        <w:rPr>
          <w:kern w:val="24"/>
          <w:lang w:eastAsia="es-AR"/>
        </w:rPr>
      </w:pPr>
      <w:r w:rsidRPr="00E72B02">
        <w:rPr>
          <w:kern w:val="24"/>
          <w:lang w:eastAsia="es-AR"/>
        </w:rPr>
        <w:t xml:space="preserve">El Alto Comisionado de las Naciones Unidas para los Derechos Humanos ha manifestado a este respecto que. </w:t>
      </w:r>
    </w:p>
    <w:p w:rsidR="009716D2" w:rsidRPr="00E72B02" w:rsidRDefault="009716D2" w:rsidP="004551E9">
      <w:pPr>
        <w:rPr>
          <w:kern w:val="24"/>
          <w:lang w:eastAsia="es-AR"/>
        </w:rPr>
      </w:pPr>
      <w:r w:rsidRPr="00E72B02">
        <w:rPr>
          <w:kern w:val="24"/>
          <w:lang w:eastAsia="es-AR"/>
        </w:rPr>
        <w:t xml:space="preserve">“…Las disposiciones del artículo 19 de la Convención tienen consecuencias de gran alcance para todas las formas de atención institucionalizada de las personas con discapacidad.  El reconocimiento del derecho de las personas con discapacidad a vivir de forma independiente y a formar parte de la colectividad requiere que se abandonen las políticas oficiales que favorecen la atención en instituciones en favor de la atención a domicilio o en residencias y otros servicios comunitarios de apoyo. El elemento fundamental de toda intervención destinada a hacer efectivo el derecho a vivir de forma independiente y a formar parte de la colectividad es el reconocimiento legal explícito del derecho de las personas con discapacidad a decidir dónde y con quién quieren vivir.  Este reconocimiento debe </w:t>
      </w:r>
      <w:r w:rsidRPr="00E72B02">
        <w:rPr>
          <w:kern w:val="24"/>
          <w:lang w:eastAsia="es-AR"/>
        </w:rPr>
        <w:lastRenderedPageBreak/>
        <w:t>también reflejar claramente la ilegalidad de toda decisión de atención en residencias tomada contra la voluntad de la persona con discapacidad…”</w:t>
      </w:r>
      <w:r w:rsidRPr="00E72B02">
        <w:rPr>
          <w:rStyle w:val="Refdenotaalpie"/>
          <w:kern w:val="24"/>
          <w:lang w:val="es-ES" w:eastAsia="es-AR"/>
        </w:rPr>
        <w:footnoteReference w:id="716"/>
      </w:r>
    </w:p>
    <w:p w:rsidR="009716D2" w:rsidRPr="00E72B02" w:rsidRDefault="009716D2" w:rsidP="004551E9">
      <w:pPr>
        <w:rPr>
          <w:kern w:val="24"/>
          <w:lang w:eastAsia="es-AR"/>
        </w:rPr>
      </w:pPr>
      <w:r w:rsidRPr="00E72B02">
        <w:rPr>
          <w:kern w:val="24"/>
          <w:lang w:eastAsia="es-AR"/>
        </w:rPr>
        <w:t>La segunda de las obligaciones paralelas que impone el artículo 19 a los Estados Partes se podría resumir como la obligación de que “…</w:t>
      </w:r>
      <w:r w:rsidRPr="00E72B02">
        <w:rPr>
          <w:i/>
          <w:kern w:val="24"/>
          <w:lang w:eastAsia="es-AR"/>
        </w:rPr>
        <w:t>el principio de vivir de forma independiente quede firmemente recogido en un marco legislativo que establezca claramente ese principio como un auténtico derecho, así como las obligaciones de las autoridades y los proveedores de servicios, al tiempo que prevea la posibilidad de acudir ante la justicia en caso de violación de ese derecho.  Esos marcos legislativos deberán incluir el reconocimiento del derecho a acceder a los servicios de apoyo necesarios para poder vivir de forma independiente y participar en la vida de la comunidad, así como la garantía de apoyo para una vida independiente, atendiendo a las propias decisiones y aspiraciones del interesado, de conformidad con los principios de la Convención</w:t>
      </w:r>
      <w:r w:rsidRPr="00E72B02">
        <w:rPr>
          <w:kern w:val="24"/>
          <w:lang w:eastAsia="es-AR"/>
        </w:rPr>
        <w:t>…”.</w:t>
      </w:r>
      <w:r w:rsidRPr="00E72B02">
        <w:rPr>
          <w:rStyle w:val="Refdenotaalpie"/>
          <w:kern w:val="24"/>
          <w:lang w:val="es-ES" w:eastAsia="es-AR"/>
        </w:rPr>
        <w:footnoteReference w:id="717"/>
      </w:r>
    </w:p>
    <w:p w:rsidR="009716D2" w:rsidRPr="00E72B02" w:rsidRDefault="009716D2" w:rsidP="004551E9">
      <w:pPr>
        <w:rPr>
          <w:kern w:val="24"/>
          <w:lang w:eastAsia="es-AR"/>
        </w:rPr>
      </w:pPr>
      <w:r w:rsidRPr="00E72B02">
        <w:rPr>
          <w:kern w:val="24"/>
          <w:lang w:eastAsia="es-AR"/>
        </w:rPr>
        <w:t>Esta segunda obligación general del artículo 19 resulta especialmente importante en relación con la implementación de los sistemas de apoyo en el ejercicio de la capacidad jurídica establecidos en el artículo 12(3) y que se analizarán más adelante.</w:t>
      </w:r>
      <w:r w:rsidRPr="00E72B02">
        <w:rPr>
          <w:rStyle w:val="Refdenotaalpie"/>
          <w:kern w:val="24"/>
          <w:lang w:val="es-ES" w:eastAsia="es-AR"/>
        </w:rPr>
        <w:footnoteReference w:id="718"/>
      </w:r>
    </w:p>
    <w:p w:rsidR="009716D2" w:rsidRPr="00E72B02" w:rsidRDefault="009716D2" w:rsidP="004551E9">
      <w:pPr>
        <w:rPr>
          <w:kern w:val="24"/>
          <w:lang w:eastAsia="es-AR"/>
        </w:rPr>
      </w:pPr>
    </w:p>
    <w:p w:rsidR="009716D2" w:rsidRPr="009443FC" w:rsidRDefault="009716D2" w:rsidP="00A57374">
      <w:pPr>
        <w:pStyle w:val="TTULO12"/>
        <w:rPr>
          <w:b/>
        </w:rPr>
      </w:pPr>
      <w:r w:rsidRPr="009443FC">
        <w:rPr>
          <w:b/>
        </w:rPr>
        <w:t xml:space="preserve">5.4.5.4 Capacidad Jurídica y Protección de la Integridad Personal </w:t>
      </w:r>
    </w:p>
    <w:p w:rsidR="009716D2" w:rsidRPr="00E72B02" w:rsidRDefault="009716D2" w:rsidP="004551E9">
      <w:pPr>
        <w:rPr>
          <w:kern w:val="24"/>
          <w:lang w:eastAsia="es-AR"/>
        </w:rPr>
      </w:pPr>
    </w:p>
    <w:p w:rsidR="009716D2" w:rsidRPr="00E72B02" w:rsidRDefault="009716D2" w:rsidP="004551E9">
      <w:pPr>
        <w:rPr>
          <w:kern w:val="24"/>
          <w:lang w:eastAsia="es-AR"/>
        </w:rPr>
      </w:pPr>
      <w:r w:rsidRPr="00E72B02">
        <w:rPr>
          <w:kern w:val="24"/>
          <w:lang w:eastAsia="es-AR"/>
        </w:rPr>
        <w:lastRenderedPageBreak/>
        <w:t xml:space="preserve">El artículo 12(2) también tiene una estrecha relación con los artículos 15 y 17 que, en un sentido general, abordan desde diferentes dimensiones el derecho humano y absoluto a la protección de la integridad personal, lo que incluye integridad física e integridad personal. </w:t>
      </w:r>
    </w:p>
    <w:p w:rsidR="009716D2" w:rsidRPr="00E72B02" w:rsidRDefault="009716D2" w:rsidP="004551E9">
      <w:pPr>
        <w:rPr>
          <w:kern w:val="24"/>
          <w:lang w:eastAsia="es-AR"/>
        </w:rPr>
      </w:pPr>
      <w:r w:rsidRPr="00E72B02">
        <w:rPr>
          <w:kern w:val="24"/>
          <w:lang w:eastAsia="es-AR"/>
        </w:rPr>
        <w:t xml:space="preserve">  El artículo 15 de la CDPD sobre protección contra la tortura y otros tratos o penas crueles, inhumanos o degradantes establece que:</w:t>
      </w:r>
    </w:p>
    <w:p w:rsidR="009716D2" w:rsidRPr="00E72B02" w:rsidRDefault="009716D2" w:rsidP="004551E9">
      <w:pPr>
        <w:pStyle w:val="Cita"/>
        <w:rPr>
          <w:lang w:eastAsia="es-AR"/>
        </w:rPr>
      </w:pPr>
      <w:r w:rsidRPr="00E72B02">
        <w:rPr>
          <w:lang w:eastAsia="es-AR"/>
        </w:rPr>
        <w:t>“…1) Ninguna persona será sometida a tortura u otros tratos o penas crueles, inhumanos o degradantes. En particular, nadie será sometido a experimentos médicos o científicos sin su consentimiento libre e informado.</w:t>
      </w:r>
    </w:p>
    <w:p w:rsidR="009716D2" w:rsidRPr="00E72B02" w:rsidRDefault="009716D2" w:rsidP="004551E9">
      <w:pPr>
        <w:pStyle w:val="Cita"/>
        <w:rPr>
          <w:kern w:val="24"/>
          <w:lang w:eastAsia="es-AR"/>
        </w:rPr>
      </w:pPr>
      <w:r w:rsidRPr="00E72B02">
        <w:rPr>
          <w:lang w:eastAsia="es-AR"/>
        </w:rPr>
        <w:t>2) Los Estados Partes tomarán todas las medidas de carácter legislativo, administrativo, judicial o de otra índole que sean efectivas para evitar que las personas con discapacidad, en igualdad de condiciones con las demás, sean sometidas a torturas u otros tratos o penas crueles, inhumanos o degradantes...”</w:t>
      </w:r>
    </w:p>
    <w:p w:rsidR="009716D2" w:rsidRPr="00E72B02" w:rsidRDefault="009716D2" w:rsidP="004551E9">
      <w:pPr>
        <w:rPr>
          <w:kern w:val="24"/>
          <w:lang w:eastAsia="es-AR"/>
        </w:rPr>
      </w:pPr>
      <w:r w:rsidRPr="00E72B02">
        <w:rPr>
          <w:kern w:val="24"/>
          <w:lang w:eastAsia="es-AR"/>
        </w:rPr>
        <w:t>Por su parte el artículo 17 de la CDPD sobre la protección de la integridad personal establece que:</w:t>
      </w:r>
    </w:p>
    <w:p w:rsidR="009716D2" w:rsidRPr="00E72B02" w:rsidRDefault="009716D2" w:rsidP="004551E9">
      <w:pPr>
        <w:pStyle w:val="Cita"/>
        <w:rPr>
          <w:lang w:eastAsia="es-AR"/>
        </w:rPr>
      </w:pPr>
      <w:r w:rsidRPr="00E72B02">
        <w:rPr>
          <w:lang w:eastAsia="es-AR"/>
        </w:rPr>
        <w:t>“…Toda persona con discapacidad tiene derecho a que se respete su integridad física y mental en igualdad de condiciones con las demás…”</w:t>
      </w:r>
    </w:p>
    <w:p w:rsidR="009716D2" w:rsidRPr="00E72B02" w:rsidRDefault="009716D2" w:rsidP="004551E9">
      <w:pPr>
        <w:rPr>
          <w:kern w:val="24"/>
          <w:lang w:eastAsia="es-AR"/>
        </w:rPr>
      </w:pPr>
      <w:r w:rsidRPr="00E72B02">
        <w:rPr>
          <w:kern w:val="24"/>
          <w:lang w:eastAsia="es-AR"/>
        </w:rPr>
        <w:t xml:space="preserve">La relación entre artículo 12(2) y los artículos 15 y 17 se centra principalmente en aquellos tratamientos médicos forzosos que pueden suponer un grave menoscabo del derecho a la integridad personal de las </w:t>
      </w:r>
      <w:r w:rsidRPr="00E72B02">
        <w:rPr>
          <w:kern w:val="24"/>
          <w:lang w:eastAsia="es-AR"/>
        </w:rPr>
        <w:lastRenderedPageBreak/>
        <w:t>personas con discapacidad, en especial, en relación con el proceso de toma de decisiones respecto de dichos tratamientos.</w:t>
      </w:r>
      <w:r w:rsidRPr="00E72B02">
        <w:rPr>
          <w:rStyle w:val="Refdenotaalpie"/>
          <w:kern w:val="24"/>
          <w:lang w:val="es-ES" w:eastAsia="es-AR"/>
        </w:rPr>
        <w:footnoteReference w:id="719"/>
      </w:r>
      <w:r w:rsidRPr="00E72B02">
        <w:rPr>
          <w:kern w:val="24"/>
          <w:lang w:eastAsia="es-AR"/>
        </w:rPr>
        <w:t xml:space="preserve"> </w:t>
      </w:r>
    </w:p>
    <w:p w:rsidR="009716D2" w:rsidRPr="00E72B02" w:rsidRDefault="009716D2" w:rsidP="004551E9">
      <w:pPr>
        <w:rPr>
          <w:kern w:val="24"/>
          <w:lang w:eastAsia="es-AR"/>
        </w:rPr>
      </w:pPr>
      <w:r w:rsidRPr="00E72B02">
        <w:rPr>
          <w:kern w:val="24"/>
          <w:lang w:eastAsia="es-AR"/>
        </w:rPr>
        <w:t xml:space="preserve">La perspectiva de la CDPD sobre la protección de la integridad personal es, al igual que el resto de los derechos, de no discriminación, es decir, prevenir que las personas con discapacidad sean discriminadas mediante el padecimiento de prácticas o medidas que restrinjan su integridad personal en igual de condiciones con los demás. Y la práctica demuestra que la discriminación en este punto, se cuela de una forma sutil a través de la negación del derecho a tomar sus propias decisiones. Por ello, la importancia de analizar los artículos 15 y 17 de la mano del artículo 12(2). </w:t>
      </w:r>
    </w:p>
    <w:p w:rsidR="009716D2" w:rsidRPr="00E72B02" w:rsidRDefault="009716D2" w:rsidP="004551E9">
      <w:pPr>
        <w:rPr>
          <w:kern w:val="24"/>
          <w:lang w:eastAsia="es-AR"/>
        </w:rPr>
      </w:pPr>
      <w:r w:rsidRPr="00E72B02">
        <w:rPr>
          <w:kern w:val="24"/>
          <w:lang w:eastAsia="es-AR"/>
        </w:rPr>
        <w:t xml:space="preserve">Por ello, si bien hemos concluido que el internamiento forzoso en instituciones psiquiátricas queda definitivamente desterrado en virtud del artículo 14, es preciso en este punto efectuar una aclaración sobre la aplicación de los artículos 15 y 17. Sin perjuicio de que la solución de la CDPD sea la desinstitucionalización de personas con discapacidad, lo cierto es que las conclusiones que se llevan a cabo en este punto serán aplicables tanto a situaciones que se puedan registrar en el marco de una institucionalización como fuera de ella. No resulta incoherente sostener por un lado la desinstitucionalización de personas con discapacidad, y por otro, defender el derecho a la protección de la integridad personal en un contexto de internamiento forzoso. En otras palabras, mientras el análisis de la medida de internamiento debe ser analizada desde la perspectiva del derecho a la libertad, las prácticas médicas o experimentaciones científicas a las que pudiera ser sometida una persona con discapacidad en un régimen de </w:t>
      </w:r>
      <w:r w:rsidRPr="00E72B02">
        <w:rPr>
          <w:kern w:val="24"/>
          <w:lang w:eastAsia="es-AR"/>
        </w:rPr>
        <w:lastRenderedPageBreak/>
        <w:t>internamiento, deben ser analizadas desde la perspectiva del derecho a la integridad personal.</w:t>
      </w:r>
      <w:r w:rsidRPr="00E72B02">
        <w:rPr>
          <w:rStyle w:val="Refdenotaalpie"/>
          <w:kern w:val="24"/>
          <w:lang w:val="es-ES" w:eastAsia="es-AR"/>
        </w:rPr>
        <w:footnoteReference w:id="720"/>
      </w:r>
    </w:p>
    <w:p w:rsidR="009716D2" w:rsidRPr="00E72B02" w:rsidRDefault="009716D2" w:rsidP="004551E9">
      <w:pPr>
        <w:rPr>
          <w:kern w:val="24"/>
          <w:lang w:eastAsia="es-AR"/>
        </w:rPr>
      </w:pPr>
      <w:r w:rsidRPr="00E72B02">
        <w:rPr>
          <w:kern w:val="24"/>
          <w:lang w:eastAsia="es-AR"/>
        </w:rPr>
        <w:t xml:space="preserve">Antes de adentrarnos en las situaciones de vulneraciones de los derechos de las personas con discapacidad en materia del derecho a la integridad personal, es importante analizar si el Estado puede legítimamente obligar a una persona a someterse con su voluntad a tratamientos médicos. </w:t>
      </w:r>
    </w:p>
    <w:p w:rsidR="009716D2" w:rsidRPr="00E72B02" w:rsidRDefault="009716D2" w:rsidP="004551E9">
      <w:pPr>
        <w:rPr>
          <w:kern w:val="24"/>
          <w:lang w:eastAsia="es-AR"/>
        </w:rPr>
      </w:pPr>
      <w:r w:rsidRPr="00E72B02">
        <w:rPr>
          <w:kern w:val="24"/>
          <w:lang w:eastAsia="es-AR"/>
        </w:rPr>
        <w:t xml:space="preserve">¿Podría el Estado por ejemplo obligar a una persona que declara ser Testigo de Jehová a someterse a una transfusión de sangre para evitar un daño grave en su salud? ¿Sería el mismo caso en relación con una persona que registra un cuadro de anorexia o de obesidad que pone en riesgo su vida? La realidad demuestra que estos casos son catalogados como dilemas bioéticos que no encuentran una solución legal y que por lo tanto son resueltos de forma particular según el caso en cuestión. Sin embargo cuando pensamos en personas con discapacidad intelectual o mental, el derecho y la práctica parece no tener dilemas bioéticos al momento de determinar, incluso legalmente, que la voluntad de la persona puede ser reemplazada por un representante legal, o en el mejor de los casos, por un juez. Y es aquí donde se registra la sutileza en la discriminación puesto que las personas no son obligadas en rigor a someterse a un tratamiento médico o experimentación científica, sino que su voluntad es sustituida por un tercero que actúa en su nombre, sea un tutor, un médico, o un juez. Por ello, la clave para abordar </w:t>
      </w:r>
      <w:r w:rsidRPr="00E72B02">
        <w:rPr>
          <w:kern w:val="24"/>
          <w:lang w:eastAsia="es-AR"/>
        </w:rPr>
        <w:lastRenderedPageBreak/>
        <w:t>adecuadamente la protección de la integridad personal de las personas con discapacidad recae básicamente en lo que se denomina como “consentimiento libre e informado”, lo que necesariamente conecta, como se ha afirmado más arriba, los artículos 15 y 17 con el artículo 12(2).</w:t>
      </w:r>
      <w:r w:rsidRPr="00E72B02">
        <w:rPr>
          <w:rStyle w:val="Refdenotaalpie"/>
          <w:kern w:val="24"/>
          <w:lang w:val="es-ES" w:eastAsia="es-AR"/>
        </w:rPr>
        <w:footnoteReference w:id="721"/>
      </w:r>
    </w:p>
    <w:p w:rsidR="009716D2" w:rsidRPr="00E72B02" w:rsidRDefault="009716D2" w:rsidP="004551E9">
      <w:pPr>
        <w:rPr>
          <w:kern w:val="24"/>
          <w:lang w:eastAsia="es-AR"/>
        </w:rPr>
      </w:pPr>
      <w:r w:rsidRPr="00E72B02">
        <w:rPr>
          <w:kern w:val="24"/>
          <w:lang w:eastAsia="es-AR"/>
        </w:rPr>
        <w:t>Entre los principales tratamientos que generalizadamente son dispensados respecto de personas con discapacidad y que suponen un menoscabo o afectación grave del derecho a la integridad persona podríamos citar los siguientes: a) Tratamientos o prácticas en instituciones psiquiátricas como electroshock, sujeción, o alimentación forzosa; b) medicalización forzosa; c) experimentaciones médicas o científicas; y d) esterilizaciones. Cabe aclarar que, en este punto, sólo se han citado aquellas prácticas que se consideran “legales”, es decir, prácticas que el sistema imperante sostiene y defiende como legítimas dentro de un marco de supuesta protección de la persona. Por ello dentro de estas prácticas no se han mencionado aquellas que también suponen un menoscabo de la integridad personal de las personas pero que ningún gobierno defendería como “legales” como podría ser el hacinamiento, la desnutrición, los abusos y malos tratos, las violaciones, etc. Estas prácticas están amparadas por los artículos 15 y 17, así como también por el artículo 16.</w:t>
      </w:r>
      <w:r w:rsidRPr="00E72B02">
        <w:rPr>
          <w:rStyle w:val="Refdenotaalpie"/>
          <w:kern w:val="24"/>
          <w:lang w:val="es-ES" w:eastAsia="es-AR"/>
        </w:rPr>
        <w:footnoteReference w:id="722"/>
      </w:r>
      <w:r w:rsidRPr="00E72B02">
        <w:rPr>
          <w:kern w:val="24"/>
          <w:lang w:eastAsia="es-AR"/>
        </w:rPr>
        <w:t xml:space="preserve"> </w:t>
      </w:r>
    </w:p>
    <w:p w:rsidR="009716D2" w:rsidRPr="00E72B02" w:rsidRDefault="009716D2" w:rsidP="004551E9">
      <w:pPr>
        <w:rPr>
          <w:kern w:val="24"/>
          <w:lang w:eastAsia="es-AR"/>
        </w:rPr>
      </w:pPr>
      <w:r w:rsidRPr="00E72B02">
        <w:rPr>
          <w:kern w:val="24"/>
          <w:lang w:eastAsia="es-AR"/>
        </w:rPr>
        <w:lastRenderedPageBreak/>
        <w:t xml:space="preserve">Para analizar las prácticas señalas es preciso trazar una distinción entre prácticas que puedan suponer un acto de tortura o trato inhumano, cruel o degradante, en las cuales la persona no podría en ningún caso consentirlas, y aquellas prácticas que simplemente podrían menoscabar la integridad personal, pero que la persona podría legítimamente aceptar como una decisión personal libremente aceptada. Si bien en algunos casos la pertenencia a una u otra categoría resulta evidente, en otros el límite no resulta tan claro. </w:t>
      </w:r>
    </w:p>
    <w:p w:rsidR="009716D2" w:rsidRPr="00E72B02" w:rsidRDefault="009716D2" w:rsidP="004551E9">
      <w:pPr>
        <w:rPr>
          <w:kern w:val="24"/>
          <w:lang w:eastAsia="es-AR"/>
        </w:rPr>
      </w:pPr>
      <w:r w:rsidRPr="00E72B02">
        <w:rPr>
          <w:kern w:val="24"/>
          <w:lang w:eastAsia="es-AR"/>
        </w:rPr>
        <w:t>En este sentido es relevante destacar las conclusiones vertidas por el ex Relator Especial de la ONU sobre la cuestión de la Tortura Sr. Manfred Nowak en su informe de 2008 cuando lleva a cabo un análisis del marco jurídico internacional contra la tortura en relación con las personas con discapacidad, en especial, respecto del artículo 15 de la CDPD.</w:t>
      </w:r>
      <w:r w:rsidRPr="00E72B02">
        <w:rPr>
          <w:rStyle w:val="Refdenotaalpie"/>
          <w:kern w:val="24"/>
          <w:lang w:val="es-ES" w:eastAsia="es-AR"/>
        </w:rPr>
        <w:footnoteReference w:id="723"/>
      </w:r>
      <w:r w:rsidRPr="00E72B02">
        <w:rPr>
          <w:kern w:val="24"/>
          <w:lang w:eastAsia="es-AR"/>
        </w:rPr>
        <w:t xml:space="preserve"> </w:t>
      </w:r>
    </w:p>
    <w:p w:rsidR="009716D2" w:rsidRPr="00E72B02" w:rsidRDefault="009716D2" w:rsidP="004551E9">
      <w:pPr>
        <w:rPr>
          <w:kern w:val="24"/>
          <w:lang w:eastAsia="es-AR"/>
        </w:rPr>
      </w:pPr>
      <w:r w:rsidRPr="00E72B02">
        <w:rPr>
          <w:kern w:val="24"/>
          <w:lang w:eastAsia="es-AR"/>
        </w:rPr>
        <w:t>El Relator comienza por destacar que la CDPD complementa otros instrumentos de derechos humanos respecto de la prohibición de la tortura y los malos tratos proporcionando orientaciones autorizada adicionales, al tiempo que afirma que “la aceptación de tratamiento involuntario y el encierro involuntario va en contra de lo dispuesto en la CDPD.</w:t>
      </w:r>
      <w:r w:rsidRPr="00E72B02">
        <w:rPr>
          <w:rStyle w:val="Refdenotaalpie"/>
          <w:kern w:val="24"/>
          <w:lang w:val="es-ES" w:eastAsia="es-AR"/>
        </w:rPr>
        <w:footnoteReference w:id="724"/>
      </w:r>
    </w:p>
    <w:p w:rsidR="009716D2" w:rsidRPr="00E72B02" w:rsidRDefault="009716D2" w:rsidP="004551E9">
      <w:pPr>
        <w:rPr>
          <w:kern w:val="24"/>
          <w:lang w:eastAsia="es-AR"/>
        </w:rPr>
      </w:pPr>
      <w:r w:rsidRPr="00E72B02">
        <w:rPr>
          <w:kern w:val="24"/>
          <w:lang w:eastAsia="es-AR"/>
        </w:rPr>
        <w:lastRenderedPageBreak/>
        <w:t>En el punto central del informe el Relator analiza algunas prácticas usuales y generalizadas que los Estados suelen dispensar a personas con discapacidad desde el prisma de los cuatro elementos que un acto u omisión debe reunir para constituir tortura según la definición de la Convención Contra la Tortura, esto es, dolores o sufrimientos graves, intención, propósito y participación del Estado. El Relator encuentra indicios de tortura en prácticas tales como formas de inmovilización y reclusión, experimentos médicos o científicos, intervenciones médicas, abortos y esterilizaciones, terapias electroconvulsivas, intervenciones psiquiátricas forzadas, internamientos involuntarios en instituciones psiquiátricas, violencia y abusos sexuales.</w:t>
      </w:r>
      <w:r w:rsidRPr="00E72B02">
        <w:rPr>
          <w:rStyle w:val="Refdenotaalpie"/>
          <w:kern w:val="24"/>
          <w:lang w:val="es-ES" w:eastAsia="es-AR"/>
        </w:rPr>
        <w:footnoteReference w:id="725"/>
      </w:r>
      <w:r w:rsidRPr="00E72B02">
        <w:rPr>
          <w:kern w:val="24"/>
          <w:lang w:eastAsia="es-AR"/>
        </w:rPr>
        <w:t xml:space="preserve"> </w:t>
      </w:r>
    </w:p>
    <w:p w:rsidR="009716D2" w:rsidRPr="00E72B02" w:rsidRDefault="009716D2" w:rsidP="004551E9">
      <w:pPr>
        <w:rPr>
          <w:kern w:val="24"/>
          <w:lang w:eastAsia="es-AR"/>
        </w:rPr>
      </w:pPr>
      <w:r w:rsidRPr="00E72B02">
        <w:rPr>
          <w:kern w:val="24"/>
          <w:lang w:eastAsia="es-AR"/>
        </w:rPr>
        <w:t>Más recientemente el actual Relator Especial Juan Méndez, ha vuelto a analizar el artículo 15 de la CDPD en el marco general de protección contra la tortura, y ha señalado que: “</w:t>
      </w:r>
      <w:r w:rsidRPr="00E72B02">
        <w:rPr>
          <w:i/>
          <w:kern w:val="24"/>
          <w:lang w:eastAsia="es-AR"/>
        </w:rPr>
        <w:t>es necesario reafirmar que la Convención sobre los derechos de las personas con discapacidad ofrece el conjunto más completo de normas sobre esos derechos, entre otras cosas, en el contexto de la atención de la salud, en el que las opciones de las personas con discapacidad suelen quedar invalidadas atendiendo a un supuesto "interés superior" y las violaciones graves y la discriminación contra estas personas pueden encubrirse aduciendo las "buenas intenciones" de los profesionales de la salud</w:t>
      </w:r>
      <w:r w:rsidRPr="00E72B02">
        <w:rPr>
          <w:kern w:val="24"/>
          <w:lang w:eastAsia="es-AR"/>
        </w:rPr>
        <w:t>”.</w:t>
      </w:r>
      <w:r w:rsidRPr="00E72B02">
        <w:rPr>
          <w:rStyle w:val="Refdenotaalpie"/>
          <w:kern w:val="24"/>
          <w:lang w:val="es-ES" w:eastAsia="es-AR"/>
        </w:rPr>
        <w:footnoteReference w:id="726"/>
      </w:r>
      <w:r w:rsidRPr="00E72B02">
        <w:rPr>
          <w:kern w:val="24"/>
          <w:lang w:eastAsia="es-AR"/>
        </w:rPr>
        <w:t xml:space="preserve"> Más precisamente ha manifestado que “</w:t>
      </w:r>
      <w:r w:rsidRPr="00E72B02">
        <w:rPr>
          <w:i/>
          <w:kern w:val="24"/>
          <w:lang w:eastAsia="es-AR"/>
        </w:rPr>
        <w:t xml:space="preserve">la doctrina de la necesidad médica sigue obstaculizando la protección contra los maltratos arbitrarios en entornos de atención de la salud. Es, por lo tanto, importante aclarar que el tratamiento proporcionado de forma contraria a las disposiciones de la Convención sobre los derechos de las personas con discapacidad, ya sea mediante coacción o discriminación, no puede ser </w:t>
      </w:r>
      <w:r w:rsidRPr="00E72B02">
        <w:rPr>
          <w:i/>
          <w:kern w:val="24"/>
          <w:lang w:eastAsia="es-AR"/>
        </w:rPr>
        <w:lastRenderedPageBreak/>
        <w:t>legítimo ni justificarse con arreglo a la doctrina de necesidad médica</w:t>
      </w:r>
      <w:r w:rsidRPr="00E72B02">
        <w:rPr>
          <w:kern w:val="24"/>
          <w:lang w:eastAsia="es-AR"/>
        </w:rPr>
        <w:t>”,</w:t>
      </w:r>
      <w:r w:rsidRPr="00E72B02">
        <w:rPr>
          <w:rStyle w:val="Refdenotaalpie"/>
          <w:kern w:val="24"/>
          <w:lang w:val="es-ES" w:eastAsia="es-AR"/>
        </w:rPr>
        <w:footnoteReference w:id="727"/>
      </w:r>
      <w:r w:rsidRPr="00E72B02">
        <w:rPr>
          <w:kern w:val="24"/>
          <w:lang w:eastAsia="es-AR"/>
        </w:rPr>
        <w:t xml:space="preserve"> y que “</w:t>
      </w:r>
      <w:r w:rsidRPr="00E72B02">
        <w:rPr>
          <w:i/>
          <w:kern w:val="24"/>
          <w:lang w:eastAsia="es-AR"/>
        </w:rPr>
        <w:t>las intervenciones médicas forzosas, que suelen justificarse erróneamente alegando teorías de incapacidad y de necesidad terapéutica contrarias a la Convención sobre los derechos de las personas con discapacidad, se ven legitimadas por las leyes nacionales, y pueden llegar a gozar de un amplio apoyo público al realizarse en aras del presunto "interés superior" de la persona afectada. No obstante, en la medida en que infligen dolor o sufrimientos graves, contravienen la prohibición absoluta de la tortura y tratos crueles, inhumanos o degradantes</w:t>
      </w:r>
      <w:r w:rsidRPr="00E72B02">
        <w:rPr>
          <w:kern w:val="24"/>
          <w:lang w:eastAsia="es-AR"/>
        </w:rPr>
        <w:t>”.</w:t>
      </w:r>
      <w:r w:rsidRPr="00E72B02">
        <w:rPr>
          <w:rStyle w:val="Refdenotaalpie"/>
          <w:kern w:val="24"/>
          <w:lang w:val="es-ES" w:eastAsia="es-AR"/>
        </w:rPr>
        <w:footnoteReference w:id="728"/>
      </w:r>
    </w:p>
    <w:p w:rsidR="009716D2" w:rsidRPr="00E72B02" w:rsidRDefault="009716D2" w:rsidP="004551E9">
      <w:pPr>
        <w:rPr>
          <w:kern w:val="24"/>
          <w:lang w:eastAsia="es-AR"/>
        </w:rPr>
      </w:pPr>
      <w:r w:rsidRPr="00E72B02">
        <w:rPr>
          <w:kern w:val="24"/>
          <w:lang w:eastAsia="es-AR"/>
        </w:rPr>
        <w:t>El CteCDPD también ha llamado la atención a varios Estados Parte sobre las prácticas en instituciones que pudieran constituir torturas o tratos inhumanos.</w:t>
      </w:r>
      <w:r w:rsidRPr="00E72B02">
        <w:rPr>
          <w:rStyle w:val="Refdenotaalpie"/>
          <w:kern w:val="24"/>
          <w:lang w:val="es-ES" w:eastAsia="es-AR"/>
        </w:rPr>
        <w:footnoteReference w:id="729"/>
      </w:r>
      <w:r w:rsidRPr="00E72B02">
        <w:rPr>
          <w:kern w:val="24"/>
          <w:lang w:eastAsia="es-AR"/>
        </w:rPr>
        <w:t xml:space="preserve"> </w:t>
      </w:r>
    </w:p>
    <w:p w:rsidR="009716D2" w:rsidRPr="00E72B02" w:rsidRDefault="009716D2" w:rsidP="004551E9">
      <w:pPr>
        <w:rPr>
          <w:kern w:val="24"/>
          <w:lang w:eastAsia="es-AR"/>
        </w:rPr>
      </w:pPr>
      <w:r w:rsidRPr="00E72B02">
        <w:rPr>
          <w:kern w:val="24"/>
          <w:lang w:eastAsia="es-AR"/>
        </w:rPr>
        <w:lastRenderedPageBreak/>
        <w:t>Ahora bien, volviendo a la conexión entre el reconocimiento de la igualdad en el ejercicio de la capacidad jurídica –artículo 12(2)-, y la prohibición de tortura –artículo 15-, es preciso analizar si lo que pudiera determinar que un acto sea tortura es la falta de voluntad de la persona sometida al acto en cuestión. Por ejemplo, la sujeción de una persona a una cama por tiempo prolongado ¿podría ser un acto de tortura por el acto en sí mismo o porque la persona no consiente dicha práctica? En este caso parece clara la primera de las opciones, pero el propio artículo 15 de la CDPD en su primer inciso luego de establecer la prohibición general de tortura, señala que “…</w:t>
      </w:r>
      <w:r w:rsidRPr="00E72B02">
        <w:rPr>
          <w:i/>
          <w:kern w:val="24"/>
          <w:lang w:eastAsia="es-AR"/>
        </w:rPr>
        <w:t>nadie será sometido a experimentos médicos o científicos sin su libre consentimiento</w:t>
      </w:r>
      <w:r w:rsidRPr="00E72B02">
        <w:rPr>
          <w:kern w:val="24"/>
          <w:lang w:eastAsia="es-AR"/>
        </w:rPr>
        <w:t>…” Con lo cual parecería que lo que determina la calificación de un acto como tortura o trato inhumano es el forzamiento y no el acto en sí mismo, el cual podría ser perfectamente legítimo si se lleva a cabo con el consentimiento libre e informado de la persona en cuestión.</w:t>
      </w:r>
    </w:p>
    <w:p w:rsidR="009716D2" w:rsidRPr="00E72B02" w:rsidRDefault="009716D2" w:rsidP="004551E9">
      <w:pPr>
        <w:rPr>
          <w:kern w:val="24"/>
          <w:lang w:eastAsia="es-AR"/>
        </w:rPr>
      </w:pPr>
      <w:r w:rsidRPr="00E72B02">
        <w:rPr>
          <w:kern w:val="24"/>
          <w:lang w:eastAsia="es-AR"/>
        </w:rPr>
        <w:t xml:space="preserve">La respuesta a este interrogante no es menor puesto que aquellos actos que se consideren como torturas o tratos inhumanos, </w:t>
      </w:r>
      <w:r w:rsidRPr="00E72B02">
        <w:rPr>
          <w:i/>
          <w:kern w:val="24"/>
          <w:lang w:eastAsia="es-AR"/>
        </w:rPr>
        <w:t>per se</w:t>
      </w:r>
      <w:r w:rsidRPr="00E72B02">
        <w:rPr>
          <w:kern w:val="24"/>
          <w:lang w:eastAsia="es-AR"/>
        </w:rPr>
        <w:t xml:space="preserve">, no serían susceptibles de llevarse a cabo bajo ningún concepto, incluso con el asentimiento o consentimiento de la persona, y el Estado debería tomar medidas para desterrar la práctica sin más. No cabe duda que las personas con discapacidad se ven a menudo víctimas de actos u omisiones del Estado </w:t>
      </w:r>
      <w:r w:rsidRPr="00E72B02">
        <w:rPr>
          <w:kern w:val="24"/>
          <w:lang w:eastAsia="es-AR"/>
        </w:rPr>
        <w:lastRenderedPageBreak/>
        <w:t>que suponen, a todas luces, actos de tortura, como podrían ser la palizas y abusos físicos, las violaciones, la inanición, la sujeción prolongada, el régimen de aislamiento, por nombrar los más usuales. No obstante estas prácticas no requieren ser conectadas con el artículo 12(2), sino más bien con el artículo 13, es decir, acceso a la justicia, y sobre todo con el artículo 16, ya que tales prácticas no pueden llevarse a cabo en ninguna circunstancia (ni siquiera el estado de emergencia o de sitio, conflicto armado, u ocupación militar, eximen al Estado de garantizar la protección frente a dichas prácticas).</w:t>
      </w:r>
    </w:p>
    <w:p w:rsidR="009716D2" w:rsidRPr="00E72B02" w:rsidRDefault="009716D2" w:rsidP="004551E9">
      <w:pPr>
        <w:rPr>
          <w:kern w:val="24"/>
          <w:lang w:eastAsia="es-AR"/>
        </w:rPr>
      </w:pPr>
      <w:r w:rsidRPr="00E72B02">
        <w:rPr>
          <w:kern w:val="24"/>
          <w:lang w:eastAsia="es-AR"/>
        </w:rPr>
        <w:t xml:space="preserve">El problema se plantea frente a prácticas que se podrían llevar a cabo con el debido consentimiento de la persona con discapacidad. Un buen criterio para determinar si una práctica determinada puede llevarse a cabo con el consentimiento de la persona con discapacidad, es el test de no discriminación, es decir, evaluar si dicha práctica es posible llevarse a cabo respecto de personas sin discapacidad en igualdad de condiciones. En otras palabras, la CDPD igualaría a la persona con discapacidad, respecto de personas sin discapacidad por intermedio del reconocimiento del ejercicio de la capacidad jurídica y a la toma decisiones con apoyos. Si una mujer sin discapacidad puede interrumpir un embarazo o ligarse las trompas entonces una mujer con discapacidad podrían hacerlo en igualdad de condiciones. </w:t>
      </w:r>
    </w:p>
    <w:p w:rsidR="009716D2" w:rsidRPr="00E72B02" w:rsidRDefault="009716D2" w:rsidP="004551E9">
      <w:pPr>
        <w:rPr>
          <w:kern w:val="24"/>
          <w:lang w:eastAsia="es-AR"/>
        </w:rPr>
      </w:pPr>
      <w:r w:rsidRPr="00E72B02">
        <w:rPr>
          <w:kern w:val="24"/>
          <w:lang w:eastAsia="es-AR"/>
        </w:rPr>
        <w:t xml:space="preserve">El test de la no discriminación también nos permitiría desautorizar aquellas prácticas que resultan graves para la integridad personal de las personas con discapacidad y que sólo se llevan a cabo respecto de dichas personas como podría ser el caso de las terapias electroconvulsivas, la lobotomía, la psicocirugía, o la administración forzada de medicamentos como los neurolépticos y otros medicamentos psicotrópicos. Estas prácticas tampoco estarían dentro de las cuales se podrían autorizar con el consentimiento de la persona y deberían eliminarse sin más, por suponer un acto de tortura. La </w:t>
      </w:r>
      <w:r w:rsidRPr="00E72B02">
        <w:rPr>
          <w:kern w:val="24"/>
          <w:lang w:eastAsia="es-AR"/>
        </w:rPr>
        <w:lastRenderedPageBreak/>
        <w:t>consideración de estas prácticas como tortura o como una vulneración ordinaria de la integridad personal</w:t>
      </w:r>
      <w:r w:rsidRPr="00E72B02">
        <w:rPr>
          <w:rStyle w:val="Refdenotaalpie"/>
          <w:kern w:val="24"/>
          <w:lang w:val="es-ES" w:eastAsia="es-AR"/>
        </w:rPr>
        <w:footnoteReference w:id="730"/>
      </w:r>
      <w:r w:rsidRPr="00E72B02">
        <w:rPr>
          <w:kern w:val="24"/>
          <w:lang w:eastAsia="es-AR"/>
        </w:rPr>
        <w:t xml:space="preserve"> no varía respecto de la validez de las mismas (en ambos casos estaría prohibidas por la CDPD) pero si variaría respecto del tipo de medidas que el Estado debería asumir para su eliminación y represión. En caso de torturas el Estado estaría obligado además, respecto de todo el marco normativo internacional de protección contra la tortura.</w:t>
      </w:r>
      <w:r w:rsidRPr="00E72B02">
        <w:rPr>
          <w:rStyle w:val="Refdenotaalpie"/>
          <w:kern w:val="24"/>
          <w:lang w:val="es-ES" w:eastAsia="es-AR"/>
        </w:rPr>
        <w:footnoteReference w:id="731"/>
      </w:r>
    </w:p>
    <w:p w:rsidR="009716D2" w:rsidRPr="00E72B02" w:rsidRDefault="009716D2" w:rsidP="004551E9">
      <w:pPr>
        <w:rPr>
          <w:kern w:val="24"/>
          <w:lang w:eastAsia="es-AR"/>
        </w:rPr>
      </w:pPr>
      <w:r w:rsidRPr="00E72B02">
        <w:rPr>
          <w:kern w:val="24"/>
          <w:lang w:eastAsia="es-AR"/>
        </w:rPr>
        <w:t xml:space="preserve">Ahora bien, fuera de aquellos casos de prácticas que puedan ser consideradas como tortura </w:t>
      </w:r>
      <w:r w:rsidRPr="00E72B02">
        <w:rPr>
          <w:i/>
          <w:kern w:val="24"/>
          <w:lang w:eastAsia="es-AR"/>
        </w:rPr>
        <w:t>per se</w:t>
      </w:r>
      <w:r w:rsidRPr="00E72B02">
        <w:rPr>
          <w:kern w:val="24"/>
          <w:lang w:eastAsia="es-AR"/>
        </w:rPr>
        <w:t xml:space="preserve">, existen como hemos visto, otro tipo de prácticas que podrían resultar “lícitas” si son acompañadas del consentimiento libre e informado de la persona. Frente a ello es posible adoptar tres causes posibles. El primer de ello, es considerar que la falta de consentimiento libre e informado de una persona con discapacidad frente a una práctica que suponga una afectación a la integridad personal supone siempre que dicho acto sea pasible de considerarse como una tortura, o un trato inhumano. El segundo de ellos, es considerar que la falta de consentimiento libre e informado de una persona con discapacidad frente a una práctica que suponga una afectación a la integridad personal dependerá para su consideración como tortura o como una vulneración ordinaria de la integridad personal según la gravedad o entidad del acto en cuestión. El tercero de ellos, es considerar que la falta de consentimiento libre e informado de una persona con discapacidad frente a una práctica que suponga una afectación a la integridad personal supone siempre una vulneración ordinaria de la integridad personal. En el primer caso se </w:t>
      </w:r>
      <w:r w:rsidRPr="00E72B02">
        <w:rPr>
          <w:kern w:val="24"/>
          <w:lang w:eastAsia="es-AR"/>
        </w:rPr>
        <w:lastRenderedPageBreak/>
        <w:t xml:space="preserve">aplicaría el artículo 15, en el segundo el artículo 15 o 17 según sea el caso, y en el tercer caso se aplicaría directamente el artículo 17. </w:t>
      </w:r>
    </w:p>
    <w:p w:rsidR="009716D2" w:rsidRPr="00E72B02" w:rsidRDefault="009716D2" w:rsidP="004551E9">
      <w:pPr>
        <w:rPr>
          <w:kern w:val="24"/>
          <w:lang w:eastAsia="es-AR"/>
        </w:rPr>
      </w:pPr>
      <w:r w:rsidRPr="00E72B02">
        <w:rPr>
          <w:kern w:val="24"/>
          <w:lang w:eastAsia="es-AR"/>
        </w:rPr>
        <w:t>De todos modos, la distinción señalada en el párrafo precedente no tiene importancia respecto del efecto de la práctica puesto que en todos los supuestos la falta de consentimiento libre e informado supondría que la práctica en cuestión es violatoria de lo estipulado en la CDPD. La diferencia radica, como ha se señalado más arriba, en las respuestas del Estado y el tipo de medidas a aplicar.</w:t>
      </w:r>
      <w:r w:rsidRPr="00E72B02">
        <w:rPr>
          <w:rStyle w:val="Refdenotaalpie"/>
          <w:kern w:val="24"/>
          <w:lang w:val="es-ES" w:eastAsia="es-AR"/>
        </w:rPr>
        <w:footnoteReference w:id="732"/>
      </w:r>
    </w:p>
    <w:p w:rsidR="009716D2" w:rsidRPr="00E72B02" w:rsidRDefault="009716D2" w:rsidP="004551E9">
      <w:pPr>
        <w:rPr>
          <w:kern w:val="24"/>
          <w:lang w:eastAsia="es-AR"/>
        </w:rPr>
      </w:pPr>
      <w:r w:rsidRPr="00E72B02">
        <w:rPr>
          <w:kern w:val="24"/>
          <w:lang w:eastAsia="es-AR"/>
        </w:rPr>
        <w:t>Lo trascendental en este punto es esclarecer qué entiende la CDPD por “consentimiento libre e informado” y, es allí donde el vínculo entre los artículos 15, 17 y el 12 resulta tan relevante.</w:t>
      </w:r>
      <w:r w:rsidRPr="00E72B02">
        <w:rPr>
          <w:rStyle w:val="Refdenotaalpie"/>
          <w:kern w:val="24"/>
          <w:lang w:val="es-ES" w:eastAsia="es-AR"/>
        </w:rPr>
        <w:footnoteReference w:id="733"/>
      </w:r>
      <w:r w:rsidRPr="00E72B02">
        <w:rPr>
          <w:kern w:val="24"/>
          <w:lang w:eastAsia="es-AR"/>
        </w:rPr>
        <w:t xml:space="preserve"> El modelo imperante en prácticamente la totalidad de los sistemas domésticos considera resuelto el requisito del consentimiento informado en relación con personas con discapacidad (sean que estén incapacitadas o no), con el consentimiento otorgado por el tutor, curador, familiares, o en el mejor de los casos, por el juez. Como se ha visto el artículo 12(2) reconoce el derecho de todas las personas con discapacidad al ejercicio de su capacidad jurídica lo que </w:t>
      </w:r>
      <w:r w:rsidRPr="00E72B02">
        <w:rPr>
          <w:kern w:val="24"/>
          <w:lang w:eastAsia="es-AR"/>
        </w:rPr>
        <w:lastRenderedPageBreak/>
        <w:t>supone el derecho a tomar sus propias decisiones. La sustitución en la toma de decisiones personales está prohibida respecto de personas con discapacidad, más aún cuando se tratan de decisiones que pueden afectar gravemente la integridad personal. Con lo cual, para la CDPD, la sustitución en la toma de decisiones en este tipo de cuestiones, tiene el mismo efecto que la falta de consentimiento.</w:t>
      </w:r>
      <w:r w:rsidRPr="00E72B02">
        <w:rPr>
          <w:rStyle w:val="Refdenotaalpie"/>
          <w:kern w:val="24"/>
          <w:lang w:val="es-ES" w:eastAsia="es-AR"/>
        </w:rPr>
        <w:footnoteReference w:id="734"/>
      </w:r>
      <w:r w:rsidRPr="00E72B02">
        <w:rPr>
          <w:kern w:val="24"/>
          <w:lang w:eastAsia="es-AR"/>
        </w:rPr>
        <w:t xml:space="preserve"> </w:t>
      </w:r>
    </w:p>
    <w:p w:rsidR="009716D2" w:rsidRPr="00E72B02" w:rsidRDefault="009716D2" w:rsidP="004551E9">
      <w:pPr>
        <w:rPr>
          <w:kern w:val="24"/>
          <w:lang w:eastAsia="es-AR"/>
        </w:rPr>
      </w:pPr>
      <w:r w:rsidRPr="00E72B02">
        <w:rPr>
          <w:kern w:val="24"/>
          <w:lang w:eastAsia="es-AR"/>
        </w:rPr>
        <w:t xml:space="preserve">El consentimiento libre e informado a la luz de la CDPD debe disgregarse en tres elementos claves. El primero es sobre la titularidad de la decisión que en virtud del artículo 12(2) recae siempre en la propia persona con discapacidad. El segundo es sobre los apoyos en el ejercicio de la capacidad jurídica que en virtud del artículo 12(3) deben estas disponibles para que la persona con discapacidad pueda contar con la asistencia necesaria que le iguale en condiciones con los demás. Y el tercero es la accesibilidad de la información que debe estar disponible en todos aquellos formatos alternativos que requieran las personas con discapacidad. </w:t>
      </w:r>
    </w:p>
    <w:p w:rsidR="009716D2" w:rsidRPr="00E72B02" w:rsidRDefault="009716D2" w:rsidP="004551E9">
      <w:pPr>
        <w:rPr>
          <w:kern w:val="24"/>
          <w:lang w:eastAsia="es-AR"/>
        </w:rPr>
      </w:pPr>
      <w:r w:rsidRPr="00E72B02">
        <w:rPr>
          <w:kern w:val="24"/>
          <w:lang w:eastAsia="es-AR"/>
        </w:rPr>
        <w:t xml:space="preserve">El último de los escenarios posible en relación con la protección de la integridad personal, y siempre teniendo en cuenta el test de la no discriminación, son aquellos casos donde el Estado autorice prácticas que puedan suponer una afectación grave de la integridad personal de forma generalizada y aplicable a todas las personas. Como hemos visto, existen casos en los cuales el Estado suele forzar a persona a someterse a tratamientos médicos en contra de su voluntad, ejerciendo un papel </w:t>
      </w:r>
      <w:r w:rsidRPr="00E72B02">
        <w:rPr>
          <w:kern w:val="24"/>
          <w:lang w:eastAsia="es-AR"/>
        </w:rPr>
        <w:lastRenderedPageBreak/>
        <w:t>paternalista y anteponiendo la voluntad de la persona por sobre lo que se considera mejor para resguardar sus derechos.</w:t>
      </w:r>
      <w:r w:rsidRPr="00E72B02">
        <w:rPr>
          <w:rStyle w:val="Refdenotaalpie"/>
          <w:kern w:val="24"/>
          <w:lang w:val="es-ES" w:eastAsia="es-AR"/>
        </w:rPr>
        <w:footnoteReference w:id="735"/>
      </w:r>
    </w:p>
    <w:p w:rsidR="009716D2" w:rsidRPr="00E72B02" w:rsidRDefault="009716D2" w:rsidP="004551E9">
      <w:pPr>
        <w:rPr>
          <w:kern w:val="24"/>
          <w:lang w:eastAsia="es-AR"/>
        </w:rPr>
      </w:pPr>
      <w:r w:rsidRPr="00E72B02">
        <w:rPr>
          <w:kern w:val="24"/>
          <w:lang w:eastAsia="es-AR"/>
        </w:rPr>
        <w:t xml:space="preserve">Al respecto es importante efectuar dos consideraciones importantes. </w:t>
      </w:r>
    </w:p>
    <w:p w:rsidR="009716D2" w:rsidRPr="00E72B02" w:rsidRDefault="009716D2" w:rsidP="004551E9">
      <w:pPr>
        <w:rPr>
          <w:kern w:val="24"/>
          <w:lang w:eastAsia="es-AR"/>
        </w:rPr>
      </w:pPr>
      <w:r w:rsidRPr="00E72B02">
        <w:rPr>
          <w:kern w:val="24"/>
          <w:lang w:eastAsia="es-AR"/>
        </w:rPr>
        <w:t>En primer lugar, que el único derecho que podría justificar la afectación de una persona de su integridad personal contra su voluntad es el derecho a la vida, aunque este razonamiento no está exento de serios cuestionamientos. Pensemos por ejemplo en el caso de las transfusiones de sangre que se suelen autorizar respecto de personas que alegan ser “Testigos de Jehová” en contra de su voluntad, y que dichas personas rechazan por considerar el derecho a la identidad y a profesar un culto como superiores incluso a la propia vida. No obstante, y al margen de los cuestionamientos señalados, lo cierto es que la inmensa mayoría de los tratamientos médicos a los cuales se somete involuntariamente a las personas con discapacidad, no sólo no logran fundamentar un supuesto riesgo grave e inminente para la vida de la persona, sino que por lo general, no logran siquiera fundamentar su utilidad terapéutica.</w:t>
      </w:r>
    </w:p>
    <w:p w:rsidR="009716D2" w:rsidRPr="00E72B02" w:rsidRDefault="009716D2" w:rsidP="004551E9">
      <w:pPr>
        <w:rPr>
          <w:kern w:val="24"/>
          <w:lang w:eastAsia="es-AR"/>
        </w:rPr>
      </w:pPr>
      <w:r w:rsidRPr="00E72B02">
        <w:rPr>
          <w:kern w:val="24"/>
          <w:lang w:eastAsia="es-AR"/>
        </w:rPr>
        <w:t xml:space="preserve">En segundo lugar, y aunque consideremos que un tratamiento médico involuntario es posible que sea compatible con la CDPD si logra superar el test de la no discriminación que establece la propia Convención, ello no exime al Estado de tomar salvaguardias y recaudos necesarios para evitar que, en la práctica, un regulación del tratamiento involuntario que formalmente no discrimina, si lo haga en la práctica. Con lo cual, el </w:t>
      </w:r>
      <w:r w:rsidR="0074119B" w:rsidRPr="00E72B02">
        <w:rPr>
          <w:kern w:val="24"/>
          <w:lang w:eastAsia="es-AR"/>
        </w:rPr>
        <w:t>Estado Parte</w:t>
      </w:r>
      <w:r w:rsidRPr="00E72B02">
        <w:rPr>
          <w:kern w:val="24"/>
          <w:lang w:eastAsia="es-AR"/>
        </w:rPr>
        <w:t xml:space="preserve"> en la CDPD que quiera regular los tratamientos médicos involuntarios, no solo debe procurar que dichos procedimientos no discriminen desde lo </w:t>
      </w:r>
      <w:r w:rsidRPr="00E72B02">
        <w:rPr>
          <w:kern w:val="24"/>
          <w:lang w:eastAsia="es-AR"/>
        </w:rPr>
        <w:lastRenderedPageBreak/>
        <w:t>formal, sino que además deberán tomar medidas efectivas para que en la práctica no se discrimine en los hechos.</w:t>
      </w:r>
      <w:r w:rsidRPr="00E72B02">
        <w:rPr>
          <w:rStyle w:val="Refdenotaalpie"/>
          <w:kern w:val="24"/>
          <w:lang w:val="es-ES" w:eastAsia="es-AR"/>
        </w:rPr>
        <w:footnoteReference w:id="736"/>
      </w:r>
    </w:p>
    <w:p w:rsidR="009716D2" w:rsidRPr="00E72B02" w:rsidRDefault="009716D2" w:rsidP="004551E9">
      <w:pPr>
        <w:rPr>
          <w:kern w:val="24"/>
          <w:lang w:eastAsia="es-AR"/>
        </w:rPr>
      </w:pPr>
    </w:p>
    <w:p w:rsidR="009716D2" w:rsidRPr="00E72B02" w:rsidRDefault="009716D2" w:rsidP="004551E9">
      <w:pPr>
        <w:pStyle w:val="Ttulo4"/>
        <w:rPr>
          <w:kern w:val="24"/>
          <w:lang w:eastAsia="es-AR"/>
        </w:rPr>
      </w:pPr>
      <w:r w:rsidRPr="00E72B02">
        <w:rPr>
          <w:kern w:val="24"/>
          <w:lang w:eastAsia="es-AR"/>
        </w:rPr>
        <w:t>5.4.5.5 Capacidad Jurídica y Participación en la Vida Política Y Pública</w:t>
      </w:r>
    </w:p>
    <w:p w:rsidR="009716D2" w:rsidRPr="00E72B02" w:rsidRDefault="009716D2" w:rsidP="004551E9">
      <w:pPr>
        <w:rPr>
          <w:kern w:val="24"/>
          <w:lang w:eastAsia="es-AR"/>
        </w:rPr>
      </w:pPr>
    </w:p>
    <w:p w:rsidR="009716D2" w:rsidRPr="00E72B02" w:rsidRDefault="009716D2" w:rsidP="004551E9">
      <w:pPr>
        <w:rPr>
          <w:kern w:val="24"/>
          <w:lang w:eastAsia="es-AR"/>
        </w:rPr>
      </w:pPr>
      <w:r w:rsidRPr="00E72B02">
        <w:rPr>
          <w:kern w:val="24"/>
          <w:lang w:eastAsia="es-AR"/>
        </w:rPr>
        <w:t xml:space="preserve">El artículo 29 sobre participación en la vida política y pública establece que: </w:t>
      </w:r>
    </w:p>
    <w:p w:rsidR="009716D2" w:rsidRPr="00E72B02" w:rsidRDefault="009716D2" w:rsidP="004551E9">
      <w:pPr>
        <w:pStyle w:val="Cita"/>
        <w:rPr>
          <w:kern w:val="24"/>
          <w:lang w:eastAsia="es-AR"/>
        </w:rPr>
      </w:pPr>
      <w:r w:rsidRPr="00E72B02">
        <w:rPr>
          <w:kern w:val="24"/>
          <w:lang w:eastAsia="es-AR"/>
        </w:rPr>
        <w:t xml:space="preserve">“…Los Estados Partes garantizarán a las personas con discapacidad los derechos políticos y la posibilidad de gozar de ellos en igualdad de condiciones con las demás y se comprometerán a: </w:t>
      </w:r>
    </w:p>
    <w:p w:rsidR="009716D2" w:rsidRPr="00E72B02" w:rsidRDefault="009716D2" w:rsidP="004551E9">
      <w:pPr>
        <w:pStyle w:val="Cita"/>
        <w:rPr>
          <w:kern w:val="24"/>
          <w:lang w:eastAsia="es-AR"/>
        </w:rPr>
      </w:pPr>
      <w:r w:rsidRPr="00E72B02">
        <w:rPr>
          <w:kern w:val="24"/>
          <w:lang w:eastAsia="es-AR"/>
        </w:rPr>
        <w:t>a) Asegurar que las personas con discapacidad puedan participar plena y efectivamente en la vida política y pública en igualdad de condiciones con las demás, directamente o a través de representantes libremente elegidos, incluidos el derecho y la posibilidad de las personas con discapacidad a votar y ser elegidas…”</w:t>
      </w:r>
    </w:p>
    <w:p w:rsidR="009716D2" w:rsidRPr="00E72B02" w:rsidRDefault="009716D2" w:rsidP="004551E9">
      <w:pPr>
        <w:rPr>
          <w:kern w:val="24"/>
          <w:lang w:eastAsia="es-AR"/>
        </w:rPr>
      </w:pPr>
      <w:r w:rsidRPr="00E72B02">
        <w:rPr>
          <w:kern w:val="24"/>
          <w:lang w:eastAsia="es-AR"/>
        </w:rPr>
        <w:t xml:space="preserve">Aunque el artículo 29 pretende reconocer y proteger el goce y ejercicio de los derechos políticos por parte de las personas con discapacidad en un sentido amplio, lo que incluye participación activa como pasiva, y las diferentes instancias de participación política como los sindicatos, la función pública, o los partidos políticos. Esta disposición está llamada a tener un gran impacto en los Estados Partes respecto del aspecto más fundamental y básico de los derechos políticos, esto es, el derecho al voto. Y su vinculación con el artículo 12(2) no resulta casual puesto que la inmensa </w:t>
      </w:r>
      <w:r w:rsidRPr="00E72B02">
        <w:rPr>
          <w:kern w:val="24"/>
          <w:lang w:eastAsia="es-AR"/>
        </w:rPr>
        <w:lastRenderedPageBreak/>
        <w:t xml:space="preserve">mayoría de los ordenamientos jurídicos internos suelen restringir, o privar, de este derecho a las personas con discapacidad que se ven privadas del ejercicio de su capacidad jurídica. </w:t>
      </w:r>
    </w:p>
    <w:p w:rsidR="009716D2" w:rsidRPr="00E72B02" w:rsidRDefault="009716D2" w:rsidP="004551E9">
      <w:pPr>
        <w:rPr>
          <w:kern w:val="24"/>
          <w:lang w:eastAsia="es-AR"/>
        </w:rPr>
      </w:pPr>
      <w:r w:rsidRPr="00E72B02">
        <w:rPr>
          <w:kern w:val="24"/>
          <w:lang w:eastAsia="es-AR"/>
        </w:rPr>
        <w:t xml:space="preserve">El vínculo entre el artículo 12(2) y el artículo 29(1)(a) reafirma el derecho de todas las personas con discapacidad al ejercicio del derecho al sufragio en igualdad de condiciones con los demás, lo que requiere que el </w:t>
      </w:r>
      <w:r w:rsidR="0074119B" w:rsidRPr="00E72B02">
        <w:rPr>
          <w:kern w:val="24"/>
          <w:lang w:eastAsia="es-AR"/>
        </w:rPr>
        <w:t>Estado Parte</w:t>
      </w:r>
      <w:r w:rsidRPr="00E72B02">
        <w:rPr>
          <w:kern w:val="24"/>
          <w:lang w:eastAsia="es-AR"/>
        </w:rPr>
        <w:t xml:space="preserve"> remueva todas las barreras o impedimentos legales o reglamentarios que impidan a las personas con discapacidad, ejercer este derecho por motivo de su discapacidad.</w:t>
      </w:r>
      <w:r w:rsidRPr="00E72B02">
        <w:rPr>
          <w:rStyle w:val="Refdenotaalpie"/>
          <w:kern w:val="24"/>
          <w:lang w:val="es-ES" w:eastAsia="es-AR"/>
        </w:rPr>
        <w:footnoteReference w:id="737"/>
      </w:r>
      <w:r w:rsidRPr="00E72B02">
        <w:rPr>
          <w:kern w:val="24"/>
          <w:lang w:eastAsia="es-AR"/>
        </w:rPr>
        <w:t xml:space="preserve"> </w:t>
      </w:r>
    </w:p>
    <w:p w:rsidR="009716D2" w:rsidRPr="00E72B02" w:rsidRDefault="009716D2" w:rsidP="004551E9">
      <w:pPr>
        <w:rPr>
          <w:kern w:val="24"/>
          <w:lang w:eastAsia="es-AR"/>
        </w:rPr>
      </w:pPr>
      <w:r w:rsidRPr="00E72B02">
        <w:rPr>
          <w:kern w:val="24"/>
          <w:lang w:eastAsia="es-AR"/>
        </w:rPr>
        <w:t>La discriminación de personas con discapacidad en relación con el derecho al voto suele ser sutil, en el sentido que el impedimento se genera como consecuencia de otra medida pero cuyas consecuencias se reflejan en el campo de la participación política. Por lo general las personas con discapacidad no están privadas directamente de ejercer el derecho al voto, sino que la prohibición o el impedimento se genera como consecuencia de la restricción o privación de la capacidad jurídica, que como se ha visto, suele tomar la forma de la incapacitación. Más aún, el problema radica principalmente en que el ejercicio del sufragio se trata de un derecho personal e intransferible, por lo cual el representante legal de la persona incapacitada (tutor o curador), no puede ejercer este derecho en su nombre, y por tanto, la respuesta del modelo imperante, es la denegación absoluta de este derecho.</w:t>
      </w:r>
    </w:p>
    <w:p w:rsidR="009716D2" w:rsidRPr="00E72B02" w:rsidRDefault="009716D2" w:rsidP="004551E9">
      <w:pPr>
        <w:rPr>
          <w:kern w:val="24"/>
          <w:lang w:eastAsia="es-AR"/>
        </w:rPr>
      </w:pPr>
      <w:r w:rsidRPr="00E72B02">
        <w:rPr>
          <w:kern w:val="24"/>
          <w:lang w:eastAsia="es-AR"/>
        </w:rPr>
        <w:lastRenderedPageBreak/>
        <w:t xml:space="preserve">Sin perjuicio de lo señalado, es posible identificar al menos cuatro modalidades o causas de privación del derecho al voto de personas con discapacidad. </w:t>
      </w:r>
    </w:p>
    <w:p w:rsidR="009716D2" w:rsidRPr="00E72B02" w:rsidRDefault="009716D2" w:rsidP="004551E9">
      <w:pPr>
        <w:rPr>
          <w:kern w:val="24"/>
          <w:lang w:eastAsia="es-AR"/>
        </w:rPr>
      </w:pPr>
      <w:r w:rsidRPr="00E72B02">
        <w:rPr>
          <w:kern w:val="24"/>
          <w:lang w:eastAsia="es-AR"/>
        </w:rPr>
        <w:t>En primer lugar, la privación directa por medio de una norma que determina que las personas con discapacidad no pueden ejercer el derecho al voto. Aunque se trata de los menores casos, existen algunos Estado que establecen restricciones directas el ejercicio al voto de personas con discapacidad mental o intelectual. Por ejemplo la Constitución de Uruguay de 1997 establece en su artículo 80(1) que la ciudadanía se suspende por “</w:t>
      </w:r>
      <w:r w:rsidRPr="00E72B02">
        <w:rPr>
          <w:i/>
          <w:kern w:val="24"/>
          <w:lang w:eastAsia="es-AR"/>
        </w:rPr>
        <w:t>ineptitud física o mental que impida obrar libre y reflexivamente</w:t>
      </w:r>
      <w:r w:rsidRPr="00E72B02">
        <w:rPr>
          <w:kern w:val="24"/>
          <w:lang w:eastAsia="es-AR"/>
        </w:rPr>
        <w:t>”. Otras Estados tienen disposiciones similares.</w:t>
      </w:r>
      <w:r w:rsidRPr="00E72B02">
        <w:rPr>
          <w:rStyle w:val="Refdenotaalpie"/>
          <w:kern w:val="24"/>
          <w:lang w:val="es-ES" w:eastAsia="es-AR"/>
        </w:rPr>
        <w:footnoteReference w:id="738"/>
      </w:r>
      <w:r w:rsidRPr="00E72B02">
        <w:rPr>
          <w:kern w:val="24"/>
          <w:lang w:eastAsia="es-AR"/>
        </w:rPr>
        <w:t xml:space="preserve"> </w:t>
      </w:r>
    </w:p>
    <w:p w:rsidR="009716D2" w:rsidRPr="00E72B02" w:rsidRDefault="009716D2" w:rsidP="004551E9">
      <w:pPr>
        <w:rPr>
          <w:kern w:val="24"/>
          <w:lang w:eastAsia="es-AR"/>
        </w:rPr>
      </w:pPr>
      <w:r w:rsidRPr="00E72B02">
        <w:rPr>
          <w:kern w:val="24"/>
          <w:lang w:eastAsia="es-AR"/>
        </w:rPr>
        <w:t>En segundo lugar, la privación indirecta de un reglamento o procedimiento administrativo que habilita al ejercicio de los derechos ciudadanos, y como consecuencia de ello, al ejercicio del sufragio. Un claro ejemplo de ello lo encontramos en Perú donde el órgano administrativo encargado de confeccionar el padrón electoral (Registro Nacional de Identificación y Estado Civil –RENIEC-) requería que las personas con “impedimento mental” que no había sido declaradas incapaces presentasen una “declaración de asistencia” por obtener su Documento Nacional de Identidad que les permitiría votar, para lo cual requerían que dicha declaración fuera firmada por un familiar o representante legal. Esta práctica ha sido recientemente modificada</w:t>
      </w:r>
      <w:r w:rsidRPr="00E72B02">
        <w:rPr>
          <w:rStyle w:val="Refdenotaalpie"/>
          <w:kern w:val="24"/>
          <w:lang w:val="es-ES" w:eastAsia="es-AR"/>
        </w:rPr>
        <w:footnoteReference w:id="739"/>
      </w:r>
      <w:r w:rsidRPr="00E72B02">
        <w:rPr>
          <w:kern w:val="24"/>
          <w:lang w:eastAsia="es-AR"/>
        </w:rPr>
        <w:t xml:space="preserve"> pero es testigo de modalidades administrativas que restringen el derecho al voto a personas con </w:t>
      </w:r>
      <w:r w:rsidRPr="00E72B02">
        <w:rPr>
          <w:kern w:val="24"/>
          <w:lang w:eastAsia="es-AR"/>
        </w:rPr>
        <w:lastRenderedPageBreak/>
        <w:t>discapacidad intelectual o mental, sin siquiera exigir una declaración judicial de incapacidad.</w:t>
      </w:r>
    </w:p>
    <w:p w:rsidR="009716D2" w:rsidRPr="00E72B02" w:rsidRDefault="009716D2" w:rsidP="004551E9">
      <w:pPr>
        <w:rPr>
          <w:kern w:val="24"/>
          <w:lang w:eastAsia="es-AR"/>
        </w:rPr>
      </w:pPr>
      <w:r w:rsidRPr="00E72B02">
        <w:rPr>
          <w:kern w:val="24"/>
          <w:lang w:eastAsia="es-AR"/>
        </w:rPr>
        <w:t>En tercer lugar, y se trata de una modalidad generalizada y vigente en la inmensa mayoría de los ordenamientos jurídicos internos, la privación indirecta al ejercicio del derecho voto mediante la declaración de incapacidad absoluta de una persona con discapacidad. El efecto de la sentencia de incapacidad es la de privar a la persona de tomar cualquier tipo de decisiones personales y patrimoniales, lo que redunda en el derecho a votar. Más aún, lo procedimientos de incapacitación vigentes se encuentran organizados de modo tal que la inscripción de la sentencia de incapacidad, que se lleva a cabo generalmente en el registro de las personas, también se notifica al órgano competente de confeccionar el padrón electoral. Con lo cual, probablemente en lugar de hablar de un procedimiento de privación indirecta, quizás sería mejor hablar de una privación directa.</w:t>
      </w:r>
      <w:r w:rsidRPr="00E72B02">
        <w:rPr>
          <w:rStyle w:val="Refdenotaalpie"/>
          <w:kern w:val="24"/>
          <w:lang w:val="es-ES" w:eastAsia="es-AR"/>
        </w:rPr>
        <w:footnoteReference w:id="740"/>
      </w:r>
      <w:r w:rsidRPr="00E72B02">
        <w:rPr>
          <w:kern w:val="24"/>
          <w:lang w:eastAsia="es-AR"/>
        </w:rPr>
        <w:t xml:space="preserve"> </w:t>
      </w:r>
    </w:p>
    <w:p w:rsidR="009716D2" w:rsidRPr="00E72B02" w:rsidRDefault="009716D2" w:rsidP="004551E9">
      <w:pPr>
        <w:rPr>
          <w:kern w:val="24"/>
          <w:lang w:eastAsia="es-AR"/>
        </w:rPr>
      </w:pPr>
      <w:r w:rsidRPr="00E72B02">
        <w:rPr>
          <w:kern w:val="24"/>
          <w:lang w:eastAsia="es-AR"/>
        </w:rPr>
        <w:t xml:space="preserve">Finalmente en cuatro lugar, al privación fáctica al ejercicio del derecho al voto que se genera respecto de aquellas personas institucionalizadas en centros psiquiátricos o quienes no les está permitido salir de las instalaciones sin el consentimiento de la autoridad competente. Existen numerosos casos de personas con discapacidad que se encuentran institucionalizadas y que no han sida incapacitadas legalmente, con lo cual, en teoría, gozarían del derecho al voto. No obstante, debido a la situación de privación de libertad, el ejercicio del sufragio se hace imposible. Está claro que esta modalidad también se encuentra seriamente cuestionada por la CDDP aunque no supone mayores problemas en relación con el artículo </w:t>
      </w:r>
      <w:r w:rsidRPr="00E72B02">
        <w:rPr>
          <w:kern w:val="24"/>
          <w:lang w:eastAsia="es-AR"/>
        </w:rPr>
        <w:lastRenderedPageBreak/>
        <w:t>12(2). Ello claro está, siempre y cuando no exista una norma reglamentaria que prive del derecho al voto por motivo de la institucionalización.</w:t>
      </w:r>
      <w:r w:rsidRPr="00E72B02">
        <w:rPr>
          <w:rStyle w:val="Refdenotaalpie"/>
          <w:kern w:val="24"/>
          <w:lang w:val="es-ES" w:eastAsia="es-AR"/>
        </w:rPr>
        <w:footnoteReference w:id="741"/>
      </w:r>
      <w:r w:rsidRPr="00E72B02">
        <w:rPr>
          <w:kern w:val="24"/>
          <w:lang w:eastAsia="es-AR"/>
        </w:rPr>
        <w:t xml:space="preserve"> </w:t>
      </w:r>
    </w:p>
    <w:p w:rsidR="009716D2" w:rsidRPr="00E72B02" w:rsidRDefault="009716D2" w:rsidP="004551E9">
      <w:pPr>
        <w:rPr>
          <w:kern w:val="24"/>
          <w:lang w:eastAsia="es-AR"/>
        </w:rPr>
      </w:pPr>
      <w:r w:rsidRPr="00E72B02">
        <w:rPr>
          <w:kern w:val="24"/>
          <w:lang w:eastAsia="es-AR"/>
        </w:rPr>
        <w:t xml:space="preserve">Desde la perspectiva del derecho internacional de los derechos humanos, estas prácticas han sido objeto de análisis por parte de órganos de control y de tribunales de derechos humanos. Está claro que el derecho al voto es un derecho humano que permite limitaciones y donde el Estado tiene un margen de apreciación relativamente amplio. Con lo cual, el examen radica principalmente en determinar si estas prácticas o modalidades señaladas anteriormente, suponen un discriminación por motivo de discapacidad. </w:t>
      </w:r>
    </w:p>
    <w:p w:rsidR="009716D2" w:rsidRPr="00E72B02" w:rsidRDefault="009716D2" w:rsidP="004551E9">
      <w:pPr>
        <w:rPr>
          <w:kern w:val="24"/>
          <w:lang w:eastAsia="es-AR"/>
        </w:rPr>
      </w:pPr>
      <w:r w:rsidRPr="00E72B02">
        <w:rPr>
          <w:kern w:val="24"/>
          <w:lang w:eastAsia="es-AR"/>
        </w:rPr>
        <w:t>El CteDH ha abordado, como es natural, el derecho al sufragio como un elemento fundamental del Pacto. En este sentido el Comité ha expresado que: “…</w:t>
      </w:r>
      <w:r w:rsidRPr="00E72B02">
        <w:rPr>
          <w:i/>
          <w:kern w:val="24"/>
          <w:lang w:eastAsia="es-AR"/>
        </w:rPr>
        <w:t>Cualesquiera condiciones que se impongan al ejercicio de los derechos amparados por el artículo 25 deberán basarse en criterios objetivos y razonables. Por ejemplo, puede ser razonable exigir que, a fin de ser elegido o nombrado para determinados cargos, se tenga más edad que para ejercer el derecho de voto, que deben poder ejercerlo todos los ciudadanos adultos. El ejercicio de estos derechos por los ciudadanos no puede suspenderse ni negarse, salvo por los motivos previstos en la legislación y que sean razonables y objetivos. Por ejemplo, la incapacidad mental verificada puede ser motivo para negar a una persona el derecho a votar o a ocupar un cargo público</w:t>
      </w:r>
      <w:r w:rsidRPr="00E72B02">
        <w:rPr>
          <w:kern w:val="24"/>
          <w:lang w:eastAsia="es-AR"/>
        </w:rPr>
        <w:t>…”</w:t>
      </w:r>
      <w:r w:rsidRPr="00E72B02">
        <w:rPr>
          <w:rStyle w:val="Refdenotaalpie"/>
          <w:kern w:val="24"/>
          <w:lang w:val="es-ES" w:eastAsia="es-AR"/>
        </w:rPr>
        <w:footnoteReference w:id="742"/>
      </w:r>
    </w:p>
    <w:p w:rsidR="009716D2" w:rsidRPr="00E72B02" w:rsidRDefault="009716D2" w:rsidP="004551E9">
      <w:pPr>
        <w:rPr>
          <w:kern w:val="24"/>
          <w:lang w:eastAsia="es-AR"/>
        </w:rPr>
      </w:pPr>
      <w:r w:rsidRPr="00E72B02">
        <w:rPr>
          <w:kern w:val="24"/>
          <w:lang w:eastAsia="es-AR"/>
        </w:rPr>
        <w:lastRenderedPageBreak/>
        <w:t xml:space="preserve"> Con lo cual parecería que, al menos en virtud del derecho internacional de los derechos humanos, la privación del derecho al voto a personas con discapacidad mental o intelectual, solo puede establecerse mediante una sentencia judicial que acredite que existe una incapacidad mental. </w:t>
      </w:r>
    </w:p>
    <w:p w:rsidR="009716D2" w:rsidRPr="00E72B02" w:rsidRDefault="009716D2" w:rsidP="004551E9">
      <w:pPr>
        <w:rPr>
          <w:kern w:val="24"/>
          <w:lang w:eastAsia="es-AR"/>
        </w:rPr>
      </w:pPr>
      <w:r w:rsidRPr="00E72B02">
        <w:rPr>
          <w:kern w:val="24"/>
          <w:lang w:eastAsia="es-AR"/>
        </w:rPr>
        <w:t xml:space="preserve">Ahora bien, como se ha señalado la CPDP, y más precisamente el artículo 12(2) cuestionan seriamente la figura de la incapacidad y demanda el pleno reconocimiento de todas las personas con discapacidad al ejercicio de su capacidad jurídica en igualdad de condiciones con los demás. Con lo cual, parece evidente que la CDPD exige una nueva mirada sobre la temática a la luz de lo allí establecido. </w:t>
      </w:r>
    </w:p>
    <w:p w:rsidR="009716D2" w:rsidRPr="00E72B02" w:rsidRDefault="009716D2" w:rsidP="004551E9">
      <w:pPr>
        <w:rPr>
          <w:kern w:val="24"/>
          <w:lang w:eastAsia="es-AR"/>
        </w:rPr>
      </w:pPr>
      <w:r w:rsidRPr="00E72B02">
        <w:rPr>
          <w:kern w:val="24"/>
          <w:lang w:eastAsia="es-AR"/>
        </w:rPr>
        <w:t>En este sentido el CteCDPD ha recomendado al Estado Tunecino que. “…se adopten con urgencia medidas legislativas para que las personas con discapacidad, incluidas las que están en régimen de tutela o curatela, puedan ejercer su derecho a voto y participar en la vida pública en pie de igualdad con las demás…”.</w:t>
      </w:r>
      <w:r w:rsidRPr="00E72B02">
        <w:rPr>
          <w:rStyle w:val="Refdenotaalpie"/>
          <w:kern w:val="24"/>
          <w:lang w:val="es-ES" w:eastAsia="es-AR"/>
        </w:rPr>
        <w:footnoteReference w:id="743"/>
      </w:r>
      <w:r w:rsidRPr="00E72B02">
        <w:rPr>
          <w:kern w:val="24"/>
          <w:lang w:eastAsia="es-AR"/>
        </w:rPr>
        <w:t xml:space="preserve"> Asimismo en relación con España expresó su preocupación que “se pueda restringir el derecho al voto de las personas con discapacidad intelectual o psicosocial si la persona interesada ha sido privada de su capacidad jurídica o ha sido internada en una institución…” y lamentó  “…la falta de información sobre el rigor de las normas en materia de prueba, sobre los motivos requeridos y sobre los criterios aplicados por los jueces para privar a las personas de su derecho de voto. El Comité observa con preocupación el número de personas con discapacidad a las que se ha denegado el derecho de voto…”.</w:t>
      </w:r>
      <w:r w:rsidRPr="00E72B02">
        <w:rPr>
          <w:rStyle w:val="Refdenotaalpie"/>
          <w:kern w:val="24"/>
          <w:lang w:val="es-ES" w:eastAsia="es-AR"/>
        </w:rPr>
        <w:footnoteReference w:id="744"/>
      </w:r>
    </w:p>
    <w:p w:rsidR="009716D2" w:rsidRPr="00E72B02" w:rsidRDefault="009716D2" w:rsidP="004551E9">
      <w:pPr>
        <w:rPr>
          <w:kern w:val="24"/>
          <w:lang w:eastAsia="es-AR"/>
        </w:rPr>
      </w:pPr>
      <w:r w:rsidRPr="00E72B02">
        <w:rPr>
          <w:kern w:val="24"/>
          <w:lang w:eastAsia="es-AR"/>
        </w:rPr>
        <w:lastRenderedPageBreak/>
        <w:t>En el ámbito europeo, el Comisionado para los Derechos Humanos del Consejo de Europa, ha señalado recientemente que la CDPD “…no deja margen para que se instauren procedimientos a través de los cuales jueces o profesionales médicos determinen la aptitud de una persona para votar y, en función de esto, autoricen o denieguen tal posibilidad”, y que “cualquier prueba de capacidad que no se aplique a todos los ciudadanos sería claramente discriminatoria”.</w:t>
      </w:r>
      <w:r w:rsidRPr="00E72B02">
        <w:rPr>
          <w:rStyle w:val="Refdenotaalpie"/>
          <w:kern w:val="24"/>
          <w:lang w:val="es-ES" w:eastAsia="es-AR"/>
        </w:rPr>
        <w:footnoteReference w:id="745"/>
      </w:r>
      <w:r w:rsidRPr="00E72B02">
        <w:rPr>
          <w:kern w:val="24"/>
          <w:lang w:eastAsia="es-AR"/>
        </w:rPr>
        <w:t xml:space="preserve"> Por su parte la Comisión de Venecia para la democracia a través del derecho del Consejo de Europa ha revisado el código de buenas prácticas en asuntos electorales para la participación de personas con discapacidad estableciendo en su principio primero que “el sufragio universal es un principio fundamental del Patrimonio Electoral Europeo. Las personas con discapacidad no pueden ser discriminadas en este sentido, de conformidad con lo establecido en el artículo 29 de la Convención de las Naciones Unidas sobre los Derechos de las Personas con </w:t>
      </w:r>
      <w:r w:rsidRPr="00E72B02">
        <w:rPr>
          <w:kern w:val="24"/>
          <w:lang w:eastAsia="es-AR"/>
        </w:rPr>
        <w:lastRenderedPageBreak/>
        <w:t>Discapacidad, y de la jurisprudencia del Tribunal Europeo de Derechos Humanos”.</w:t>
      </w:r>
      <w:r w:rsidRPr="00E72B02">
        <w:rPr>
          <w:rStyle w:val="Refdenotaalpie"/>
          <w:kern w:val="24"/>
          <w:lang w:val="es-ES" w:eastAsia="es-AR"/>
        </w:rPr>
        <w:footnoteReference w:id="746"/>
      </w:r>
      <w:r w:rsidRPr="00E72B02">
        <w:rPr>
          <w:kern w:val="24"/>
          <w:lang w:eastAsia="es-AR"/>
        </w:rPr>
        <w:t xml:space="preserve"> </w:t>
      </w:r>
    </w:p>
    <w:p w:rsidR="009716D2" w:rsidRPr="00E72B02" w:rsidRDefault="009716D2" w:rsidP="004551E9">
      <w:pPr>
        <w:rPr>
          <w:kern w:val="24"/>
          <w:lang w:eastAsia="es-AR"/>
        </w:rPr>
      </w:pPr>
      <w:r w:rsidRPr="00E72B02">
        <w:rPr>
          <w:kern w:val="24"/>
          <w:lang w:eastAsia="es-AR"/>
        </w:rPr>
        <w:t xml:space="preserve">En lo que respecta a la jurisprudencia internacional es preciso destacar y comentar el reciente caso decidido por el TEDH en materia del derecho al voto de personas con discapacidad. </w:t>
      </w:r>
    </w:p>
    <w:p w:rsidR="009716D2" w:rsidRPr="00E72B02" w:rsidRDefault="009716D2" w:rsidP="004551E9">
      <w:pPr>
        <w:rPr>
          <w:kern w:val="24"/>
          <w:lang w:eastAsia="es-AR"/>
        </w:rPr>
      </w:pPr>
      <w:r w:rsidRPr="00E72B02">
        <w:rPr>
          <w:kern w:val="24"/>
          <w:lang w:eastAsia="es-AR"/>
        </w:rPr>
        <w:t xml:space="preserve">En </w:t>
      </w:r>
      <w:r w:rsidRPr="00E72B02">
        <w:rPr>
          <w:i/>
          <w:kern w:val="24"/>
          <w:lang w:eastAsia="es-AR"/>
        </w:rPr>
        <w:t>Alajos Kiss v. Hungría</w:t>
      </w:r>
      <w:r w:rsidRPr="00E72B02">
        <w:rPr>
          <w:kern w:val="24"/>
          <w:lang w:eastAsia="es-AR"/>
        </w:rPr>
        <w:t>,</w:t>
      </w:r>
      <w:r w:rsidRPr="00E72B02">
        <w:rPr>
          <w:rStyle w:val="Refdenotaalpie"/>
          <w:kern w:val="24"/>
          <w:lang w:val="es-ES" w:eastAsia="es-AR"/>
        </w:rPr>
        <w:footnoteReference w:id="747"/>
      </w:r>
      <w:r w:rsidRPr="00E72B02">
        <w:rPr>
          <w:kern w:val="24"/>
          <w:lang w:eastAsia="es-AR"/>
        </w:rPr>
        <w:t xml:space="preserve"> el Tribunal encuentra al Estado responsable de violar el artículo 3 del Protocolo nº 1 por denegarle el derecho al Sr. Kiss a participar en las elecciones nacionales de 2009 por motivo de su incapacidad acreditada en un proceso que determinó un régimen de tutela absoluta. El respecto el Tribunal formular una serie de consideraciones de suma importancia: </w:t>
      </w:r>
    </w:p>
    <w:p w:rsidR="009716D2" w:rsidRPr="00E72B02" w:rsidRDefault="009716D2" w:rsidP="004551E9">
      <w:pPr>
        <w:rPr>
          <w:kern w:val="24"/>
          <w:lang w:eastAsia="es-AR"/>
        </w:rPr>
      </w:pPr>
      <w:r w:rsidRPr="00E72B02">
        <w:rPr>
          <w:kern w:val="24"/>
          <w:lang w:eastAsia="es-AR"/>
        </w:rPr>
        <w:t>1)</w:t>
      </w:r>
      <w:r w:rsidRPr="00E72B02">
        <w:rPr>
          <w:kern w:val="24"/>
          <w:lang w:eastAsia="es-AR"/>
        </w:rPr>
        <w:tab/>
        <w:t xml:space="preserve">El derecho a la participación política (activa y pasiva) resulta esencial para establecer y mantener los fundamentos de una democracia efectiva y verdadera sujeta al Estado de Derecho; </w:t>
      </w:r>
    </w:p>
    <w:p w:rsidR="009716D2" w:rsidRPr="00E72B02" w:rsidRDefault="009716D2" w:rsidP="004551E9">
      <w:pPr>
        <w:rPr>
          <w:kern w:val="24"/>
          <w:lang w:eastAsia="es-AR"/>
        </w:rPr>
      </w:pPr>
      <w:r w:rsidRPr="00E72B02">
        <w:rPr>
          <w:kern w:val="24"/>
          <w:lang w:eastAsia="es-AR"/>
        </w:rPr>
        <w:t>2)</w:t>
      </w:r>
      <w:r w:rsidRPr="00E72B02">
        <w:rPr>
          <w:kern w:val="24"/>
          <w:lang w:eastAsia="es-AR"/>
        </w:rPr>
        <w:tab/>
        <w:t xml:space="preserve">El derecho al voto no es un privilegio sino un derecho. Por ello, en los tiempos que corren, la presunción en un estado de derecho debe estar a favor de la inclusión; </w:t>
      </w:r>
    </w:p>
    <w:p w:rsidR="009716D2" w:rsidRPr="00E72B02" w:rsidRDefault="009716D2" w:rsidP="004551E9">
      <w:pPr>
        <w:rPr>
          <w:kern w:val="24"/>
          <w:lang w:eastAsia="es-AR"/>
        </w:rPr>
      </w:pPr>
      <w:r w:rsidRPr="00E72B02">
        <w:rPr>
          <w:kern w:val="24"/>
          <w:lang w:eastAsia="es-AR"/>
        </w:rPr>
        <w:lastRenderedPageBreak/>
        <w:t>3)</w:t>
      </w:r>
      <w:r w:rsidRPr="00E72B02">
        <w:rPr>
          <w:kern w:val="24"/>
          <w:lang w:eastAsia="es-AR"/>
        </w:rPr>
        <w:tab/>
        <w:t>En el derecho a la participación política (activa y pasiva) existe lugar para limitaciones implícitas y se debe reconocer a los Estados y margen de apreciación en este sentido;</w:t>
      </w:r>
    </w:p>
    <w:p w:rsidR="009716D2" w:rsidRPr="00E72B02" w:rsidRDefault="009716D2" w:rsidP="004551E9">
      <w:pPr>
        <w:rPr>
          <w:kern w:val="24"/>
          <w:lang w:eastAsia="es-AR"/>
        </w:rPr>
      </w:pPr>
      <w:r w:rsidRPr="00E72B02">
        <w:rPr>
          <w:kern w:val="24"/>
          <w:lang w:eastAsia="es-AR"/>
        </w:rPr>
        <w:t>4)</w:t>
      </w:r>
      <w:r w:rsidRPr="00E72B02">
        <w:rPr>
          <w:kern w:val="24"/>
          <w:lang w:eastAsia="es-AR"/>
        </w:rPr>
        <w:tab/>
        <w:t xml:space="preserve">Para evaluar las limitaciones al derecho a la participación política (activa y pasiva) se debe determinar si las condiciones no menoscaban el derecho en cuestión al punto de impedir su esencia y lo prive  de efectividad, esto es: que sean impuestos en miras de un objetivo legítimo y que los medios empleados no sean desproporcionados; </w:t>
      </w:r>
    </w:p>
    <w:p w:rsidR="009716D2" w:rsidRPr="00E72B02" w:rsidRDefault="009716D2" w:rsidP="004551E9">
      <w:pPr>
        <w:rPr>
          <w:kern w:val="24"/>
          <w:lang w:eastAsia="es-AR"/>
        </w:rPr>
      </w:pPr>
      <w:r w:rsidRPr="00E72B02">
        <w:rPr>
          <w:kern w:val="24"/>
          <w:lang w:eastAsia="es-AR"/>
        </w:rPr>
        <w:t>5)</w:t>
      </w:r>
      <w:r w:rsidRPr="00E72B02">
        <w:rPr>
          <w:kern w:val="24"/>
          <w:lang w:eastAsia="es-AR"/>
        </w:rPr>
        <w:tab/>
        <w:t xml:space="preserve">Objetivo Legítimo. EL Estado alegó como objetivo de la limitación que “los ciudadanos sean capaces de evaluar las consecuencias de sus decisiones y de realizar juicios y conscientes. El demandante no cuestiona esto ni tampoco el Tribunal.  </w:t>
      </w:r>
    </w:p>
    <w:p w:rsidR="009716D2" w:rsidRPr="00E72B02" w:rsidRDefault="009716D2" w:rsidP="004551E9">
      <w:pPr>
        <w:rPr>
          <w:kern w:val="24"/>
          <w:lang w:eastAsia="es-AR"/>
        </w:rPr>
      </w:pPr>
      <w:r w:rsidRPr="00E72B02">
        <w:rPr>
          <w:kern w:val="24"/>
          <w:lang w:eastAsia="es-AR"/>
        </w:rPr>
        <w:t>6)</w:t>
      </w:r>
      <w:r w:rsidRPr="00E72B02">
        <w:rPr>
          <w:kern w:val="24"/>
          <w:lang w:eastAsia="es-AR"/>
        </w:rPr>
        <w:tab/>
        <w:t xml:space="preserve">Proporcionalidad. En primer lugar el Tribunal destaca que la restricción del Estado Húngaro no distingue entre incapacidad parcial o absoluta. Además destaca que no existe evidencia de que la legislatura húngara haya sopesado los intereses en conflicto o evaluado la proporcionalidad de la limitación. </w:t>
      </w:r>
    </w:p>
    <w:p w:rsidR="009716D2" w:rsidRPr="00E72B02" w:rsidRDefault="009716D2" w:rsidP="004551E9">
      <w:pPr>
        <w:rPr>
          <w:kern w:val="24"/>
          <w:lang w:eastAsia="es-AR"/>
        </w:rPr>
      </w:pPr>
      <w:r w:rsidRPr="00E72B02">
        <w:rPr>
          <w:kern w:val="24"/>
          <w:lang w:eastAsia="es-AR"/>
        </w:rPr>
        <w:t>7)</w:t>
      </w:r>
      <w:r w:rsidRPr="00E72B02">
        <w:rPr>
          <w:kern w:val="24"/>
          <w:lang w:eastAsia="es-AR"/>
        </w:rPr>
        <w:tab/>
        <w:t xml:space="preserve">El Tribunal establece que cuando se trata de restringir derecho de grupos sociales que han sido históricamente discriminados, el margen de apreciación de Estado se debe acortar considerablemente y debe aportar razones de peso para sostener dichas limitaciones. </w:t>
      </w:r>
    </w:p>
    <w:p w:rsidR="009716D2" w:rsidRPr="00E72B02" w:rsidRDefault="009716D2" w:rsidP="004551E9">
      <w:pPr>
        <w:rPr>
          <w:kern w:val="24"/>
          <w:lang w:eastAsia="es-AR"/>
        </w:rPr>
      </w:pPr>
      <w:r w:rsidRPr="00E72B02">
        <w:rPr>
          <w:kern w:val="24"/>
          <w:lang w:eastAsia="es-AR"/>
        </w:rPr>
        <w:t>8)</w:t>
      </w:r>
      <w:r w:rsidRPr="00E72B02">
        <w:rPr>
          <w:kern w:val="24"/>
          <w:lang w:eastAsia="es-AR"/>
        </w:rPr>
        <w:tab/>
        <w:t>La limitación al demandante en este caso fue producto de una imposición automática y generalizada para aquellas personas comprendidas dentro del régimen de incapacidad;</w:t>
      </w:r>
    </w:p>
    <w:p w:rsidR="009716D2" w:rsidRPr="00E72B02" w:rsidRDefault="009716D2" w:rsidP="004551E9">
      <w:pPr>
        <w:rPr>
          <w:kern w:val="24"/>
          <w:lang w:eastAsia="es-AR"/>
        </w:rPr>
      </w:pPr>
      <w:r w:rsidRPr="00E72B02">
        <w:rPr>
          <w:kern w:val="24"/>
          <w:lang w:eastAsia="es-AR"/>
        </w:rPr>
        <w:t>9)</w:t>
      </w:r>
      <w:r w:rsidRPr="00E72B02">
        <w:rPr>
          <w:kern w:val="24"/>
          <w:lang w:eastAsia="es-AR"/>
        </w:rPr>
        <w:tab/>
        <w:t>El Tribunal opina que el etiquetamiento como una categoría unívoca de aquellas personas con discapacidades intelectuales y mentales resulta una clasificación cuestionable y por ello la restricción de sus derechos debe estar sujeta a un estricto escrutinio;</w:t>
      </w:r>
    </w:p>
    <w:p w:rsidR="009716D2" w:rsidRPr="00E72B02" w:rsidRDefault="009716D2" w:rsidP="004551E9">
      <w:pPr>
        <w:rPr>
          <w:kern w:val="24"/>
          <w:lang w:eastAsia="es-AR"/>
        </w:rPr>
      </w:pPr>
      <w:r w:rsidRPr="00E72B02">
        <w:rPr>
          <w:kern w:val="24"/>
          <w:lang w:eastAsia="es-AR"/>
        </w:rPr>
        <w:lastRenderedPageBreak/>
        <w:t>10)</w:t>
      </w:r>
      <w:r w:rsidRPr="00E72B02">
        <w:rPr>
          <w:kern w:val="24"/>
          <w:lang w:eastAsia="es-AR"/>
        </w:rPr>
        <w:tab/>
        <w:t>El Tribunal concluye que la privación indiscriminada del derecho al voto, sin una evaluación judicial e individualizada, y únicamente basada en una discapacidad mental que requiera de una curatela parcial, no puede ser considerada con el fundamento y el objetivo de este derecho;</w:t>
      </w:r>
    </w:p>
    <w:p w:rsidR="009716D2" w:rsidRPr="00E72B02" w:rsidRDefault="009716D2" w:rsidP="004551E9">
      <w:pPr>
        <w:rPr>
          <w:kern w:val="24"/>
          <w:lang w:eastAsia="es-AR"/>
        </w:rPr>
      </w:pPr>
      <w:r w:rsidRPr="00E72B02">
        <w:rPr>
          <w:kern w:val="24"/>
          <w:lang w:eastAsia="es-AR"/>
        </w:rPr>
        <w:t xml:space="preserve">Con lo cual el TEDH sienta las bases de una doctrina superadora de los estándares internacionales vigentes. Al parecer para el máximo tribunal europeo la privación del derecho al voto no puede justificarse formalmente sobre la existencia de una incapacitación, a menos que en dicho procedimiento, u otro posterior, el tribunal nacional haya sopesado y probado que la persona se encuentra razonablemente limitada para ejercer su derecho al voto. </w:t>
      </w:r>
    </w:p>
    <w:p w:rsidR="009716D2" w:rsidRPr="00E72B02" w:rsidRDefault="009716D2" w:rsidP="004551E9">
      <w:pPr>
        <w:rPr>
          <w:kern w:val="24"/>
          <w:lang w:eastAsia="es-AR"/>
        </w:rPr>
      </w:pPr>
      <w:r w:rsidRPr="00E72B02">
        <w:rPr>
          <w:kern w:val="24"/>
          <w:lang w:eastAsia="es-AR"/>
        </w:rPr>
        <w:t xml:space="preserve">Claramente, el </w:t>
      </w:r>
      <w:r w:rsidRPr="00E72B02">
        <w:rPr>
          <w:i/>
          <w:kern w:val="24"/>
          <w:lang w:eastAsia="es-AR"/>
        </w:rPr>
        <w:t>dictum</w:t>
      </w:r>
      <w:r w:rsidRPr="00E72B02">
        <w:rPr>
          <w:kern w:val="24"/>
          <w:lang w:eastAsia="es-AR"/>
        </w:rPr>
        <w:t xml:space="preserve"> del Tribunal marca un nuevo rumbo a la luz de la CDPD aunque no logra entrar de pleno, o relacionar adecuadamente el derecho reconocido por el artículo 29 de la CDPD con el derecho al ejercicio de la capacidad jurídica contemplado en el artículo 12(2). Si se cae la incapacidad, se caen también sus efectos y el análisis argumentativo debiera ser otro. Probablemente el Tribunal no haya podido abordar el tema relativo a la incapacitación como mecanismo válido a la luz de la CDPD teniendo en cuenta su ámbito de competencia </w:t>
      </w:r>
      <w:r w:rsidRPr="00E72B02">
        <w:rPr>
          <w:i/>
          <w:kern w:val="24"/>
          <w:lang w:eastAsia="es-AR"/>
        </w:rPr>
        <w:t>ratione materia</w:t>
      </w:r>
      <w:r w:rsidRPr="00E72B02">
        <w:rPr>
          <w:kern w:val="24"/>
          <w:lang w:eastAsia="es-AR"/>
        </w:rPr>
        <w:t xml:space="preserve">, y en su lugar se ha limitado a evaluar e interpretar los tratados europeos de su incumbencia. </w:t>
      </w:r>
    </w:p>
    <w:p w:rsidR="009716D2" w:rsidRPr="00E72B02" w:rsidRDefault="009716D2" w:rsidP="004551E9">
      <w:pPr>
        <w:rPr>
          <w:kern w:val="24"/>
          <w:lang w:eastAsia="es-AR"/>
        </w:rPr>
      </w:pPr>
    </w:p>
    <w:p w:rsidR="009716D2" w:rsidRPr="009443FC" w:rsidRDefault="009716D2" w:rsidP="00A57374">
      <w:pPr>
        <w:pStyle w:val="TTULO12"/>
        <w:rPr>
          <w:b/>
        </w:rPr>
      </w:pPr>
      <w:r w:rsidRPr="009443FC">
        <w:rPr>
          <w:b/>
        </w:rPr>
        <w:t xml:space="preserve">5.4.5.6 Capacidad Jurídica y Derechos de Familia </w:t>
      </w:r>
    </w:p>
    <w:p w:rsidR="009716D2" w:rsidRPr="00E72B02" w:rsidRDefault="009716D2" w:rsidP="004551E9">
      <w:pPr>
        <w:rPr>
          <w:kern w:val="24"/>
          <w:lang w:eastAsia="es-AR"/>
        </w:rPr>
      </w:pPr>
    </w:p>
    <w:p w:rsidR="009716D2" w:rsidRPr="00E72B02" w:rsidRDefault="009716D2" w:rsidP="004551E9">
      <w:pPr>
        <w:rPr>
          <w:kern w:val="24"/>
          <w:lang w:eastAsia="es-AR"/>
        </w:rPr>
      </w:pPr>
      <w:r w:rsidRPr="00E72B02">
        <w:rPr>
          <w:kern w:val="24"/>
          <w:lang w:eastAsia="es-AR"/>
        </w:rPr>
        <w:t>El artículo 23 de la CDPD sobre respeto del hogar y de la familia establece que:</w:t>
      </w:r>
    </w:p>
    <w:p w:rsidR="009716D2" w:rsidRPr="00E72B02" w:rsidRDefault="009716D2" w:rsidP="004551E9">
      <w:pPr>
        <w:pStyle w:val="Cita"/>
        <w:rPr>
          <w:kern w:val="24"/>
          <w:lang w:eastAsia="es-AR"/>
        </w:rPr>
      </w:pPr>
      <w:r w:rsidRPr="00E72B02">
        <w:rPr>
          <w:kern w:val="24"/>
          <w:lang w:eastAsia="es-AR"/>
        </w:rPr>
        <w:t xml:space="preserve">“…1) Los Estados Partes tomarán medidas efectivas y pertinentes para poner fin a la discriminación contra las personas con discapacidad en todas las cuestiones relacionadas con el </w:t>
      </w:r>
      <w:r w:rsidRPr="00E72B02">
        <w:rPr>
          <w:kern w:val="24"/>
          <w:lang w:eastAsia="es-AR"/>
        </w:rPr>
        <w:lastRenderedPageBreak/>
        <w:t>matrimonio, la familia, la paternidad y las relaciones personales, y lograr que las personas con discapacidad estén en igualdad de condiciones con las demás, a fin de asegurar que:</w:t>
      </w:r>
    </w:p>
    <w:p w:rsidR="009716D2" w:rsidRPr="00E72B02" w:rsidRDefault="009716D2" w:rsidP="004551E9">
      <w:pPr>
        <w:pStyle w:val="Cita"/>
        <w:rPr>
          <w:kern w:val="24"/>
          <w:lang w:eastAsia="es-AR"/>
        </w:rPr>
      </w:pPr>
      <w:r w:rsidRPr="00E72B02">
        <w:rPr>
          <w:kern w:val="24"/>
          <w:lang w:eastAsia="es-AR"/>
        </w:rPr>
        <w:t>a) Se reconozca el derecho de todas las personas con discapacidad en edad de contraer matrimonio, a casarse y fundar una familia sobre la base del consentimiento libre y pleno de los futuros cónyuges;</w:t>
      </w:r>
    </w:p>
    <w:p w:rsidR="009716D2" w:rsidRPr="00E72B02" w:rsidRDefault="009716D2" w:rsidP="004551E9">
      <w:pPr>
        <w:pStyle w:val="Cita"/>
        <w:rPr>
          <w:kern w:val="24"/>
          <w:lang w:eastAsia="es-AR"/>
        </w:rPr>
      </w:pPr>
      <w:r w:rsidRPr="00E72B02">
        <w:rPr>
          <w:kern w:val="24"/>
          <w:lang w:eastAsia="es-AR"/>
        </w:rPr>
        <w:t>b) Se respete el derecho de las personas con discapacidad a decidir libremente y de manera responsable el número de hijos que quieren tener y el tiempo que debe transcurrir entre un nacimiento y otro, y a tener acceso a información, educación sobre reproducción y planificación familiar apropiados para su edad, y se ofrezcan los medios necesarios que les permitan ejercer esos derechos;</w:t>
      </w:r>
    </w:p>
    <w:p w:rsidR="009716D2" w:rsidRPr="00E72B02" w:rsidRDefault="009716D2" w:rsidP="004551E9">
      <w:pPr>
        <w:pStyle w:val="Cita"/>
        <w:rPr>
          <w:kern w:val="24"/>
          <w:lang w:eastAsia="es-AR"/>
        </w:rPr>
      </w:pPr>
      <w:r w:rsidRPr="00E72B02">
        <w:rPr>
          <w:kern w:val="24"/>
          <w:lang w:eastAsia="es-AR"/>
        </w:rPr>
        <w:t>c) Las personas con discapacidad, incluidos los niños y las niñas, mantengan su fertilidad, en igualdad de condiciones con las demás….”</w:t>
      </w:r>
    </w:p>
    <w:p w:rsidR="009716D2" w:rsidRPr="00E72B02" w:rsidRDefault="009716D2" w:rsidP="004551E9">
      <w:pPr>
        <w:rPr>
          <w:kern w:val="24"/>
          <w:lang w:eastAsia="es-AR"/>
        </w:rPr>
      </w:pPr>
      <w:r w:rsidRPr="00E72B02">
        <w:rPr>
          <w:kern w:val="24"/>
          <w:lang w:eastAsia="es-AR"/>
        </w:rPr>
        <w:t>En conexión con el artículo 12(2) el artículo 23 de la CDPD impacta de forma directa en al menos tres cuestiones fundamentales del ejercicio de los derechos de familia de las personas con discapacidad, esto es, el derecho al matrimonio, el derecho a la filiación, y la protección de los derechos sexuales y reproductivos.</w:t>
      </w:r>
      <w:r w:rsidRPr="00E72B02">
        <w:rPr>
          <w:rStyle w:val="Refdenotaalpie"/>
          <w:kern w:val="24"/>
          <w:lang w:val="es-ES" w:eastAsia="es-AR"/>
        </w:rPr>
        <w:footnoteReference w:id="748"/>
      </w:r>
      <w:r w:rsidRPr="00E72B02">
        <w:rPr>
          <w:kern w:val="24"/>
          <w:lang w:eastAsia="es-AR"/>
        </w:rPr>
        <w:t xml:space="preserve"> El derecho a la familia es un derecho humano </w:t>
      </w:r>
      <w:r w:rsidRPr="00E72B02">
        <w:rPr>
          <w:kern w:val="24"/>
          <w:lang w:eastAsia="es-AR"/>
        </w:rPr>
        <w:lastRenderedPageBreak/>
        <w:t>recogido en el Artículo 16 de la DUDH y en el artículo 23 del PIDCP.</w:t>
      </w:r>
      <w:r w:rsidRPr="00E72B02">
        <w:rPr>
          <w:rStyle w:val="Refdenotaalpie"/>
          <w:kern w:val="24"/>
          <w:lang w:val="es-ES" w:eastAsia="es-AR"/>
        </w:rPr>
        <w:footnoteReference w:id="749"/>
      </w:r>
      <w:r w:rsidRPr="00E72B02">
        <w:rPr>
          <w:kern w:val="24"/>
          <w:lang w:eastAsia="es-AR"/>
        </w:rPr>
        <w:t xml:space="preserve"> En este sentido el CteDH ha señalado específicamente en relación con el artículo 23 que el “</w:t>
      </w:r>
      <w:r w:rsidRPr="00E72B02">
        <w:rPr>
          <w:i/>
          <w:kern w:val="24"/>
          <w:lang w:eastAsia="es-AR"/>
        </w:rPr>
        <w:t>Pacto Internacional de Derechos Civiles y Políticos se reconoce que la familia es el elemento natural y fundamental de la sociedad y tiene derecho a la protección de la sociedad y del Estado.  La protección de la familia y de sus miembros se garantiza también, directa o indirectamente, en otras disposiciones del Pacto.  De este modo, el artículo 17 estipula que la familia no será objeto de injerencias arbitrarias o ilegales.  Además, el artículo 24 del Pacto prevé concretamente la protección de los derechos del niño, en su condición de menor o como miembro de una familia</w:t>
      </w:r>
      <w:r w:rsidRPr="00E72B02">
        <w:rPr>
          <w:kern w:val="24"/>
          <w:lang w:eastAsia="es-AR"/>
        </w:rPr>
        <w:t>”.</w:t>
      </w:r>
      <w:r w:rsidRPr="00E72B02">
        <w:rPr>
          <w:rStyle w:val="Refdenotaalpie"/>
          <w:kern w:val="24"/>
          <w:lang w:val="es-ES" w:eastAsia="es-AR"/>
        </w:rPr>
        <w:footnoteReference w:id="750"/>
      </w:r>
      <w:r w:rsidRPr="00E72B02">
        <w:rPr>
          <w:kern w:val="24"/>
          <w:lang w:eastAsia="es-AR"/>
        </w:rPr>
        <w:t xml:space="preserve"> </w:t>
      </w:r>
    </w:p>
    <w:p w:rsidR="009716D2" w:rsidRPr="00E72B02" w:rsidRDefault="009716D2" w:rsidP="004551E9">
      <w:pPr>
        <w:rPr>
          <w:kern w:val="24"/>
          <w:lang w:eastAsia="es-AR"/>
        </w:rPr>
      </w:pPr>
      <w:r w:rsidRPr="00E72B02">
        <w:rPr>
          <w:kern w:val="24"/>
          <w:lang w:eastAsia="es-AR"/>
        </w:rPr>
        <w:t xml:space="preserve">La CDPD no hace más que reafirmar el derecho humano a la familia de todas las personas con discapacidad aunque añade dos elementos normativos e interpretativos de suma importancia, esto es, la garantía de no discriminación por motivo de discapacidad, y la garantía al reconocimiento </w:t>
      </w:r>
      <w:r w:rsidRPr="00E72B02">
        <w:rPr>
          <w:kern w:val="24"/>
          <w:lang w:eastAsia="es-AR"/>
        </w:rPr>
        <w:lastRenderedPageBreak/>
        <w:t xml:space="preserve">del ejercicio de la capacidad jurídica de todas las personas con discapacidad en igualdad de condiciones. Con lo cual, el valor innovador del artículo 23 de la CDPD verdaderamente sale a la luz cuando se conecta esta disposición con las otras disposiciones del tratado, pero principalmente, con el artículo 12(2). </w:t>
      </w:r>
    </w:p>
    <w:p w:rsidR="009716D2" w:rsidRPr="00E72B02" w:rsidRDefault="009716D2" w:rsidP="004551E9">
      <w:pPr>
        <w:rPr>
          <w:kern w:val="24"/>
          <w:lang w:eastAsia="es-AR"/>
        </w:rPr>
      </w:pPr>
      <w:r w:rsidRPr="00E72B02">
        <w:rPr>
          <w:kern w:val="24"/>
          <w:lang w:eastAsia="es-AR"/>
        </w:rPr>
        <w:t xml:space="preserve">De este modo, el artículo 23 de la CDPD impacta directamente en al menos tres ámbitos específicos del derecho de toda persona con discapacidad a gozar plenamente y en condiciones de igualdad de su derecho humano a la familia: </w:t>
      </w:r>
    </w:p>
    <w:p w:rsidR="009716D2" w:rsidRPr="00E72B02" w:rsidRDefault="009716D2" w:rsidP="004551E9">
      <w:pPr>
        <w:rPr>
          <w:kern w:val="24"/>
          <w:lang w:eastAsia="es-AR"/>
        </w:rPr>
      </w:pPr>
      <w:r w:rsidRPr="00E72B02">
        <w:rPr>
          <w:kern w:val="24"/>
          <w:lang w:eastAsia="es-AR"/>
        </w:rPr>
        <w:t xml:space="preserve">Derecho al matrimonio </w:t>
      </w:r>
    </w:p>
    <w:p w:rsidR="009716D2" w:rsidRPr="00E72B02" w:rsidRDefault="009716D2" w:rsidP="004551E9">
      <w:pPr>
        <w:rPr>
          <w:kern w:val="24"/>
          <w:lang w:eastAsia="es-AR"/>
        </w:rPr>
      </w:pPr>
      <w:r w:rsidRPr="00E72B02">
        <w:rPr>
          <w:kern w:val="24"/>
          <w:lang w:eastAsia="es-AR"/>
        </w:rPr>
        <w:t>Bien sea como parte esencial del derecho a la familia, o bien como un derecho autónomo, el derecho al matrimonio ha sido recogido en todos los tratados internacionales y regionales de derechos humanos. En términos generales este derecho suele materializarse a través de una obligación general de no hacer, donde el Estado debe abstenerse de limitar este derecho de forma arbitraria. El CteDH ha señalado que el derecho incluye la garantía de que el matrimonio cuente con el consentimiento libre y pleno de los contrayentes (de este modo evitar los llamados matrimonio concertados) y que el Estado tiene un margen de discrecionalidad para establecer limitaciones relacionadas con el parentesco o con la capacidad mental de los cónyuges.</w:t>
      </w:r>
      <w:r w:rsidRPr="00E72B02">
        <w:rPr>
          <w:rStyle w:val="Refdenotaalpie"/>
          <w:kern w:val="24"/>
          <w:lang w:val="es-ES" w:eastAsia="es-AR"/>
        </w:rPr>
        <w:footnoteReference w:id="751"/>
      </w:r>
      <w:r w:rsidRPr="00E72B02">
        <w:rPr>
          <w:kern w:val="24"/>
          <w:lang w:eastAsia="es-AR"/>
        </w:rPr>
        <w:t xml:space="preserve"> También el CteDESC ha señalado específicamente en relación con las personas con discapacidad que el artículo 10 del Paco “</w:t>
      </w:r>
      <w:r w:rsidRPr="00E72B02">
        <w:rPr>
          <w:i/>
          <w:kern w:val="24"/>
          <w:lang w:eastAsia="es-AR"/>
        </w:rPr>
        <w:t xml:space="preserve">implica también, con arreglo a los principios generales del derecho internacional en materia de derechos humanos, que las personas con discapacidad tienen derecho a casarse y a fundar su propia familia.  A menudo se ignoran o se niegan esos derechos, especialmente en el caso de las personas con discapacidad mental.  En este y otros contextos, el término "familia" debe </w:t>
      </w:r>
      <w:r w:rsidRPr="00E72B02">
        <w:rPr>
          <w:i/>
          <w:kern w:val="24"/>
          <w:lang w:eastAsia="es-AR"/>
        </w:rPr>
        <w:lastRenderedPageBreak/>
        <w:t>interpretarse ampliamente y de conformidad con las costumbres locales apropiadas.  Los Estados Partes deben velar por que las leyes y las prácticas y políticas sociales no impidan la realización de esos derechos</w:t>
      </w:r>
      <w:r w:rsidRPr="00E72B02">
        <w:rPr>
          <w:kern w:val="24"/>
          <w:lang w:eastAsia="es-AR"/>
        </w:rPr>
        <w:t>”.</w:t>
      </w:r>
      <w:r w:rsidRPr="00E72B02">
        <w:rPr>
          <w:rStyle w:val="Refdenotaalpie"/>
          <w:kern w:val="24"/>
          <w:lang w:val="es-ES" w:eastAsia="es-AR"/>
        </w:rPr>
        <w:footnoteReference w:id="752"/>
      </w:r>
    </w:p>
    <w:p w:rsidR="009716D2" w:rsidRPr="00E72B02" w:rsidRDefault="009716D2" w:rsidP="004551E9">
      <w:pPr>
        <w:rPr>
          <w:kern w:val="24"/>
          <w:lang w:eastAsia="es-AR"/>
        </w:rPr>
      </w:pPr>
      <w:r w:rsidRPr="00E72B02">
        <w:rPr>
          <w:kern w:val="24"/>
          <w:lang w:eastAsia="es-AR"/>
        </w:rPr>
        <w:t>El artículo 23(1)(a) de la CDPD establece el deber de los Estados Partes de reconocer “el derecho de todas las personas con discapacidad en edad de contraer matrimonio, a casarse y fundar una familia sobre la base del consentimiento libre y pleno de los futuros cónyuges”. Con lo cual, toda limitación al derecho al matrimonio respecto de personas con discapacidad debe considerarse discriminatoria y una violación del artículo 23 de la CDPD.</w:t>
      </w:r>
    </w:p>
    <w:p w:rsidR="009716D2" w:rsidRPr="00E72B02" w:rsidRDefault="009716D2" w:rsidP="004551E9">
      <w:pPr>
        <w:rPr>
          <w:kern w:val="24"/>
          <w:lang w:eastAsia="es-AR"/>
        </w:rPr>
      </w:pPr>
      <w:r w:rsidRPr="00E72B02">
        <w:rPr>
          <w:kern w:val="24"/>
          <w:lang w:eastAsia="es-AR"/>
        </w:rPr>
        <w:t xml:space="preserve">Pero la CDPD vas más allá de la discriminación directa o manifiesta respecto del derecho de las personas con discapacidad al matrimonio, y por intermedio del artículo 12(2) garantiza que ninguna persona con discapacidad, incluyendo discapacidades mentales o intelectuales, debe ser privada del derecho a tomar sus propias decisiones, es decir, del derecho a manifestar su consentimiento libre y plena para contraer matrimonio. </w:t>
      </w:r>
    </w:p>
    <w:p w:rsidR="009716D2" w:rsidRPr="00E72B02" w:rsidRDefault="009716D2" w:rsidP="004551E9">
      <w:pPr>
        <w:rPr>
          <w:kern w:val="24"/>
          <w:lang w:eastAsia="es-AR"/>
        </w:rPr>
      </w:pPr>
      <w:r w:rsidRPr="00E72B02">
        <w:rPr>
          <w:kern w:val="24"/>
          <w:lang w:eastAsia="es-AR"/>
        </w:rPr>
        <w:t xml:space="preserve">En este sentido el CteCDPD ha manifestado su preocupación respecto del informe del estado peruano sobre las limitaciones existentes en el Código Civil que deniegan el derecho al matrimonio a personas sordomudas, sordociegas, y con discapacidad mental. Por dicho motivo, el Comité solicita al Estado peruano que modifique el Código Civil a los efectos de </w:t>
      </w:r>
      <w:r w:rsidRPr="00E72B02">
        <w:rPr>
          <w:kern w:val="24"/>
          <w:lang w:eastAsia="es-AR"/>
        </w:rPr>
        <w:lastRenderedPageBreak/>
        <w:t>garantizar adecuadamente el ejercicio del derecho al matrimonio a todas las personas con discapacidad.</w:t>
      </w:r>
      <w:r w:rsidRPr="00E72B02">
        <w:rPr>
          <w:rStyle w:val="Refdenotaalpie"/>
          <w:iCs/>
          <w:kern w:val="24"/>
          <w:lang w:val="es-ES" w:eastAsia="es-AR"/>
        </w:rPr>
        <w:footnoteReference w:id="753"/>
      </w:r>
      <w:r w:rsidRPr="00E72B02">
        <w:rPr>
          <w:kern w:val="24"/>
          <w:lang w:eastAsia="es-AR"/>
        </w:rPr>
        <w:t xml:space="preserve"> </w:t>
      </w:r>
    </w:p>
    <w:p w:rsidR="009716D2" w:rsidRPr="00E72B02" w:rsidRDefault="009716D2" w:rsidP="004551E9">
      <w:pPr>
        <w:rPr>
          <w:kern w:val="24"/>
          <w:lang w:eastAsia="es-AR"/>
        </w:rPr>
      </w:pPr>
      <w:r w:rsidRPr="00E72B02">
        <w:rPr>
          <w:kern w:val="24"/>
          <w:lang w:eastAsia="es-AR"/>
        </w:rPr>
        <w:t xml:space="preserve">Con lo cual, la CDPD impone una reinterpretación del margen de apreciación del Estado de restringir el derecho de las personas con discapacidad a contraer matrimonio por motivo de discapacidad, lo que incluye como se ha señalado a más arriba, la declaración de incapacidad, la cual no podrá afectar directamente este derecho. El estado podrá restringir el derecho de una persona con o sin discapacidad a contraer matrimonio solamente en la medida que se haya evaluado las circunstancias especiales del caso y siempre que la determinación de dichas circunstancias sean equitativas y razonables. </w:t>
      </w:r>
    </w:p>
    <w:p w:rsidR="009716D2" w:rsidRPr="00E72B02" w:rsidRDefault="009716D2" w:rsidP="004551E9">
      <w:pPr>
        <w:rPr>
          <w:kern w:val="24"/>
          <w:lang w:eastAsia="es-AR"/>
        </w:rPr>
      </w:pPr>
      <w:r w:rsidRPr="00E72B02">
        <w:rPr>
          <w:kern w:val="24"/>
          <w:lang w:eastAsia="es-AR"/>
        </w:rPr>
        <w:t>Derecho a la filiación</w:t>
      </w:r>
    </w:p>
    <w:p w:rsidR="009716D2" w:rsidRPr="00E72B02" w:rsidRDefault="009716D2" w:rsidP="004551E9">
      <w:pPr>
        <w:rPr>
          <w:kern w:val="24"/>
          <w:lang w:eastAsia="es-AR"/>
        </w:rPr>
      </w:pPr>
      <w:r w:rsidRPr="00E72B02">
        <w:rPr>
          <w:kern w:val="24"/>
          <w:lang w:eastAsia="es-AR"/>
        </w:rPr>
        <w:t xml:space="preserve">El segundo de los elementos centrales del derecho a la familia se podría resumir bajo la noción de filiación, es decir, el vínculo jurídico que existe entre los sujetos llamados ascendientes y descendientes y del cual surgen una serie de derechos y obligaciones mutuos. </w:t>
      </w:r>
    </w:p>
    <w:p w:rsidR="009716D2" w:rsidRPr="00E72B02" w:rsidRDefault="009716D2" w:rsidP="004551E9">
      <w:pPr>
        <w:rPr>
          <w:lang w:val="es-ES_tradnl"/>
        </w:rPr>
      </w:pPr>
      <w:r w:rsidRPr="00E72B02">
        <w:rPr>
          <w:iCs/>
          <w:kern w:val="24"/>
          <w:lang w:val="es-ES" w:eastAsia="es-AR"/>
        </w:rPr>
        <w:t>El CteDH ha señalado que el “</w:t>
      </w:r>
      <w:r w:rsidRPr="00E72B02">
        <w:rPr>
          <w:i/>
          <w:lang w:val="es-ES_tradnl"/>
        </w:rPr>
        <w:t>derecho a fundar una familia implica, en principio, la posibilidad de procrear y de vivir juntos</w:t>
      </w:r>
      <w:r w:rsidRPr="00E72B02">
        <w:rPr>
          <w:lang w:val="es-ES_tradnl"/>
        </w:rPr>
        <w:t>”.</w:t>
      </w:r>
      <w:r w:rsidRPr="00E72B02">
        <w:rPr>
          <w:rStyle w:val="Refdenotaalpie"/>
          <w:lang w:val="es-ES_tradnl"/>
        </w:rPr>
        <w:footnoteReference w:id="754"/>
      </w:r>
      <w:r w:rsidRPr="00E72B02">
        <w:rPr>
          <w:lang w:val="es-ES_tradnl"/>
        </w:rPr>
        <w:t xml:space="preserve"> El derecho de las personas con discapacidad de procrear será abordado de forma autónoma en el punto que sigue. El derecho de las personas con discapacidad a vivir junto a su familia, incluye tanto el derecho de los padres a conservar la autoridad parental respecto de sus hijos, como el derecho de los hijos de no ser </w:t>
      </w:r>
      <w:r w:rsidRPr="00E72B02">
        <w:rPr>
          <w:lang w:val="es-ES_tradnl"/>
        </w:rPr>
        <w:lastRenderedPageBreak/>
        <w:t>separados de sus padres por motivo de discapacidad de sus padres o de los hijos.</w:t>
      </w:r>
      <w:r w:rsidRPr="00E72B02">
        <w:rPr>
          <w:rStyle w:val="Refdenotaalpie"/>
          <w:lang w:val="es-ES_tradnl"/>
        </w:rPr>
        <w:footnoteReference w:id="755"/>
      </w:r>
      <w:r w:rsidRPr="00E72B02">
        <w:rPr>
          <w:lang w:val="es-ES_tradnl"/>
        </w:rPr>
        <w:t xml:space="preserve"> </w:t>
      </w:r>
    </w:p>
    <w:p w:rsidR="009716D2" w:rsidRPr="00E72B02" w:rsidRDefault="009716D2" w:rsidP="004551E9">
      <w:pPr>
        <w:rPr>
          <w:lang w:val="es-ES_tradnl"/>
        </w:rPr>
      </w:pPr>
      <w:r w:rsidRPr="00E72B02">
        <w:rPr>
          <w:lang w:val="es-ES_tradnl"/>
        </w:rPr>
        <w:t>El artículo 23(1)(b) de la CDPD establece que los Estados Partes deben velar por que se “</w:t>
      </w:r>
      <w:r w:rsidRPr="00E72B02">
        <w:rPr>
          <w:kern w:val="24"/>
          <w:lang w:eastAsia="es-AR"/>
        </w:rPr>
        <w:t xml:space="preserve">respete el derecho de las personas con discapacidad a decidir libremente y de manera responsable el número de hijos que quieren tener y el tiempo que debe transcurrir entre un nacimiento y otro, y a tener acceso a información, educación sobre reproducción y planificación familiar apropiados para su edad, y se ofrezcan los medios necesarios que les permitan ejercer esos derechos”. </w:t>
      </w:r>
    </w:p>
    <w:p w:rsidR="009716D2" w:rsidRPr="00E72B02" w:rsidRDefault="009716D2" w:rsidP="004551E9">
      <w:pPr>
        <w:rPr>
          <w:iCs/>
          <w:kern w:val="24"/>
          <w:lang w:val="es-ES" w:eastAsia="es-AR"/>
        </w:rPr>
      </w:pPr>
      <w:r w:rsidRPr="00E72B02">
        <w:rPr>
          <w:lang w:val="es-ES_tradnl"/>
        </w:rPr>
        <w:t xml:space="preserve">Una vez más, la clave para entender las restricciones o limitaciones que las personas con discapacidad sufren respecto de su derecho a la filiación pasa por analizar los efectos jurídicos de la incapacidad jurídica, los cuales se suelen proyectar de forma directa en las relaciones paterno-materno-filiales. De allí en la necesidad de conectar el artículo 23(1)(b) con el artículo 12(2) que </w:t>
      </w:r>
      <w:r w:rsidRPr="00E72B02">
        <w:rPr>
          <w:iCs/>
          <w:kern w:val="24"/>
          <w:lang w:val="es-ES" w:eastAsia="es-AR"/>
        </w:rPr>
        <w:t xml:space="preserve">garantiza que ninguna persona con discapacidad, incluyendo discapacidades mentales o intelectuales, debe ser privada del derecho a tomar sus propias decisiones, es decir, del derecho a decidir libremente sobre el número de hijo y a ejercer los derechos y deberes derivados de la relación filial. </w:t>
      </w:r>
    </w:p>
    <w:p w:rsidR="009716D2" w:rsidRPr="00E72B02" w:rsidRDefault="009716D2" w:rsidP="004551E9">
      <w:pPr>
        <w:rPr>
          <w:kern w:val="24"/>
          <w:lang w:eastAsia="es-AR"/>
        </w:rPr>
      </w:pPr>
      <w:r w:rsidRPr="00E72B02">
        <w:rPr>
          <w:kern w:val="24"/>
          <w:lang w:eastAsia="es-AR"/>
        </w:rPr>
        <w:lastRenderedPageBreak/>
        <w:t xml:space="preserve">El TEDH se ha pronunciado respecto de este derecho cuestionando el efecto grave que la privación de la capacidad jurídica puede tener sobre el derecho al respecto de la vida privada y familiar recogido en el artículo 8 del CEDH. </w:t>
      </w:r>
    </w:p>
    <w:p w:rsidR="009716D2" w:rsidRPr="00E72B02" w:rsidRDefault="009716D2" w:rsidP="004551E9">
      <w:pPr>
        <w:rPr>
          <w:lang w:val="es-ES_tradnl"/>
        </w:rPr>
      </w:pPr>
      <w:r w:rsidRPr="00E72B02">
        <w:rPr>
          <w:kern w:val="24"/>
          <w:lang w:eastAsia="es-AR"/>
        </w:rPr>
        <w:t xml:space="preserve">En </w:t>
      </w:r>
      <w:r w:rsidRPr="00E72B02">
        <w:rPr>
          <w:i/>
          <w:kern w:val="24"/>
          <w:lang w:eastAsia="es-AR"/>
        </w:rPr>
        <w:t>X v. Croacia</w:t>
      </w:r>
      <w:r w:rsidRPr="00E72B02">
        <w:rPr>
          <w:kern w:val="24"/>
          <w:lang w:eastAsia="es-AR"/>
        </w:rPr>
        <w:t xml:space="preserve"> el Tribunal encontró al estado croata responsable de violar el artículo 8 de reclamante quien había sido declarado incapaz legalmente en un procedimiento interno, al no respectar su deseo de participar del proceso de adopción de su hija. El Tribunal señalo que la separación de la madre con su hija, así como la posterior dación en adopción de la misma, se produjo como consecuencia de la declaración de incapacidad de la madre, cuyos efectos jurídicos influyen, según el derecho interno, en los derechos y obligaciones filiales. El punto clave del fallo señala que “</w:t>
      </w:r>
      <w:r w:rsidRPr="00E72B02">
        <w:rPr>
          <w:i/>
          <w:kern w:val="24"/>
          <w:lang w:eastAsia="es-AR"/>
        </w:rPr>
        <w:t>el Tribunal no ha pasado por alto el hecho que la reclamante haya sido privada de su capacidad de obrar. No obstante, el Tribunal encuentra dificultoso aceptar que toda persona privada de su capacidad de obrar deba ser automáticamente excluida de un procedimiento de adopción concerniente a su hijo</w:t>
      </w:r>
      <w:r w:rsidRPr="00E72B02">
        <w:rPr>
          <w:kern w:val="24"/>
          <w:lang w:eastAsia="es-AR"/>
        </w:rPr>
        <w:t>”.</w:t>
      </w:r>
      <w:r w:rsidRPr="00E72B02">
        <w:rPr>
          <w:rStyle w:val="Refdenotaalpie"/>
          <w:iCs/>
          <w:kern w:val="24"/>
          <w:lang w:val="es-ES" w:eastAsia="es-AR"/>
        </w:rPr>
        <w:footnoteReference w:id="756"/>
      </w:r>
    </w:p>
    <w:p w:rsidR="009716D2" w:rsidRPr="00E72B02" w:rsidRDefault="009716D2" w:rsidP="004551E9">
      <w:pPr>
        <w:rPr>
          <w:lang w:val="es-ES_tradnl"/>
        </w:rPr>
      </w:pPr>
      <w:r w:rsidRPr="00E72B02">
        <w:rPr>
          <w:lang w:val="es-ES_tradnl"/>
        </w:rPr>
        <w:t xml:space="preserve">En </w:t>
      </w:r>
      <w:r w:rsidRPr="00E72B02">
        <w:rPr>
          <w:i/>
          <w:lang w:val="es-ES_tradnl"/>
        </w:rPr>
        <w:t>Krušković v. Croacia</w:t>
      </w:r>
      <w:r w:rsidRPr="00E72B02">
        <w:rPr>
          <w:lang w:val="es-ES_tradnl"/>
        </w:rPr>
        <w:t xml:space="preserve"> el Tribunal </w:t>
      </w:r>
      <w:r w:rsidRPr="00E72B02">
        <w:rPr>
          <w:kern w:val="24"/>
          <w:lang w:eastAsia="es-AR"/>
        </w:rPr>
        <w:t xml:space="preserve">encontró al estado croata responsable de violar el artículo 8 de reclamante quien había sido declarado incapaz legalmente en un procedimiento interno, al no permitirle en reconocer de forma eficaz y adecuada su paternidad sobre un niño que consideraba suyo. El Tribunal señaló que debido a la privación de la capacidad de obrar del reclamante, este no pudo acceder a la justicia en nombre propio para reclamar su paternidad, la cual a su vez, contaba con la aprobación de la madre biológica. Por ello, el Tribunal consideró que el estado no había tomado las medidas necesarias para garantizar el ejercicio de este derecho, </w:t>
      </w:r>
      <w:r w:rsidRPr="00E72B02">
        <w:rPr>
          <w:kern w:val="24"/>
          <w:lang w:eastAsia="es-AR"/>
        </w:rPr>
        <w:lastRenderedPageBreak/>
        <w:t>lo cual no se puede aceptar como una situación que proteja el interés supremo del reclamante y el de su hijo.</w:t>
      </w:r>
      <w:r w:rsidRPr="00E72B02">
        <w:rPr>
          <w:rStyle w:val="Refdenotaalpie"/>
          <w:iCs/>
          <w:kern w:val="24"/>
          <w:lang w:val="es-ES" w:eastAsia="es-AR"/>
        </w:rPr>
        <w:footnoteReference w:id="757"/>
      </w:r>
      <w:r w:rsidRPr="00E72B02">
        <w:rPr>
          <w:kern w:val="24"/>
          <w:lang w:eastAsia="es-AR"/>
        </w:rPr>
        <w:t xml:space="preserve">  </w:t>
      </w:r>
    </w:p>
    <w:p w:rsidR="009716D2" w:rsidRPr="00E72B02" w:rsidRDefault="009716D2" w:rsidP="004551E9">
      <w:pPr>
        <w:rPr>
          <w:lang w:val="es-ES_tradnl"/>
        </w:rPr>
      </w:pPr>
      <w:r w:rsidRPr="00E72B02">
        <w:rPr>
          <w:lang w:val="es-ES_tradnl"/>
        </w:rPr>
        <w:t xml:space="preserve">Aunque la interpretación del TEDH en relación con los derechos paterno-materno-filiales supone un gran avance respecto de la privación generalizada de estos derechos respecto de personas declaradas incapaces, no logra abordar y cuestionar directamente la validez de la declaración de incapacidad a la luz de lo establecido por la CDPD. Claramente todo Estado puede legítimamente restringir o limitar los derechos y obligaciones paterno-materno-filiales en la medida que dicha restricción o limitación no sea por motivo de discapacidad. En todo caso, la mayoría de los Estados contemplan en sus derechos internos situaciones de privación o limitación del ejercicio de la patria potestad lo cual se suele determinar sobre motivos o causas precisas. Las personas con discapacidad no debieran ser evaluadas sobre un patrón médico relativo a su estado de salud mental o capacidad intelectual, sino que debieran ser evaluadas bajo el mismo test que las personas sin discapacidad. </w:t>
      </w:r>
    </w:p>
    <w:p w:rsidR="009716D2" w:rsidRPr="00E72B02" w:rsidRDefault="009716D2" w:rsidP="004551E9">
      <w:pPr>
        <w:rPr>
          <w:lang w:val="es-ES_tradnl"/>
        </w:rPr>
      </w:pPr>
      <w:r w:rsidRPr="00E72B02">
        <w:rPr>
          <w:lang w:val="es-ES_tradnl"/>
        </w:rPr>
        <w:t>Los derechos sexuales y reproductivos</w:t>
      </w:r>
    </w:p>
    <w:p w:rsidR="009716D2" w:rsidRPr="00E72B02" w:rsidRDefault="009716D2" w:rsidP="004551E9">
      <w:pPr>
        <w:rPr>
          <w:kern w:val="24"/>
          <w:lang w:eastAsia="es-AR"/>
        </w:rPr>
      </w:pPr>
      <w:r w:rsidRPr="00E72B02">
        <w:rPr>
          <w:kern w:val="24"/>
          <w:lang w:eastAsia="es-AR"/>
        </w:rPr>
        <w:t>El último de los elementos centrales del artículo 23 y que tiene relación directa con lo estipulado por el artículo 12(2) es el relativo a la protección de los derechos sexuales y reproductivos. Y ello incluye tanto la garantía de igualdad en el respecto por la sexualidad como el mantenimiento y uso de la capacidad reproductiva de las personas con discapacidad. Como señala PELAEZ NARVÁEZ “</w:t>
      </w:r>
      <w:r w:rsidRPr="00E72B02">
        <w:rPr>
          <w:i/>
          <w:kern w:val="24"/>
          <w:lang w:eastAsia="es-AR"/>
        </w:rPr>
        <w:t xml:space="preserve">los derechos sexuales y reproductivos son los derechos que garantizan la libre decisión sobre la manera de vivir el propio cuerpo en las esferas sexual y reproductiva; lo que implica el derecho de </w:t>
      </w:r>
      <w:r w:rsidRPr="00E72B02">
        <w:rPr>
          <w:i/>
          <w:kern w:val="24"/>
          <w:lang w:eastAsia="es-AR"/>
        </w:rPr>
        <w:lastRenderedPageBreak/>
        <w:t>toda persona a decidir con quién, cuándo y cómo tiene o no relaciones sexuales o descendencia</w:t>
      </w:r>
      <w:r w:rsidRPr="00E72B02">
        <w:rPr>
          <w:kern w:val="24"/>
          <w:lang w:eastAsia="es-AR"/>
        </w:rPr>
        <w:t>”.</w:t>
      </w:r>
      <w:r w:rsidRPr="00E72B02">
        <w:rPr>
          <w:rStyle w:val="Refdenotaalpie"/>
          <w:iCs/>
          <w:kern w:val="24"/>
          <w:lang w:val="es-ES" w:eastAsia="es-AR"/>
        </w:rPr>
        <w:footnoteReference w:id="758"/>
      </w:r>
    </w:p>
    <w:p w:rsidR="009716D2" w:rsidRPr="00E72B02" w:rsidRDefault="009716D2" w:rsidP="004551E9">
      <w:pPr>
        <w:rPr>
          <w:kern w:val="24"/>
          <w:lang w:eastAsia="es-AR"/>
        </w:rPr>
      </w:pPr>
      <w:r w:rsidRPr="00E72B02">
        <w:rPr>
          <w:kern w:val="24"/>
          <w:lang w:eastAsia="es-AR"/>
        </w:rPr>
        <w:t>Este aspecto de los derechos de las personas con discapacidad no solamente ha sido objeto de tabú y de denegación sistemática a lo largo de la historia, sino que además posee un claro componente de género. Es decir, afecta principalmente a las mujeres y niñas con discapacidad.</w:t>
      </w:r>
    </w:p>
    <w:p w:rsidR="009716D2" w:rsidRPr="00E72B02" w:rsidRDefault="009716D2" w:rsidP="004551E9">
      <w:pPr>
        <w:rPr>
          <w:kern w:val="24"/>
          <w:lang w:eastAsia="es-AR"/>
        </w:rPr>
      </w:pPr>
      <w:r w:rsidRPr="00E72B02">
        <w:rPr>
          <w:kern w:val="24"/>
          <w:lang w:eastAsia="es-AR"/>
        </w:rPr>
        <w:t>Aunque la proyección del artículo 23 en este punto es mucho más amplia, en conjunción con el artículo 12(2) resulta particularmente importante respecto de dos cuestiones, esto es, la protección de la capacidad reproductiva de las personas con discapacidad, y la protección del embarazo. Ambas cuestiones se suelen manifestar, con muchísima frecuencia, en las prácticas de la esterilización y el aborto forzoso respectivamente.</w:t>
      </w:r>
    </w:p>
    <w:p w:rsidR="009716D2" w:rsidRPr="00E72B02" w:rsidRDefault="009716D2" w:rsidP="004551E9">
      <w:pPr>
        <w:rPr>
          <w:kern w:val="24"/>
          <w:lang w:eastAsia="es-AR"/>
        </w:rPr>
      </w:pPr>
      <w:r w:rsidRPr="00E72B02">
        <w:rPr>
          <w:kern w:val="24"/>
          <w:lang w:eastAsia="es-AR"/>
        </w:rPr>
        <w:t xml:space="preserve">En relación con lo primero, la CDPD, a través del artículo 23(1)(c) señala que los Estados Partes deberán asegurar que “las personas con discapacidad, incluidos los niños y las niñas, mantengan su fertilidad, en igualdad de condiciones con las demás”. La perspectiva de no discriminación de esta norma requiere la revisión de las prácticas usuales de esterilización de personas con discapacidad (principalmente mujeres y niñas) las cuales resultan contrarias a la CDPD en la medida en que no se realicen en el marco de un régimen legal que garantice la no discriminación (es decir diferenciación entre personas con y sin discapacidad) y con el debido consentimiento informado donde sea la propia persona quien toma de la decisión. Es decir, un adulto o niño o niña con discapacidad podría ser objeto de esterilización, sin dicha práctica está prevista para cualquier persona, y si media el debido consentimiento de la persona. Por lo general </w:t>
      </w:r>
      <w:r w:rsidRPr="00E72B02">
        <w:rPr>
          <w:kern w:val="24"/>
          <w:lang w:eastAsia="es-AR"/>
        </w:rPr>
        <w:lastRenderedPageBreak/>
        <w:t>los ordenamientos jurídicos vigentes sólo permiten la esterilización, tanto masculina como femenina, si existe el consentimiento expreso y formal del interesado, pero sin embargo se permite sustituir dicho consentimiento por el dado por la familia, el representante legal o un juez, cuando se trata de personas con discapacidad. Incluso en el contexto de niños, niñas o adolescentes, la mayoría de los ordenamiento jurídicos vigentes no permiten a los representantes legales (padres o tutores) consentir este tipo de prácticas, salvo en situaciones de riesgo cierto e inminente para la vida del menor. Sin embargo lo mismo es permitido sin necesidad de demostrar el riesgo en relación con personas con discapacidad, en clara violación, no sólo de la CDPD, sino también de la CDN.</w:t>
      </w:r>
    </w:p>
    <w:p w:rsidR="009716D2" w:rsidRPr="00E72B02" w:rsidRDefault="009716D2" w:rsidP="004551E9">
      <w:pPr>
        <w:rPr>
          <w:iCs/>
          <w:kern w:val="24"/>
          <w:lang w:eastAsia="es-AR"/>
        </w:rPr>
      </w:pPr>
      <w:r w:rsidRPr="00E72B02">
        <w:rPr>
          <w:iCs/>
          <w:kern w:val="24"/>
          <w:lang w:eastAsia="es-AR"/>
        </w:rPr>
        <w:t>Así lo ha Observado el CteCDPD respecto del informe de España al señalar su “</w:t>
      </w:r>
      <w:r w:rsidRPr="00E72B02">
        <w:t>su inquietud por el hecho de que las personas con discapacidad cuya personalidad jurídica no se reconoce puedan ser sometidas a esterilización sin su consentimiento, otorgado libremente y con conocimiento de causa”,</w:t>
      </w:r>
      <w:r w:rsidRPr="00E72B02">
        <w:rPr>
          <w:rStyle w:val="Refdenotaalpie"/>
          <w:lang w:val="es-ES"/>
        </w:rPr>
        <w:footnoteReference w:id="759"/>
      </w:r>
      <w:r w:rsidRPr="00E72B02">
        <w:t xml:space="preserve"> o respecto de Perú, al manifestar su preocupación “que la Norma técnica de planificación familiar Nº 536/2005 – MINSA de 26 de julio de 2005 permita, como método anticonceptivo, esterilizar a las personas "mentalmente incompetentes" sin su consentimiento libre e informado”.</w:t>
      </w:r>
      <w:r w:rsidRPr="00E72B02">
        <w:rPr>
          <w:rStyle w:val="Refdenotaalpie"/>
          <w:lang w:val="es-ES"/>
        </w:rPr>
        <w:footnoteReference w:id="760"/>
      </w:r>
    </w:p>
    <w:p w:rsidR="009716D2" w:rsidRPr="00E72B02" w:rsidRDefault="009716D2" w:rsidP="004551E9">
      <w:pPr>
        <w:rPr>
          <w:kern w:val="24"/>
          <w:lang w:eastAsia="es-AR"/>
        </w:rPr>
      </w:pPr>
      <w:r w:rsidRPr="00E72B02">
        <w:rPr>
          <w:kern w:val="24"/>
          <w:lang w:eastAsia="es-AR"/>
        </w:rPr>
        <w:t xml:space="preserve">La gravedad de la esterilización de personas con discapacidad, ha llevado a que esta cuestión no sólo se aborde desde el marco del derecho humano a la familia, o de los derechos humanos de los niñas y niñas, sino también en el marco general de la protección contra la tortura. Así lo ha manifestado el </w:t>
      </w:r>
      <w:r w:rsidRPr="00E72B02">
        <w:rPr>
          <w:kern w:val="24"/>
          <w:lang w:eastAsia="es-AR"/>
        </w:rPr>
        <w:lastRenderedPageBreak/>
        <w:t>Relator de la ONU contra la tortura Juan Méndez al señalar que “</w:t>
      </w:r>
      <w:r w:rsidRPr="00E72B02">
        <w:rPr>
          <w:i/>
          <w:kern w:val="24"/>
          <w:lang w:eastAsia="es-AR"/>
        </w:rPr>
        <w:t>la esterilización forzada es un acto de violencia, una forma de control social y una violación del derecho a no ser sometido a torturas y otros tratos o penas crueles, inhumanos o degradantes</w:t>
      </w:r>
      <w:r w:rsidRPr="00E72B02">
        <w:rPr>
          <w:kern w:val="24"/>
          <w:lang w:eastAsia="es-AR"/>
        </w:rPr>
        <w:t>”.</w:t>
      </w:r>
      <w:r w:rsidRPr="00E72B02">
        <w:rPr>
          <w:rStyle w:val="Refdenotaalpie"/>
          <w:iCs/>
          <w:kern w:val="24"/>
          <w:lang w:val="es-ES" w:eastAsia="es-AR"/>
        </w:rPr>
        <w:footnoteReference w:id="761"/>
      </w:r>
    </w:p>
    <w:p w:rsidR="009716D2" w:rsidRPr="00E72B02" w:rsidRDefault="009716D2" w:rsidP="004551E9">
      <w:pPr>
        <w:rPr>
          <w:kern w:val="24"/>
          <w:lang w:eastAsia="es-AR"/>
        </w:rPr>
      </w:pPr>
      <w:r w:rsidRPr="00E72B02">
        <w:rPr>
          <w:kern w:val="24"/>
          <w:lang w:eastAsia="es-AR"/>
        </w:rPr>
        <w:t>En relación con lo segundo, es decir la práctica del aborto forzoso, también la CDPD recoge importantes disposiciones para garantizar la igualdad en el ejercicio del derecho a la reproducción humana. El artículo 23(1)(b) señala que los Estados Partes deberán asegurar que “</w:t>
      </w:r>
      <w:r w:rsidRPr="00E72B02">
        <w:rPr>
          <w:i/>
          <w:kern w:val="24"/>
          <w:lang w:eastAsia="es-AR"/>
        </w:rPr>
        <w:t>se respete el derecho de las personas con discapacidad a decidir libremente y de manera responsable el número de hijos que quieren tener y el tiempo que debe transcurrir entre un nacimiento y otro, y a tener acceso a información, educación sobre reproducción y planificación familiar apropiados para su edad, y se ofrezcan los medios necesarios que les permitan ejercer esos derechos</w:t>
      </w:r>
      <w:r w:rsidRPr="00E72B02">
        <w:rPr>
          <w:kern w:val="24"/>
          <w:lang w:eastAsia="es-AR"/>
        </w:rPr>
        <w:t xml:space="preserve">”. </w:t>
      </w:r>
    </w:p>
    <w:p w:rsidR="009716D2" w:rsidRPr="00E72B02" w:rsidRDefault="009716D2" w:rsidP="004551E9">
      <w:pPr>
        <w:rPr>
          <w:kern w:val="24"/>
          <w:lang w:eastAsia="es-AR"/>
        </w:rPr>
      </w:pPr>
      <w:r w:rsidRPr="00E72B02">
        <w:rPr>
          <w:kern w:val="24"/>
          <w:lang w:eastAsia="es-AR"/>
        </w:rPr>
        <w:t xml:space="preserve">La argumentación de este derecho es exactamente la misma que respecto del derecho a mantener la fertilidad, es decir, la garantía de no discriminación. Con lo cual toda práctica, o legislación que habilite el aborto exclusivamente respecto de mujeres o niñas con discapacidad, o que lo habilite respecto de cualquier mujer pero en el caso de mujeres o niñas con discapacidad se permita que la decisión la adopte un familiar, un tutor o un juez, resulta a todas luces una vulneración de la CDPD. </w:t>
      </w:r>
    </w:p>
    <w:p w:rsidR="009716D2" w:rsidRPr="00E72B02" w:rsidRDefault="009716D2" w:rsidP="004551E9">
      <w:pPr>
        <w:rPr>
          <w:iCs/>
          <w:kern w:val="24"/>
          <w:lang w:eastAsia="es-AR"/>
        </w:rPr>
      </w:pPr>
      <w:r w:rsidRPr="00E72B02">
        <w:rPr>
          <w:iCs/>
          <w:kern w:val="24"/>
          <w:lang w:eastAsia="es-AR"/>
        </w:rPr>
        <w:t>Así lo ha Observado el CteCDPD respecto del informe de Argentina al señalar su preocupación de q</w:t>
      </w:r>
      <w:r w:rsidRPr="00E72B02">
        <w:t>ue “el representante legal de una mujer con discapacidad bajo tutela pueda otorgar el consentimiento a un aborto no punible en nombre de la mujer con discapacidad”,</w:t>
      </w:r>
      <w:r w:rsidRPr="00E72B02">
        <w:rPr>
          <w:rStyle w:val="Refdenotaalpie"/>
          <w:lang w:val="es-ES"/>
        </w:rPr>
        <w:footnoteReference w:id="762"/>
      </w:r>
      <w:r w:rsidRPr="00E72B02">
        <w:t xml:space="preserve"> o respecto de China al señalar su inquietud “</w:t>
      </w:r>
      <w:r w:rsidRPr="00E72B02">
        <w:rPr>
          <w:lang w:val="es-ES_tradnl"/>
        </w:rPr>
        <w:t xml:space="preserve">que tanto la legislación del </w:t>
      </w:r>
      <w:r w:rsidR="0074119B" w:rsidRPr="00E72B02">
        <w:rPr>
          <w:lang w:val="es-ES_tradnl"/>
        </w:rPr>
        <w:t>Estado Parte</w:t>
      </w:r>
      <w:r w:rsidRPr="00E72B02">
        <w:rPr>
          <w:lang w:val="es-ES_tradnl"/>
        </w:rPr>
        <w:t xml:space="preserve"> como su </w:t>
      </w:r>
      <w:r w:rsidRPr="00E72B02">
        <w:rPr>
          <w:lang w:val="es-ES_tradnl"/>
        </w:rPr>
        <w:lastRenderedPageBreak/>
        <w:t>sociedad acepten la práctica de someter a las mujeres con discapacidad a la esterilización y el aborto forzados sin su consentimiento libre e informado”.</w:t>
      </w:r>
      <w:r w:rsidRPr="00E72B02">
        <w:rPr>
          <w:rStyle w:val="Refdenotaalpie"/>
          <w:lang w:val="es-ES_tradnl"/>
        </w:rPr>
        <w:footnoteReference w:id="763"/>
      </w:r>
    </w:p>
    <w:p w:rsidR="009716D2" w:rsidRPr="00E72B02" w:rsidRDefault="009716D2" w:rsidP="004551E9">
      <w:pPr>
        <w:rPr>
          <w:kern w:val="24"/>
          <w:lang w:eastAsia="es-AR"/>
        </w:rPr>
      </w:pPr>
    </w:p>
    <w:p w:rsidR="009716D2" w:rsidRPr="009443FC" w:rsidRDefault="009716D2" w:rsidP="00A57374">
      <w:pPr>
        <w:pStyle w:val="TTULO12"/>
        <w:rPr>
          <w:b/>
        </w:rPr>
      </w:pPr>
      <w:r w:rsidRPr="009443FC">
        <w:rPr>
          <w:b/>
        </w:rPr>
        <w:t xml:space="preserve">5.4.6 Identificación de las obligaciones jurídico internacionales </w:t>
      </w:r>
    </w:p>
    <w:p w:rsidR="009716D2" w:rsidRPr="00E72B02" w:rsidRDefault="009716D2" w:rsidP="004551E9">
      <w:pPr>
        <w:rPr>
          <w:lang w:val="es-ES_tradnl"/>
        </w:rPr>
      </w:pPr>
    </w:p>
    <w:p w:rsidR="009716D2" w:rsidRPr="00E72B02" w:rsidRDefault="009716D2" w:rsidP="004551E9">
      <w:pPr>
        <w:rPr>
          <w:lang w:val="es-ES_tradnl"/>
        </w:rPr>
      </w:pPr>
      <w:r w:rsidRPr="00E72B02">
        <w:rPr>
          <w:lang w:val="es-ES_tradnl"/>
        </w:rPr>
        <w:t>A la luz de lo señalado es posible inferir que el artículo 12(2) establece las obligaciones de los Estados Pates de:</w:t>
      </w:r>
    </w:p>
    <w:p w:rsidR="009716D2" w:rsidRPr="00E72B02" w:rsidRDefault="009716D2" w:rsidP="004551E9">
      <w:pPr>
        <w:pStyle w:val="Prrafodelista"/>
      </w:pPr>
      <w:r w:rsidRPr="00E72B02">
        <w:t>Interpretar el concepto de “capacidad jurídica” recogido en el párrafo 2 del artículo 12 a la luz del objeto y fin del tratado -artículo 1 de la CDPD-, del artículo 3.a) de la CDPD, de los trabajos preparatorios, y del artículo 15 de la CEFDM, como “capacidad de obrar” o “capacidad de ejercicio” y deberá comprender el poder de toda persona con discapacidad de tomar decisiones en nombre propio;</w:t>
      </w:r>
    </w:p>
    <w:p w:rsidR="009716D2" w:rsidRPr="00E72B02" w:rsidRDefault="009716D2" w:rsidP="004551E9">
      <w:pPr>
        <w:pStyle w:val="Prrafodelista"/>
      </w:pPr>
      <w:r w:rsidRPr="00E72B02">
        <w:t>Interpretar el la noción de “todos los aspectos de la vida” recogido en el párrafo 2 del artículo 12 como cualquier decisión relativa al goce y ejercicio de los derechos humanos de las personas con discapacidad que tenga como propósito o efecto crear, modificar o extinguir derecho y/u obligaciones de los cuales la persona resulta titular;</w:t>
      </w:r>
    </w:p>
    <w:p w:rsidR="009716D2" w:rsidRPr="00E72B02" w:rsidRDefault="009716D2" w:rsidP="004551E9">
      <w:pPr>
        <w:pStyle w:val="Prrafodelista"/>
      </w:pPr>
      <w:r w:rsidRPr="00E72B02">
        <w:t xml:space="preserve">Entender que el párrafo 2 del artículo 12 reconoce una garantía de igualdad en el goce y ejercicio del derecho de las personas con discapacidad a la capacidad jurídica, y como consecuencia de ello, </w:t>
      </w:r>
      <w:r w:rsidRPr="00E72B02">
        <w:lastRenderedPageBreak/>
        <w:t>que se trata de un derecho de aplicación inmediata y no sujeto a restricción alguna por motivo de discapacidad;</w:t>
      </w:r>
    </w:p>
    <w:p w:rsidR="009716D2" w:rsidRPr="00E72B02" w:rsidRDefault="009716D2" w:rsidP="004551E9">
      <w:pPr>
        <w:pStyle w:val="Prrafodelista"/>
      </w:pPr>
      <w:r w:rsidRPr="00E72B02">
        <w:t>Prestar especial atención al interpretar y aplicar el párrafo 2 en relación con aquellas normas o prácticas que permiten la incapacitación de personas con discapacidad por motivo de discapacidad y como consecuencia de ello, el nombramiento de un tutor o curador que sustituye a la persona en la toma de decisiones. Toda norma o práctica que permita declarar a una persona con discapacidad como incapaz de tomar decisiones en nombre propio por motivo de discapacidad deberá considerarse como incompatible con el derecho reconocido en el párrafo 2 del artículo 12;</w:t>
      </w:r>
    </w:p>
    <w:p w:rsidR="009716D2" w:rsidRPr="00E72B02" w:rsidRDefault="009716D2" w:rsidP="004551E9">
      <w:pPr>
        <w:pStyle w:val="Prrafodelista"/>
      </w:pPr>
      <w:r w:rsidRPr="00E72B02">
        <w:t>Prestar especial atención al interpretar y aplicar el párrafo 2 en relación con el artículo 13 de la CDPD sobre el derecho de acceso a la justicia. Las normas o prácticas que menoscaben o denieguen a las personas con discapacidad su derecho de acceso a la justicia en nombre propio y con legitimación procesal para cuestionar cualquier medida que consideren restrictiva de sus derechos humanos por motivo de discapacidad, deberá considerarse como incompatible con el derecho reconocido en el párrafo 2 del artículo 12;</w:t>
      </w:r>
    </w:p>
    <w:p w:rsidR="009716D2" w:rsidRPr="00E72B02" w:rsidRDefault="009716D2" w:rsidP="004551E9">
      <w:pPr>
        <w:pStyle w:val="Prrafodelista"/>
      </w:pPr>
      <w:r w:rsidRPr="00E72B02">
        <w:t>Prestar especial atención al interpretar y aplicar el párrafo 2 en relación con aquellas normas o prácticas que permiten privar o limitar la capacidad de ejercicio de los derechos humanos (el derecho al voto, a contraer matrimonio, de acceso a la justicia y otros que se  detallarán en los siguientes números) o el desempeño de ciertas funciones o cargos (ejercer como jurado, testigo etc.) por motivo de discapacidad que deberán considerarse como incompatibles con el derecho reconocido en el párrafo 2 del artículo 12;</w:t>
      </w:r>
    </w:p>
    <w:p w:rsidR="009716D2" w:rsidRPr="00E72B02" w:rsidRDefault="009716D2" w:rsidP="004551E9">
      <w:pPr>
        <w:pStyle w:val="Prrafodelista"/>
      </w:pPr>
      <w:r w:rsidRPr="00E72B02">
        <w:t xml:space="preserve">Prestar especial atención al interpretar y aplicar el párrafo 2 en relación con el artículo 14 de la CDPD sobre el derecho a la libertad y seguridad personal. Las normas o prácticas que permitan la </w:t>
      </w:r>
      <w:r w:rsidRPr="00E72B02">
        <w:lastRenderedPageBreak/>
        <w:t>privación de la libertad de personas con discapacidad por motivo de discapacidad tales como la institucionalización por motivo de salud mental o la reclusión en centros psiquiátricos ante alegación de inimputabilidad penal o peligrosidad social, deberán considerarse como incompatible con el derecho reconocido en el párrafo 2 del artículo 12;</w:t>
      </w:r>
    </w:p>
    <w:p w:rsidR="009716D2" w:rsidRPr="00E72B02" w:rsidRDefault="009716D2" w:rsidP="004551E9">
      <w:pPr>
        <w:pStyle w:val="Prrafodelista"/>
      </w:pPr>
      <w:r w:rsidRPr="00E72B02">
        <w:t>Prestar especial atención al interpretar y aplicar el párrafo 2 en relación con el artículo 15 de la CDPD sobre la protección contra la tortura y otros tratos o penas crueles inhumanos o degradantes. Las normas o prácticas que permitan la realización de procedimientos tales como experimentos médicos o científicos, o el suministro de fármacos o sometimiento a tratamientos médicos invasivos sin consentimiento libre e informado por motivo de discapacidad, deberán considerarse como torturas u otros tratos o penas crueles, inhumanos o degradantes. Para que el consentimiento libre e informado sea válido el mismo deberá siempre reflejar la decisión de la propia persona y deberá procurar la provisión de los ajustes razonables necesarios;</w:t>
      </w:r>
    </w:p>
    <w:p w:rsidR="009716D2" w:rsidRPr="00E72B02" w:rsidRDefault="009716D2" w:rsidP="004551E9">
      <w:pPr>
        <w:pStyle w:val="Prrafodelista"/>
      </w:pPr>
      <w:r w:rsidRPr="00E72B02">
        <w:t>Prestar especial atención al interpretar y aplicar el párrafo 2 en relación con el artículo 16 de la CDPD sobre la protección contra la explotación, la violencia y el abuso. Las normas o prácticas que priven en la práctica a la persona con discapacidad de protección contra las situaciones de explotación, violencia, abuso y malos tratos por motivo de discapacidad deberán considerarse como incompatible con el derecho reconocido en el párrafo 2 del artículo 12. Por ello los Estados Partes deberán procurar que todas las personas con discapacidad puedan acceder en igualdad de condiciones con los demás a las autoridades a fin de denunciar en formatos y procedimientos accesibles y, en su caso, de solicitar el castigo de situaciones de explotación, violencia, abuso y malos tratos;</w:t>
      </w:r>
    </w:p>
    <w:p w:rsidR="009716D2" w:rsidRPr="00E72B02" w:rsidRDefault="009716D2" w:rsidP="004551E9">
      <w:pPr>
        <w:pStyle w:val="Prrafodelista"/>
      </w:pPr>
      <w:r w:rsidRPr="00E72B02">
        <w:lastRenderedPageBreak/>
        <w:t>Prestar especial atención al interpretar y aplicar el párrafo 2 en relación con el artículo 17 de la CDPD sobre la protección de la integridad personal. Las normas o prácticas que supongan un menoscabo de la integridad personal, sea física o mental, de las personas con discapacidad tales como las esterilizaciones forzadas, el suministro de fármacos y el sometimiento a tratamientos médicos sin el consentimiento propio de la persona libre, informado y provisto de los ajustes razonables necesarios deberán considerarse como incompatible con el derecho reconocido en el párrafo 2 del artículo 12;</w:t>
      </w:r>
    </w:p>
    <w:p w:rsidR="009716D2" w:rsidRPr="00E72B02" w:rsidRDefault="009716D2" w:rsidP="004551E9"/>
    <w:p w:rsidR="009716D2" w:rsidRPr="009443FC" w:rsidRDefault="009443FC" w:rsidP="004A69C7">
      <w:pPr>
        <w:pStyle w:val="TITULO12"/>
      </w:pPr>
      <w:r w:rsidRPr="009443FC">
        <w:t>5.5 ARTÍCULO 12(3): HACIA LA IMPLEMENTACIÓN DE UN MODELO DE APOYOS EN EL EJERCICIO DE LA CAPACIDAD JURÍDICA</w:t>
      </w:r>
    </w:p>
    <w:p w:rsidR="009716D2" w:rsidRPr="00E72B02" w:rsidRDefault="009716D2" w:rsidP="004551E9"/>
    <w:p w:rsidR="009716D2" w:rsidRPr="00E72B02" w:rsidRDefault="009716D2" w:rsidP="004551E9">
      <w:r w:rsidRPr="00E72B02">
        <w:t xml:space="preserve">Aunque la </w:t>
      </w:r>
      <w:r w:rsidR="00483F02">
        <w:t>CDPD</w:t>
      </w:r>
      <w:r w:rsidRPr="00E72B02">
        <w:t xml:space="preserve"> deja claro el reconocimiento a la personalidad jurídica de las personas con discapacidad, así como su capacidad jurídica y de obrar en igualdad de condiciones con los demás, la misma también hace eco de que en muchos casos la restitución del derecho a la toma de decisiones de la persona, sin más, podría generar un efecto contraproducente, y por ende, de real desprotección. Por ello en lugar de tomar el camino de la representación legal (sustitución en la toma de decisiones) se establece el sistema de apoyos en la toma de decisiones.</w:t>
      </w:r>
    </w:p>
    <w:p w:rsidR="009716D2" w:rsidRPr="00E72B02" w:rsidRDefault="009716D2" w:rsidP="004551E9">
      <w:r w:rsidRPr="00E72B02">
        <w:t xml:space="preserve">El Artículo 12(3) establece que: </w:t>
      </w:r>
    </w:p>
    <w:p w:rsidR="009716D2" w:rsidRPr="00E72B02" w:rsidRDefault="009716D2" w:rsidP="004551E9">
      <w:pPr>
        <w:pStyle w:val="Cita"/>
      </w:pPr>
      <w:r w:rsidRPr="00E72B02">
        <w:lastRenderedPageBreak/>
        <w:t>“Los Estados Partes adoptarán las medidas pertinentes para proporcionar acceso a las personas con discapacidad al apoyo que puedan necesitar en el ejercicio de su capacidad jurídica”.</w:t>
      </w:r>
    </w:p>
    <w:p w:rsidR="009716D2" w:rsidRPr="00E72B02" w:rsidRDefault="009716D2" w:rsidP="004551E9">
      <w:r w:rsidRPr="00E72B02">
        <w:t>Lo que parece muy claro de la interpretación sistemática del Artículo 12, así como de otras disposiciones claves de la CDPD, es que lo señalado por el inciso 3, se ofrece como propuesta, como herramienta, y como reemplazo del modelo de sustitución en la toma de decisiones respecto de personas con discapacidad.</w:t>
      </w:r>
      <w:r w:rsidRPr="00E72B02">
        <w:rPr>
          <w:rStyle w:val="Refdenotaalpie"/>
        </w:rPr>
        <w:footnoteReference w:id="764"/>
      </w:r>
      <w:r w:rsidRPr="00E72B02">
        <w:t xml:space="preserve"> La CDPD, asume que ciertas personas con discapacidad no podrán gozar de un pleno ejercicio de su capacidad jurídica con el simple hecho de su reconocimiento absoluto (en virtud del inciso 2), sino que entiende que es necesario disponer de herramientas de apoyo.</w:t>
      </w:r>
    </w:p>
    <w:p w:rsidR="009716D2" w:rsidRPr="00E72B02" w:rsidRDefault="009716D2" w:rsidP="004551E9">
      <w:r w:rsidRPr="00E72B02">
        <w:t xml:space="preserve">Como señala el </w:t>
      </w:r>
      <w:r w:rsidR="00046B0A" w:rsidRPr="00E72B02">
        <w:t xml:space="preserve">CEDDIS </w:t>
      </w:r>
      <w:r w:rsidRPr="00E72B02">
        <w:t xml:space="preserve">“…Muchas veces las personas con discapacidad necesitan apoyo, pero no sustitución, pero el apoyo contemplado por la Convención como “apropiado” es el que se centra en las capacidades (más que en las deficiencias) y en la eliminación de los obstáculos del entorno para propiciar el acceso y la inclusión activa en el sistema general de la sociedad (medio físico y cultural, justicia, vivienda y transporte, servicios sociales y sanitarios, oportunidades de educación y trabajo, vida cultural, gremial y política, deportes y recreación). A diferencia de los sistemas de protección sustitutivos, que atrapan a las personas considerándolas un objeto a tutelar, el apoyo adecuado a la nueva normativa de derechos humanos se encamina a la liberación de las personas en sus propias vidas, a la ampliación de su esfera de actuación en la que decidan por sí mismas lo que quieran hacer y al reconocimiento del valor de su aporte a la sociedad que </w:t>
      </w:r>
      <w:r w:rsidRPr="00E72B02">
        <w:lastRenderedPageBreak/>
        <w:t>integran como ciudadanos y “como parte de la diversidad y de la condición humanas” (artículos. 3.d, 8.1.c y 8.2.a) iii de la Convención)”.</w:t>
      </w:r>
      <w:r w:rsidRPr="00E72B02">
        <w:rPr>
          <w:rStyle w:val="Refdenotaalpie"/>
          <w:lang w:val="es-ES"/>
        </w:rPr>
        <w:footnoteReference w:id="765"/>
      </w:r>
    </w:p>
    <w:p w:rsidR="009716D2" w:rsidRPr="00E72B02" w:rsidRDefault="009716D2" w:rsidP="004551E9">
      <w:r w:rsidRPr="00E72B02">
        <w:t>La Convención no proporcionada datos sobre cómo, o qué rasgos debe tener el sistema de apoyos con lo cual el Estado conserva un cierto margen de discrecionalidad.</w:t>
      </w:r>
      <w:r w:rsidRPr="00E72B02">
        <w:rPr>
          <w:rStyle w:val="Refdenotaalpie"/>
          <w:lang w:val="es-ES"/>
        </w:rPr>
        <w:footnoteReference w:id="766"/>
      </w:r>
      <w:r w:rsidRPr="00E72B02">
        <w:t xml:space="preserve"> Todo parece indicar que se trata de una obligación de carácter programático y que requiere una acción reglamentaria por parte del Estado para facilitar su ejercicio. Esto no supone que no se pueda ya solicitar en virtud de la Convención que, un juez nacional, ordene un régimen de apoyo en la toma de decisiones en un caso concreto.</w:t>
      </w:r>
      <w:r w:rsidRPr="00E72B02">
        <w:rPr>
          <w:rStyle w:val="Refdenotaalpie"/>
          <w:lang w:val="es-ES"/>
        </w:rPr>
        <w:footnoteReference w:id="767"/>
      </w:r>
      <w:r w:rsidRPr="00E72B02">
        <w:t xml:space="preserve"> </w:t>
      </w:r>
    </w:p>
    <w:p w:rsidR="009716D2" w:rsidRPr="00E72B02" w:rsidRDefault="009716D2" w:rsidP="004551E9">
      <w:r w:rsidRPr="00E72B02">
        <w:t xml:space="preserve">Sin perjuicio de ello, resulta útil recordar que los debates más intensos en torno al Artículo 12(3) se registraron durante la Tercera Sesión de </w:t>
      </w:r>
      <w:r w:rsidRPr="00E72B02">
        <w:lastRenderedPageBreak/>
        <w:t>negociación de la CDPD,</w:t>
      </w:r>
      <w:r w:rsidRPr="00E72B02">
        <w:rPr>
          <w:rStyle w:val="Refdenotaalpie"/>
          <w:lang w:val="es-ES"/>
        </w:rPr>
        <w:footnoteReference w:id="768"/>
      </w:r>
      <w:r w:rsidRPr="00E72B02">
        <w:t xml:space="preserve"> donde el Grupo de Trabajo la Asociación Canadiense de Vida Comunitaria presentó informe en el cual, entre otras cuestiones, señala que el modelo de apoyos “</w:t>
      </w:r>
      <w:r w:rsidRPr="00E72B02">
        <w:rPr>
          <w:i/>
        </w:rPr>
        <w:t>se encuentra basado en valores y principios que reconocen que la autonomía personal puede ser expresada interdependientemente; cada persona tiene una voluntad y es capaz de elegir los apoyos personales en sus diferentes formas que habiliten al individuo; el Estado tiene una obligación de proporcionar los recursos que aseguren que aquellos que están aislados puedan conectarse con otros en sus comunidades; el interés de terceros no debe generar la vulneración de derechos personales; y ningún individuo debe ser evaluado en cuando a su capacidad</w:t>
      </w:r>
      <w:r w:rsidRPr="00E72B02">
        <w:t>”.</w:t>
      </w:r>
      <w:r w:rsidRPr="00E72B02">
        <w:rPr>
          <w:rStyle w:val="Refdenotaalpie"/>
          <w:lang w:val="es-ES"/>
        </w:rPr>
        <w:footnoteReference w:id="769"/>
      </w:r>
      <w:r w:rsidRPr="00E72B02">
        <w:t xml:space="preserve"> </w:t>
      </w:r>
    </w:p>
    <w:p w:rsidR="009716D2" w:rsidRPr="00E72B02" w:rsidRDefault="009716D2" w:rsidP="004551E9">
      <w:r w:rsidRPr="00E72B02">
        <w:t>Por su parte la Alianza Internacional de Discapacidad ha señalado al respecto que “las personas con discapacidad que necesitan apoyo para ejercer su capacidad jurídica tienen el derecho a que se les proporcione dicho apoyo. “Apoyo” significa desarrollar una relación y formas de trabajar con otra u otras personas, hacer posible que una persona se exprese por sí misma y comunique sus deseos, en el marco de un acuerdo de confianza y respeto de la voluntad de esa persona”.</w:t>
      </w:r>
      <w:r w:rsidRPr="00E72B02">
        <w:rPr>
          <w:rStyle w:val="Refdenotaalpie"/>
          <w:lang w:val="es-ES"/>
        </w:rPr>
        <w:footnoteReference w:id="770"/>
      </w:r>
      <w:r w:rsidRPr="00E72B02">
        <w:t xml:space="preserve"> </w:t>
      </w:r>
    </w:p>
    <w:p w:rsidR="009716D2" w:rsidRPr="00E72B02" w:rsidRDefault="009716D2" w:rsidP="004551E9"/>
    <w:p w:rsidR="009716D2" w:rsidRPr="00A71F97" w:rsidRDefault="009443FC" w:rsidP="00A57374">
      <w:pPr>
        <w:pStyle w:val="TTULO12"/>
      </w:pPr>
      <w:r w:rsidRPr="00A71F97">
        <w:t>5.5.1 LOS ELEMENTOS MEDULARES DEL ARTÍCULO 12(3)</w:t>
      </w:r>
    </w:p>
    <w:p w:rsidR="009716D2" w:rsidRPr="00E72B02" w:rsidRDefault="009716D2" w:rsidP="004551E9"/>
    <w:p w:rsidR="009716D2" w:rsidRPr="00E72B02" w:rsidRDefault="009716D2" w:rsidP="004551E9">
      <w:r w:rsidRPr="00E72B02">
        <w:lastRenderedPageBreak/>
        <w:t xml:space="preserve">Sin perjuicio de que los incisos segundo y tercero del Artículo 12 deben leerse e interpretarse de forma conjunta, en tanto que se tratan de elementos necesarios de un modelo que propone de un cambio de paradigma (como dos caras de una misma moneda), lo cierto es que el inciso 3 propone un enunciado novedoso y escasamente abordado por el derecho internacional de los derechos humanos. Con lo cual, resulta de suma dificultad traer elementos de interpretación sobre la base del derecho internacional de los derechos humanos para escalecer o llenar de contenido práctico lo estipulado por el apartado 3 del Artículo 12. </w:t>
      </w:r>
    </w:p>
    <w:p w:rsidR="009716D2" w:rsidRPr="00E72B02" w:rsidRDefault="009716D2" w:rsidP="004551E9">
      <w:r w:rsidRPr="00E72B02">
        <w:t>Consecuentemente, deviene útil intentar analizar los aspectos centrales del Artículo 12(3) los cuales podrían resumirse en cuatro: 1) ¿Qué debe entenderse por “medidas pertinentes”, 2) ¿Qué debe entenderse por “personas con discapacidad”?, 3) ¿Qué debe entenderse por acceso a los “apoyos que puedan necesitar”?, y por último, 4) ¿Qué debe entenderse por “en el ejercicio de su capacidad jurídica”?</w:t>
      </w:r>
    </w:p>
    <w:p w:rsidR="009716D2" w:rsidRPr="009443FC" w:rsidRDefault="009716D2" w:rsidP="004551E9">
      <w:pPr>
        <w:rPr>
          <w:b/>
        </w:rPr>
      </w:pPr>
    </w:p>
    <w:p w:rsidR="009716D2" w:rsidRPr="009443FC" w:rsidRDefault="009716D2" w:rsidP="00A57374">
      <w:pPr>
        <w:pStyle w:val="TTULO12"/>
        <w:rPr>
          <w:b/>
        </w:rPr>
      </w:pPr>
      <w:r w:rsidRPr="009443FC">
        <w:rPr>
          <w:b/>
        </w:rPr>
        <w:t>5.5.1.1 Medidas pertinentes</w:t>
      </w:r>
    </w:p>
    <w:p w:rsidR="009716D2" w:rsidRPr="00E72B02" w:rsidRDefault="009716D2" w:rsidP="004551E9"/>
    <w:p w:rsidR="009716D2" w:rsidRPr="00E72B02" w:rsidRDefault="009716D2" w:rsidP="004551E9">
      <w:r w:rsidRPr="00E72B02">
        <w:t>La primera parte del Artículo 12(3) señala que los Estados “adoptarán las medida pertinentes”. El imperativo verbal parece dar a entender que no</w:t>
      </w:r>
      <w:r w:rsidR="00483F02">
        <w:t>s</w:t>
      </w:r>
      <w:r w:rsidRPr="00E72B02">
        <w:t xml:space="preserve"> hallamos ante una verdadera obligación jurídico-internacional. No obstante, la referencia siguiente a “medidas pertinentes” prácticamente relega dicho imperativo legal a un terreno de gran ambigüedad y discrecionalidad. No cabe duda que el Estado está obligado a implementar las medidas requeridas por el Artículo 12(3), pero claro, todo ello desde la amplitud y el enorme margen de subjetividad que supone determinar cuándo nos hallamos ante una “medida pertinente”. </w:t>
      </w:r>
    </w:p>
    <w:p w:rsidR="009716D2" w:rsidRPr="00E72B02" w:rsidRDefault="009716D2" w:rsidP="004551E9">
      <w:r w:rsidRPr="00E72B02">
        <w:t xml:space="preserve">Probablemente la razón por la cual la CDPD habla genéricamente de medidas pertinentes radique en dos aspectos principales. En primer lugar, que los redactores de la CDPD eran conscientes de que la implementación </w:t>
      </w:r>
      <w:r w:rsidRPr="00E72B02">
        <w:lastRenderedPageBreak/>
        <w:t>del artículo 12(3) requeriría de la adopción de obligaciones de realización, es decir, obligaciones positivas por parte del Estado, lo que supondría destinar recursos o gastos adicionales. Por ello, se entiende que las obligaciones impuestas por el Artículo 12(3) son de tipo programáticas (obligaciones de conducta) en tanto que requieren de una regulación específica por parte del Estado para su correcta implementación. Asimismo, también es de entender que la obligación de adoptar medidas pertinentes, sea de aplicación progresiva de conformidad con lo señalado por el Artículo 4(2) de la CDPD.</w:t>
      </w:r>
      <w:r w:rsidRPr="00E72B02">
        <w:rPr>
          <w:rStyle w:val="Refdenotaalpie"/>
        </w:rPr>
        <w:footnoteReference w:id="771"/>
      </w:r>
      <w:r w:rsidRPr="00E72B02">
        <w:t xml:space="preserve"> En segundo de los aspectos señalados es que los redactores probablemente utilizaron la referencia a “medidas pertinentes”, en tanto que no existían al momento de su redacción ejemplos claros en el derecho internacional de los derechos humanos, de lo que suponen los apoyos en el ejercicio de la capacidad jurídica. En cierta manera la CDPD deja librado al Estado el determinar cuáles medidas considera pertinentes para implementar las obligaciones estipuladas en el Artículo 12(3). </w:t>
      </w:r>
    </w:p>
    <w:p w:rsidR="009716D2" w:rsidRPr="00E72B02" w:rsidRDefault="009716D2" w:rsidP="004551E9">
      <w:r w:rsidRPr="00E72B02">
        <w:t xml:space="preserve">Ahora bien, sin perjuicio de la indeterminación y discrecionalidad que encumbre la referencia a “medida pertinentes”, existen elementos claves en el propio lenguaje del Artículo 12(3) que nos permiten evaluar con mayor precisión sin nos hallamos, o no, ante las referidas “medidas pertinentes”, las cuales se analizarán a continuación. </w:t>
      </w:r>
    </w:p>
    <w:p w:rsidR="009716D2" w:rsidRPr="00E72B02" w:rsidRDefault="009716D2" w:rsidP="004551E9"/>
    <w:p w:rsidR="009716D2" w:rsidRPr="009443FC" w:rsidRDefault="009716D2" w:rsidP="00A57374">
      <w:pPr>
        <w:pStyle w:val="TTULO12"/>
        <w:rPr>
          <w:b/>
        </w:rPr>
      </w:pPr>
      <w:r w:rsidRPr="009443FC">
        <w:rPr>
          <w:b/>
        </w:rPr>
        <w:lastRenderedPageBreak/>
        <w:t>5.5.1.2 Personas con discapacidad</w:t>
      </w:r>
    </w:p>
    <w:p w:rsidR="009716D2" w:rsidRPr="00E72B02" w:rsidRDefault="009716D2" w:rsidP="004551E9"/>
    <w:p w:rsidR="009716D2" w:rsidRPr="00E72B02" w:rsidRDefault="009716D2" w:rsidP="004551E9">
      <w:r w:rsidRPr="00E72B02">
        <w:t>En este punto, la lectura sobre el modo de interpretar el concepto de persona con discapacidad, es exactamente el mismo que el señalado respecto del Artículo 12(2) referido supra.</w:t>
      </w:r>
      <w:r w:rsidRPr="00E72B02">
        <w:rPr>
          <w:rStyle w:val="Refdenotaalpie"/>
        </w:rPr>
        <w:footnoteReference w:id="772"/>
      </w:r>
      <w:r w:rsidRPr="00E72B02">
        <w:t xml:space="preserve"> No obstante, es importante destacar, que las medidas de apoyo recogidas por el Artículo 12(3) si bien tienen como principal destinataria a las personas con discapacidad, ello no es óbice para que las mismas puedan ser utilizadas por otros colectivos o grupos como los niños y niñas, las personas mayores, o las personas en situación de vulnerabilidad social, como personas en situación de pobreza, o personas analfabetas o con educación deficiente.  </w:t>
      </w:r>
    </w:p>
    <w:p w:rsidR="009716D2" w:rsidRPr="00E72B02" w:rsidRDefault="009716D2" w:rsidP="004551E9"/>
    <w:p w:rsidR="009716D2" w:rsidRPr="009443FC" w:rsidRDefault="009716D2" w:rsidP="00A57374">
      <w:pPr>
        <w:pStyle w:val="TTULO12"/>
        <w:rPr>
          <w:b/>
        </w:rPr>
      </w:pPr>
      <w:r w:rsidRPr="009443FC">
        <w:rPr>
          <w:b/>
        </w:rPr>
        <w:t>5.5.1.3 Apoyos que puedan necesitar</w:t>
      </w:r>
    </w:p>
    <w:p w:rsidR="009716D2" w:rsidRPr="00E72B02" w:rsidRDefault="009716D2" w:rsidP="004551E9"/>
    <w:p w:rsidR="009716D2" w:rsidRPr="00E72B02" w:rsidRDefault="009716D2" w:rsidP="004551E9">
      <w:r w:rsidRPr="00E72B02">
        <w:t>Esta frase encubre dos aspectos centrales para comprender cabalmente la obligación estipulada por el Artículo 12(3), esto e</w:t>
      </w:r>
      <w:r w:rsidR="00C32458" w:rsidRPr="00E72B02">
        <w:t>s, ¿Qué se entiende por apoyo? y</w:t>
      </w:r>
      <w:r w:rsidRPr="00E72B02">
        <w:t xml:space="preserve"> ¿Qué implica “que puedan necesitar”?. </w:t>
      </w:r>
    </w:p>
    <w:p w:rsidR="009716D2" w:rsidRPr="00E72B02" w:rsidRDefault="009716D2" w:rsidP="004551E9">
      <w:r w:rsidRPr="00E72B02">
        <w:t xml:space="preserve">Para la Real Academia Española, la palabra apoyo significa ayudar, favorecer, sostener, auxiliar, prestar un favor, o </w:t>
      </w:r>
      <w:r w:rsidR="00C32458" w:rsidRPr="00E72B02">
        <w:t>proteger. Con lo cual, la propia</w:t>
      </w:r>
      <w:r w:rsidRPr="00E72B02">
        <w:t xml:space="preserve"> naturaleza del concepto no nos denota una acción en la cual la participación del sujeto que requiere del apoyo sea necesaria. La versión en inglés del Artículo 12(3) habla de “support” cuya naturaleza resulta quizás más ilustrativa de lo que se busca denotar con dicha palabra. Probablemente el concepto más adecuado sería el de “asistencia”, el cual denota en lengua española una labor de un tercero que asiste o presta un servicio o ayuda a una persona. </w:t>
      </w:r>
    </w:p>
    <w:p w:rsidR="009716D2" w:rsidRPr="00E72B02" w:rsidRDefault="009716D2" w:rsidP="004551E9">
      <w:r w:rsidRPr="00E72B02">
        <w:lastRenderedPageBreak/>
        <w:t>Más allá de la etimología del término “apoyo”, lo cierto es que el Artículo 12(3) debe interpretarse en conjunto con todo el texto de la CDPD, y en este punto resulta de vital importancia lo señalado en el preámbulo (inciso j) “</w:t>
      </w:r>
      <w:r w:rsidRPr="00E72B02">
        <w:rPr>
          <w:i/>
        </w:rPr>
        <w:t>Reconociendo la necesidad de promover y proteger los derechos humanos de todas las personas con discapacidad, incluidas aquellas que necesitan un apoyo más intenso</w:t>
      </w:r>
      <w:r w:rsidRPr="00E72B02">
        <w:t>”, pero principalmente por el primer principio recogido en el Artículo 3, el cual reza: “</w:t>
      </w:r>
      <w:r w:rsidRPr="00E72B02">
        <w:rPr>
          <w:i/>
        </w:rPr>
        <w:t>El respeto de la dignidad inherente, la autonomía individual, incluida la libertad de tomar las propias decisiones, y la independencia de las personas</w:t>
      </w:r>
      <w:r w:rsidRPr="00E72B02">
        <w:t>”. Con lo cual la CDPD recoge como principio general</w:t>
      </w:r>
      <w:r w:rsidRPr="00E72B02">
        <w:rPr>
          <w:rStyle w:val="Refdenotaalpie"/>
          <w:lang w:val="es-ES"/>
        </w:rPr>
        <w:footnoteReference w:id="773"/>
      </w:r>
      <w:r w:rsidRPr="00E72B02">
        <w:t xml:space="preserve"> el derecho de las personas con discapacidad “</w:t>
      </w:r>
      <w:r w:rsidRPr="00E72B02">
        <w:rPr>
          <w:i/>
        </w:rPr>
        <w:t>a tomar las propias decisiones</w:t>
      </w:r>
      <w:r w:rsidRPr="00E72B02">
        <w:t>”. Adicionalmente, el inciso 4 del Artículo 12 señala que las medidas relativas al ejercicio de la capacidad jurídica respeten los derechos, la voluntad y las preferencias de la persona, que no haya conflicto de intereses ni influencia indebida.</w:t>
      </w:r>
    </w:p>
    <w:p w:rsidR="009716D2" w:rsidRPr="00E72B02" w:rsidRDefault="009716D2" w:rsidP="004551E9">
      <w:r w:rsidRPr="00E72B02">
        <w:t>Por ello, el “elemento de define o caracteriza el modelo a apoyo es justamente la voluntad decisoria del sujeto que, a diferencia de lo que ocurre en el modelo de representación por sustitución, sigue en cabeza de la propia persona con discapacidad”.</w:t>
      </w:r>
      <w:r w:rsidRPr="00E72B02">
        <w:rPr>
          <w:rStyle w:val="Refdenotaalpie"/>
          <w:lang w:val="es-ES"/>
        </w:rPr>
        <w:footnoteReference w:id="774"/>
      </w:r>
      <w:r w:rsidRPr="00E72B02">
        <w:t xml:space="preserve"> En otras palabras, el modelo de apoyos tiene como objetivo asegurar que sea siempre la persona con discapacidad quien decida.</w:t>
      </w:r>
      <w:r w:rsidRPr="00E72B02">
        <w:rPr>
          <w:rStyle w:val="Refdenotaalpie"/>
          <w:lang w:val="es-ES"/>
        </w:rPr>
        <w:footnoteReference w:id="775"/>
      </w:r>
    </w:p>
    <w:p w:rsidR="009716D2" w:rsidRPr="00E72B02" w:rsidRDefault="009716D2" w:rsidP="004551E9">
      <w:pPr>
        <w:rPr>
          <w:rFonts w:eastAsia="Calibri"/>
        </w:rPr>
      </w:pPr>
      <w:r w:rsidRPr="00E72B02">
        <w:t xml:space="preserve"> De este modo, resulta irrelevante si una medida legal lleva el nombre de apoyo o asistencia, ya que lo que importa es quien decide. </w:t>
      </w:r>
      <w:r w:rsidRPr="00E72B02">
        <w:rPr>
          <w:rFonts w:eastAsia="Calibri"/>
          <w:lang w:val="es-ES_tradnl"/>
        </w:rPr>
        <w:t>El</w:t>
      </w:r>
      <w:r w:rsidRPr="00E72B02">
        <w:rPr>
          <w:rFonts w:eastAsia="Calibri"/>
        </w:rPr>
        <w:t xml:space="preserve"> modelo de apoyos previsto por la CDPD puede mantener alguna de las características </w:t>
      </w:r>
      <w:r w:rsidRPr="00E72B02">
        <w:rPr>
          <w:rFonts w:eastAsia="Calibri"/>
        </w:rPr>
        <w:lastRenderedPageBreak/>
        <w:t>del modelo de asistencia previsto en algunas legislaciones vigentes,</w:t>
      </w:r>
      <w:r w:rsidRPr="00E72B02">
        <w:rPr>
          <w:rStyle w:val="Refdenotaalpie"/>
          <w:rFonts w:eastAsia="Calibri"/>
        </w:rPr>
        <w:footnoteReference w:id="776"/>
      </w:r>
      <w:r w:rsidRPr="00E72B02">
        <w:rPr>
          <w:rFonts w:eastAsia="Calibri"/>
        </w:rPr>
        <w:t xml:space="preserve"> pero no se trata de lo mismo. Y ello no sólo en cuanto al diferente bien jurídico protegido, sino principalmente, porque el modelo de asistencia se suele centrar “en </w:t>
      </w:r>
      <w:r w:rsidRPr="00E72B02">
        <w:rPr>
          <w:rFonts w:eastAsia="Calibri"/>
          <w:i/>
        </w:rPr>
        <w:t>la formalización de acto jurídico</w:t>
      </w:r>
      <w:r w:rsidRPr="00E72B02">
        <w:rPr>
          <w:rFonts w:eastAsia="Calibri"/>
        </w:rPr>
        <w:t>” en tanto que el modelo de apoyos no solo se centra en dicho ámbito, sino que además se proyecta sobre el “</w:t>
      </w:r>
      <w:r w:rsidRPr="00E72B02">
        <w:rPr>
          <w:rFonts w:eastAsia="Calibri"/>
          <w:i/>
        </w:rPr>
        <w:t>proceso de la toma de decisiones</w:t>
      </w:r>
      <w:r w:rsidRPr="00E72B02">
        <w:rPr>
          <w:rFonts w:eastAsia="Calibri"/>
        </w:rPr>
        <w:t xml:space="preserve">”. </w:t>
      </w:r>
    </w:p>
    <w:p w:rsidR="009716D2" w:rsidRPr="00E72B02" w:rsidRDefault="009716D2" w:rsidP="004551E9">
      <w:r w:rsidRPr="00E72B02">
        <w:t>Por otro lado, la frase “</w:t>
      </w:r>
      <w:r w:rsidRPr="00E72B02">
        <w:rPr>
          <w:i/>
        </w:rPr>
        <w:t>que puedan necesitar</w:t>
      </w:r>
      <w:r w:rsidRPr="00E72B02">
        <w:t>” nos enfrenta ante la cuestión de si los apoyos previstos por el Artículo 12(3) deben ser impuestos, o deben quedar a la exclusiva voluntad de la persona. En otras palabras, ¿Quién debe determinar la situación de necesidad? ¿El Estado en un rol de protección o la propia persona según sus necesidades y voluntad? Se trata sin duda alguna de una cuestión de vital importancia para su implementación práctica y que la propia CDPD no brinda respuestas claras en ningún sentido. El inciso 4 del Artículo 12 señala que “</w:t>
      </w:r>
      <w:r w:rsidRPr="00E72B02">
        <w:rPr>
          <w:i/>
        </w:rPr>
        <w:t>las medidas relativas al ejercicio de la capacidad jurídica (…) respeten los derechos, la voluntad y las preferencias de la persona</w:t>
      </w:r>
      <w:r w:rsidRPr="00E72B02">
        <w:t xml:space="preserve">”. Ahora bien, existe un interés y un deber del Estado de prestar apoyo a las personas en situación de vulnerabilidad, y lo cierto es que muchas personas con discapacidad no tienen en la realidad capacidad fáctica de solicitar siempre medidas de apoyo. Es decir, optar por la tesis que sólo la persona puede solicitar las medidas de apoyo, podría condenar a muchas personas con discapacidad a no poder beneficiarse de dichas medidas, sea por no conocerlas, por estar marginadas socialmente, por estar institucionalizadas, o por no tener ningún tipo de red social o familiar que les puede servir de apoyo. Por ello, probablemente sea necesaria implementar un sistema que permita a las </w:t>
      </w:r>
      <w:r w:rsidRPr="00E72B02">
        <w:lastRenderedPageBreak/>
        <w:t>autoridades públicas y a terceros solicitar medidas de apoyo a favor de personas con discapacidad.</w:t>
      </w:r>
      <w:r w:rsidR="002F4567" w:rsidRPr="00E72B02">
        <w:rPr>
          <w:rStyle w:val="Refdenotaalpie"/>
          <w:lang w:val="es-ES"/>
        </w:rPr>
        <w:footnoteReference w:id="777"/>
      </w:r>
      <w:r w:rsidRPr="00E72B02">
        <w:t xml:space="preserve"> </w:t>
      </w:r>
    </w:p>
    <w:p w:rsidR="009716D2" w:rsidRPr="00E72B02" w:rsidRDefault="009716D2" w:rsidP="004551E9">
      <w:r w:rsidRPr="00E72B02">
        <w:t xml:space="preserve">No obstante, ello no resuelve el problema que se podría suscitar si la propia persona, ante la autoridad judicial, manifiesta que no considera necesario la </w:t>
      </w:r>
      <w:r w:rsidRPr="00E72B02">
        <w:lastRenderedPageBreak/>
        <w:t>designación de medidas de apoyo.</w:t>
      </w:r>
      <w:r w:rsidRPr="00E72B02">
        <w:rPr>
          <w:rStyle w:val="Refdenotaalpie"/>
          <w:lang w:val="es-ES"/>
        </w:rPr>
        <w:footnoteReference w:id="778"/>
      </w:r>
      <w:r w:rsidRPr="00E72B02">
        <w:t xml:space="preserve"> En este sentido debe tenerse presente que la frase “</w:t>
      </w:r>
      <w:r w:rsidRPr="00E72B02">
        <w:rPr>
          <w:i/>
        </w:rPr>
        <w:t>apoyo que puedan necesitar</w:t>
      </w:r>
      <w:r w:rsidRPr="00E72B02">
        <w:t>” inserta en el párrafo 3 debe interpretarse desde la perspectiva del modelo social de discapacidad recogido en el inciso e) del preámbulo, es decir, “</w:t>
      </w:r>
      <w:r w:rsidRPr="00E72B02">
        <w:rPr>
          <w:i/>
        </w:rPr>
        <w:t>que es un concepto que evoluciona y que resulta de la interacción entre las personas con deficiencias y las barreras debidas a la actitud y al entorno que evitan su participación plena y efectiva en la sociedad, en igualdad de condiciones con las demás</w:t>
      </w:r>
      <w:r w:rsidRPr="00E72B02">
        <w:t>”. Consecuentemente la “</w:t>
      </w:r>
      <w:r w:rsidRPr="00E72B02">
        <w:rPr>
          <w:i/>
        </w:rPr>
        <w:t>necesidad</w:t>
      </w:r>
      <w:r w:rsidRPr="00E72B02">
        <w:t>” de los apoyos debe determinarse desde la existencia de “</w:t>
      </w:r>
      <w:r w:rsidRPr="00E72B02">
        <w:rPr>
          <w:i/>
        </w:rPr>
        <w:t>barrearas debidas a la actitud y al entorno</w:t>
      </w:r>
      <w:r w:rsidRPr="00E72B02">
        <w:t>” y no meramente mediante patrones médicos. En última instancia, si las medidas de apoyo mantienen efectivamente el pleno ejercicio de la capacidad jurídica de la persona, tampoco dichas medidas deben considerase como lesivas o violatorias de los derechos personales.</w:t>
      </w:r>
      <w:r w:rsidRPr="00E72B02">
        <w:rPr>
          <w:rStyle w:val="Refdenotaalpie"/>
          <w:lang w:val="es-ES"/>
        </w:rPr>
        <w:footnoteReference w:id="779"/>
      </w:r>
      <w:r w:rsidRPr="00E72B02">
        <w:t xml:space="preserve"> No obstante la visión desde las OPDs es que los apoyos deben siempre respetar los deseos de las personas.</w:t>
      </w:r>
      <w:r w:rsidRPr="00E72B02">
        <w:rPr>
          <w:rStyle w:val="Refdenotaalpie"/>
          <w:lang w:val="es-ES"/>
        </w:rPr>
        <w:footnoteReference w:id="780"/>
      </w:r>
      <w:r w:rsidRPr="00E72B02">
        <w:t xml:space="preserve">  </w:t>
      </w:r>
    </w:p>
    <w:p w:rsidR="009716D2" w:rsidRPr="00E72B02" w:rsidRDefault="009716D2" w:rsidP="004551E9"/>
    <w:p w:rsidR="009716D2" w:rsidRPr="00F53E06" w:rsidRDefault="009716D2" w:rsidP="00A57374">
      <w:pPr>
        <w:pStyle w:val="TTULO12"/>
        <w:rPr>
          <w:b/>
        </w:rPr>
      </w:pPr>
      <w:r w:rsidRPr="00F53E06">
        <w:rPr>
          <w:b/>
        </w:rPr>
        <w:t>5.5.1.4 En el ejercicio de su capacidad jurídica</w:t>
      </w:r>
    </w:p>
    <w:p w:rsidR="009716D2" w:rsidRPr="00E72B02" w:rsidRDefault="009716D2" w:rsidP="004551E9"/>
    <w:p w:rsidR="009716D2" w:rsidRPr="00E72B02" w:rsidRDefault="009716D2" w:rsidP="004551E9">
      <w:pPr>
        <w:rPr>
          <w:lang w:val="es-ES_tradnl"/>
        </w:rPr>
      </w:pPr>
      <w:r w:rsidRPr="00E72B02">
        <w:t>Mientras la mayoría de la doctrina y expertos suelen hablar de “</w:t>
      </w:r>
      <w:r w:rsidRPr="00E72B02">
        <w:rPr>
          <w:i/>
        </w:rPr>
        <w:t>apoyos en la toma de decisiones</w:t>
      </w:r>
      <w:r w:rsidRPr="00E72B02">
        <w:t>”, lo correcto sería hablar de “</w:t>
      </w:r>
      <w:r w:rsidRPr="00E72B02">
        <w:rPr>
          <w:i/>
        </w:rPr>
        <w:t>apoyos en el ejercicio de la capacidad jurídica</w:t>
      </w:r>
      <w:r w:rsidRPr="00E72B02">
        <w:t xml:space="preserve">”.  </w:t>
      </w:r>
      <w:r w:rsidRPr="00E72B02">
        <w:rPr>
          <w:lang w:val="es-ES_tradnl"/>
        </w:rPr>
        <w:t xml:space="preserve">La prestación de apoyo, como señala </w:t>
      </w:r>
      <w:r w:rsidRPr="00E72B02">
        <w:rPr>
          <w:caps/>
          <w:lang w:val="es-ES_tradnl"/>
        </w:rPr>
        <w:t>Dhanda</w:t>
      </w:r>
      <w:r w:rsidRPr="00E72B02">
        <w:rPr>
          <w:lang w:val="es-ES_tradnl"/>
        </w:rPr>
        <w:t>, es un mecanismo integral diseñado por la CDPD para hacer efectivos los derechos de las personas con discapacidad. El art. 12(3) reconoce este apoyo de manera genérica, pero la obligación de promover formas de asistencia y apoyo aparece también específicamente contemplada en otros preceptos (en el artículo 9 en relación con el acceso a la información, en el artículo 23 en relación con la crianza de hijos, en el artículo 24 en relación con la educación, en el artículo 29 en relación con el derecho al voto). Esta extensión del apoyo refuerza el reconocimiento general otorgado a la capacidad jurídica de todas las personas con discapacidad en "</w:t>
      </w:r>
      <w:r w:rsidRPr="00E72B02">
        <w:rPr>
          <w:i/>
          <w:lang w:val="es-ES_tradnl"/>
        </w:rPr>
        <w:t>todos los aspectos de la vida</w:t>
      </w:r>
      <w:r w:rsidRPr="00E72B02">
        <w:rPr>
          <w:lang w:val="es-ES_tradnl"/>
        </w:rPr>
        <w:t>" en el artículo 12(2) de la CDPD.</w:t>
      </w:r>
    </w:p>
    <w:p w:rsidR="009716D2" w:rsidRPr="00E72B02" w:rsidRDefault="009716D2" w:rsidP="004551E9">
      <w:pPr>
        <w:rPr>
          <w:lang w:val="es-ES_tradnl"/>
        </w:rPr>
      </w:pPr>
      <w:r w:rsidRPr="00E72B02">
        <w:rPr>
          <w:lang w:val="es-ES_tradnl"/>
        </w:rPr>
        <w:t>La visión clásica de nuestro derecho civil nos lleva frecuentemente a pensar que las referencias a los apoyos necesarios para el ejercicio de la capacidad jurídica, que se indica en el apartado 3, se limitan al denominado proceso de toma de decisiones y el apoyo, por lo tanto, estaría relacionado más directamente a las personas con discapacidad mental o intelectual.</w:t>
      </w:r>
    </w:p>
    <w:p w:rsidR="009716D2" w:rsidRPr="00E72B02" w:rsidRDefault="009716D2" w:rsidP="004551E9">
      <w:pPr>
        <w:rPr>
          <w:lang w:val="es-ES_tradnl"/>
        </w:rPr>
      </w:pPr>
      <w:r w:rsidRPr="00E72B02">
        <w:rPr>
          <w:lang w:val="es-ES_tradnl"/>
        </w:rPr>
        <w:t xml:space="preserve">En este sentido no puede pasarse por alto que los ajustes o apoyos necesarios para ejercer plenamente la capacidad jurídica, entendida en relación con los dictados del artículo 3 de la CDPD, son necesarios no sólo para las personas con discapacidad mental o intelectual, sino también para </w:t>
      </w:r>
      <w:r w:rsidRPr="00E72B02">
        <w:rPr>
          <w:lang w:val="es-ES_tradnl"/>
        </w:rPr>
        <w:lastRenderedPageBreak/>
        <w:t>otras personas con otras discapacidades que podrán ejercer este derecho en igualdad de condiciones.</w:t>
      </w:r>
    </w:p>
    <w:p w:rsidR="009716D2" w:rsidRPr="00E72B02" w:rsidRDefault="009716D2" w:rsidP="004551E9">
      <w:pPr>
        <w:rPr>
          <w:lang w:val="es-ES_tradnl"/>
        </w:rPr>
      </w:pPr>
      <w:r w:rsidRPr="00E72B02">
        <w:rPr>
          <w:lang w:val="es-ES_tradnl"/>
        </w:rPr>
        <w:t>Por lo tanto, el apoyo al que se refiere el apartado 3, incluye los mecanismos necesarios para garantizar que cualquier persona con discapacidad pueda, con autonomía, independencia y libertad, ejercer su capacidad jurídica en relación con todos los aspectos de la vida, lo que implica en la práctica reconocimiento de la plena garantía de la accesibilidad en todas sus dimensiones.</w:t>
      </w:r>
    </w:p>
    <w:p w:rsidR="009716D2" w:rsidRPr="00E72B02" w:rsidRDefault="009716D2" w:rsidP="004551E9">
      <w:pPr>
        <w:rPr>
          <w:lang w:val="es-ES_tradnl"/>
        </w:rPr>
      </w:pPr>
      <w:r w:rsidRPr="00E72B02">
        <w:rPr>
          <w:lang w:val="es-ES_tradnl"/>
        </w:rPr>
        <w:t xml:space="preserve">El ejercicio de la capacidad jurídica no debe limitarse a la toma eficaz de decisiones, sino también comprender un momento anterior del descubrimiento y expresión de los deseos y preferencias. </w:t>
      </w:r>
    </w:p>
    <w:p w:rsidR="009716D2" w:rsidRPr="00E72B02" w:rsidRDefault="009716D2" w:rsidP="004551E9">
      <w:pPr>
        <w:rPr>
          <w:lang w:val="es-ES_tradnl"/>
        </w:rPr>
      </w:pPr>
      <w:r w:rsidRPr="00E72B02">
        <w:rPr>
          <w:lang w:val="es-ES_tradnl"/>
        </w:rPr>
        <w:t>De este modo, la noción de “apoyos en el ejercicio de la capacidad jurídica” se conecta indefectiblemente con las nociones de accesibilidad y ajustes razonables.</w:t>
      </w:r>
      <w:r w:rsidRPr="00E72B02">
        <w:rPr>
          <w:rStyle w:val="Refdenotaalpie"/>
          <w:lang w:val="es-ES_tradnl"/>
        </w:rPr>
        <w:footnoteReference w:id="781"/>
      </w:r>
      <w:r w:rsidRPr="00E72B02">
        <w:rPr>
          <w:lang w:val="es-ES_tradnl"/>
        </w:rPr>
        <w:t xml:space="preserve"> Por ejemplo, la necesidad de una persona sorda de un intérprete de lengua de señas para ejercer su capacidad jurídica (digamos en la compra de una propiedad), lo cual debe abarcar no sólo el momento específico y concreto de manifestación de la voluntad ante el notario, sino todo el proceso de toma de decisión, es decir, comunicarse con el agente inmobiliario, con los propietarios, con el banco que otorga el crédito, con amigos o personas que puedan asesorarlo, todo ello, ¿debe considerarse desde la noción de apoyos prevista en el Artículo 12(3) o desde la noción de </w:t>
      </w:r>
      <w:r w:rsidRPr="00E72B02">
        <w:rPr>
          <w:lang w:val="es-ES_tradnl"/>
        </w:rPr>
        <w:lastRenderedPageBreak/>
        <w:t>ajustes razonables?</w:t>
      </w:r>
      <w:r w:rsidR="00533C59" w:rsidRPr="00E72B02">
        <w:rPr>
          <w:rStyle w:val="Refdenotaalpie"/>
          <w:lang w:val="es-ES_tradnl"/>
        </w:rPr>
        <w:footnoteReference w:id="782"/>
      </w:r>
      <w:r w:rsidRPr="00E72B02">
        <w:rPr>
          <w:lang w:val="es-ES_tradnl"/>
        </w:rPr>
        <w:t xml:space="preserve"> Más allá del aspecto técnico, lo importante en este punto es que el Artículo 12(3) abarca “</w:t>
      </w:r>
      <w:r w:rsidRPr="00E72B02">
        <w:rPr>
          <w:i/>
          <w:lang w:val="es-ES_tradnl"/>
        </w:rPr>
        <w:t>todo el proceso de toma de decisiones</w:t>
      </w:r>
      <w:r w:rsidRPr="00E72B02">
        <w:rPr>
          <w:lang w:val="es-ES_tradnl"/>
        </w:rPr>
        <w:t>” y no exclusivamente en momento concreto de la expresión de la voluntad. Esto resulta particularmente importante dado que todas nuestras reglas de derecho civil se suelen centrar o abocar al momento jurídicamente relevante para dicho ámbito del derecho, esto es, el “</w:t>
      </w:r>
      <w:r w:rsidRPr="00E72B02">
        <w:rPr>
          <w:i/>
          <w:lang w:val="es-ES_tradnl"/>
        </w:rPr>
        <w:t>acto jurídico</w:t>
      </w:r>
      <w:r w:rsidRPr="00E72B02">
        <w:rPr>
          <w:lang w:val="es-ES_tradnl"/>
        </w:rPr>
        <w:t xml:space="preserve">”. </w:t>
      </w:r>
    </w:p>
    <w:p w:rsidR="009716D2" w:rsidRPr="00E72B02" w:rsidRDefault="009716D2" w:rsidP="004551E9">
      <w:pPr>
        <w:rPr>
          <w:lang w:val="es-ES_tradnl"/>
        </w:rPr>
      </w:pPr>
      <w:r w:rsidRPr="00E72B02">
        <w:t>La noción del “apoyo” no nace desde una ficción jurídica que crea una institución determinada, sino que más bien irrumpe en el Derecho desde una visión social de las relaciones humanas, que se caracterizan por el paradigma de la interdependencia. En otras palabras, todas las personas acudimos a diario, y con frecuencia, a todo tipo de apoyos para la toma de decisiones, muchas de la cuales, tienen efectos jurídicos.  Mientras el modelo clásico de protección se ha centrado exclusivamente en la formalización del acto jurídico –principalmente actos de tipo patrimoniales- y ha considerado a la “seguridad jurídica” como máximo bien a tutelar, el</w:t>
      </w:r>
      <w:r w:rsidR="00533C59" w:rsidRPr="00E72B02">
        <w:t xml:space="preserve"> modelo de apoyos que recoge la CDPD </w:t>
      </w:r>
      <w:r w:rsidRPr="00E72B02">
        <w:t>resulta mucho más amplio al entender la formalización del acto jurídico como la última instancia de un proceso complejo y humano, y donde el principal bien jurídico a tutelar es la autonomía y el ejercicio de los derechos de la persona.</w:t>
      </w:r>
      <w:r w:rsidRPr="00E72B02">
        <w:rPr>
          <w:rStyle w:val="Refdenotaalpie"/>
          <w:rFonts w:eastAsia="Calibri"/>
        </w:rPr>
        <w:t xml:space="preserve"> </w:t>
      </w:r>
    </w:p>
    <w:p w:rsidR="009716D2" w:rsidRPr="00E72B02" w:rsidRDefault="009716D2" w:rsidP="004551E9">
      <w:pPr>
        <w:rPr>
          <w:lang w:val="es-ES_tradnl"/>
        </w:rPr>
      </w:pPr>
      <w:r w:rsidRPr="00E72B02">
        <w:rPr>
          <w:lang w:val="es-ES_tradnl"/>
        </w:rPr>
        <w:lastRenderedPageBreak/>
        <w:t>Por ello autores como BACH señalan que “</w:t>
      </w:r>
      <w:r w:rsidRPr="00E72B02">
        <w:rPr>
          <w:i/>
          <w:lang w:val="es-ES_tradnl"/>
        </w:rPr>
        <w:t>apoyos en el ejercicio de la capacidad jurídica</w:t>
      </w:r>
      <w:r w:rsidRPr="00E72B02">
        <w:rPr>
          <w:lang w:val="es-ES_tradnl"/>
        </w:rPr>
        <w:t>” deben proyectarse más allá de los ámbitos que regulan la validez de los actos jurídicos y de este modo abarcar medidas tales como: - Asistencia para la toma de decisiones para demostrar y ejercer la personalidad jurídica, incluyendo la capacidad de obrar; - Información y campañas de sensibilización en materia de derechos humanos, capacidad jurídica, toma de decisiones con apoyos, redes de representación en la toma de decisiones; - Apoyos en la defensa de la persona para el ejercicio y la protección de su derecho a la capacidad jurídica, y – Sistemas de apoyo comunitarios que proporcionen apoyos relacionados con la discapacidad que sean individualizados, flexibles y responsables”.</w:t>
      </w:r>
      <w:r w:rsidRPr="00E72B02">
        <w:rPr>
          <w:rStyle w:val="Refdenotaalpie"/>
          <w:lang w:val="es-ES_tradnl"/>
        </w:rPr>
        <w:footnoteReference w:id="783"/>
      </w:r>
      <w:r w:rsidRPr="00E72B02">
        <w:rPr>
          <w:lang w:val="es-ES_tradnl"/>
        </w:rPr>
        <w:t xml:space="preserve"> </w:t>
      </w:r>
    </w:p>
    <w:p w:rsidR="009716D2" w:rsidRPr="00E72B02" w:rsidRDefault="009716D2" w:rsidP="004551E9">
      <w:pPr>
        <w:rPr>
          <w:lang w:val="es-ES_tradnl"/>
        </w:rPr>
      </w:pPr>
    </w:p>
    <w:p w:rsidR="009716D2" w:rsidRPr="00A57374" w:rsidRDefault="00F53E06" w:rsidP="00F53E06">
      <w:pPr>
        <w:pStyle w:val="TTULO12"/>
        <w:jc w:val="both"/>
      </w:pPr>
      <w:r w:rsidRPr="00A57374">
        <w:t xml:space="preserve">5.5.2 LAS CARACTERÍSTICAS DEL SISTEMA DE APOYOS EN EL EJERCICIO DE LA CAPACIDAD JURÍDICA </w:t>
      </w:r>
    </w:p>
    <w:p w:rsidR="009716D2" w:rsidRPr="00E72B02" w:rsidRDefault="009716D2" w:rsidP="004551E9"/>
    <w:p w:rsidR="009716D2" w:rsidRPr="00E72B02" w:rsidRDefault="009716D2" w:rsidP="004551E9">
      <w:r w:rsidRPr="00E72B02">
        <w:t>Sin perjuicio del silencio del artículo 12.3 sobre las características del sistema de apoyo en la toma de decisiones, la lectura comprensiva del artículo 12 con todas las disposiciones de la Convención nos permite sugerir algunas características principales:</w:t>
      </w:r>
    </w:p>
    <w:p w:rsidR="009716D2" w:rsidRPr="00F53E06" w:rsidRDefault="009716D2" w:rsidP="004551E9">
      <w:pPr>
        <w:rPr>
          <w:b/>
        </w:rPr>
      </w:pPr>
    </w:p>
    <w:p w:rsidR="009716D2" w:rsidRPr="00F53E06" w:rsidRDefault="009716D2" w:rsidP="00A57374">
      <w:pPr>
        <w:pStyle w:val="TTULO12"/>
        <w:rPr>
          <w:b/>
        </w:rPr>
      </w:pPr>
      <w:r w:rsidRPr="00F53E06">
        <w:rPr>
          <w:b/>
        </w:rPr>
        <w:t>5.5.2.1 Gradual</w:t>
      </w:r>
    </w:p>
    <w:p w:rsidR="009716D2" w:rsidRPr="00E72B02" w:rsidRDefault="009716D2" w:rsidP="004551E9"/>
    <w:p w:rsidR="009716D2" w:rsidRPr="00E72B02" w:rsidRDefault="009716D2" w:rsidP="004551E9">
      <w:r w:rsidRPr="00E72B02">
        <w:t>La implementación del sistema de apoyos requerirá una implementación gradual del mismo. Como destaca el Foro Europeo de Discapacidad “</w:t>
      </w:r>
      <w:r w:rsidRPr="00E72B02">
        <w:rPr>
          <w:i/>
        </w:rPr>
        <w:t xml:space="preserve">es evidente que poner en marcha un sistema como este llevará tiempo. Si todas las medidas tradicionales de tutela se suprimen de golpe el sistema se volverá inoperante. El sistema de apoyo en la toma de decisiones y el </w:t>
      </w:r>
      <w:r w:rsidRPr="00E72B02">
        <w:rPr>
          <w:i/>
        </w:rPr>
        <w:lastRenderedPageBreak/>
        <w:t>sistema tradicional de tutela deberán funcionar en paralelo durante el periodo de tiempo necesario hasta que la transición se haya completado</w:t>
      </w:r>
      <w:r w:rsidRPr="00E72B02">
        <w:t>”</w:t>
      </w:r>
      <w:r w:rsidRPr="00E72B02">
        <w:rPr>
          <w:rStyle w:val="Refdenotaalpie"/>
        </w:rPr>
        <w:footnoteReference w:id="784"/>
      </w:r>
      <w:r w:rsidRPr="00E72B02">
        <w:t xml:space="preserve"> </w:t>
      </w:r>
    </w:p>
    <w:p w:rsidR="009716D2" w:rsidRPr="00E72B02" w:rsidRDefault="009716D2" w:rsidP="004551E9">
      <w:r w:rsidRPr="00E72B02">
        <w:t>Ahora bien, la gradualidad del sistema no solo viene dada por una transición de un modelo a otro, sino también por el carácter progresivo de la obligación recogida en el Artículo 12(3). No obstante, lo que si queda claro es que los Estados Partes en la CDPD deben comenzar a “tomar medidas pertinentes” de forma inmediata, sin perjuicio de que dichas medidas contemplen un plan de implementación gradual y progresivo. Además, y teniendo en cuenta la inercia del modelo de incapacidad/tutela vigente en la mayoría de los Estados Partes de la CDPD, una verdadera transición supone una fecha de caducidad del modelo vigente, y no simplemente la implementación de un modelo paralelo que, en la práctica, sea relegado a una aplicación marginal o excepcional.</w:t>
      </w:r>
      <w:r w:rsidR="006E4D69" w:rsidRPr="00E72B02">
        <w:rPr>
          <w:rStyle w:val="Refdenotaalpie"/>
          <w:lang w:val="es-ES"/>
        </w:rPr>
        <w:footnoteReference w:id="785"/>
      </w:r>
      <w:r w:rsidRPr="00E72B02">
        <w:t xml:space="preserve">  </w:t>
      </w:r>
    </w:p>
    <w:p w:rsidR="009716D2" w:rsidRPr="00E72B02" w:rsidRDefault="009716D2" w:rsidP="004551E9"/>
    <w:p w:rsidR="009716D2" w:rsidRPr="00F53E06" w:rsidRDefault="009716D2" w:rsidP="00A57374">
      <w:pPr>
        <w:pStyle w:val="TTULO12"/>
        <w:rPr>
          <w:b/>
        </w:rPr>
      </w:pPr>
      <w:r w:rsidRPr="00F53E06">
        <w:rPr>
          <w:b/>
        </w:rPr>
        <w:t xml:space="preserve">5.5.2.2 Complejo </w:t>
      </w:r>
    </w:p>
    <w:p w:rsidR="009716D2" w:rsidRPr="00E72B02" w:rsidRDefault="009716D2" w:rsidP="004551E9"/>
    <w:p w:rsidR="009716D2" w:rsidRPr="00E72B02" w:rsidRDefault="009716D2" w:rsidP="004551E9">
      <w:r w:rsidRPr="00E72B02">
        <w:t xml:space="preserve">El sistema de apoyo supondrá la implementación de un sistema complejo que no sólo requerirá de reformas legales, sino también de una acción política del Estado que garantice, entre otras cosas, educación y recursos financieros adecuados. Es por ello que no consiste simplemente en reemplazar el nombre de tutela o curatela por el de “persona de apoyo” en </w:t>
      </w:r>
      <w:r w:rsidRPr="00E72B02">
        <w:lastRenderedPageBreak/>
        <w:t xml:space="preserve">las legislaciones nacionales. En virtud de lo señalado por los Artículo 4 y 8, el </w:t>
      </w:r>
      <w:r w:rsidR="0074119B" w:rsidRPr="00E72B02">
        <w:t>Estado Parte</w:t>
      </w:r>
      <w:r w:rsidRPr="00E72B02">
        <w:t xml:space="preserve"> en el cumplimiento de las obligaciones emergentes del Artículo 12(3) deberá, entre otras cosas, “</w:t>
      </w:r>
      <w:r w:rsidRPr="00E72B02">
        <w:rPr>
          <w:i/>
        </w:rPr>
        <w:t>adoptar todas las medidas legislativas, administrativas y de otra índole que sean pertinentes</w:t>
      </w:r>
      <w:r w:rsidRPr="00E72B02">
        <w:t>”, “</w:t>
      </w:r>
      <w:r w:rsidRPr="00E72B02">
        <w:rPr>
          <w:i/>
        </w:rPr>
        <w:t>tomar todas las medidas pertinentes, incluidas medidas legislativas, para modificar o derogar leyes, reglamentos, costumbres y prácticas existentes que constituyan discriminación contra las personas con discapacidad</w:t>
      </w:r>
      <w:r w:rsidRPr="00E72B02">
        <w:t>”, “</w:t>
      </w:r>
      <w:r w:rsidRPr="00E72B02">
        <w:rPr>
          <w:i/>
        </w:rPr>
        <w:t>tener en cuenta, en todas las políticas y todos los programas, la protección y promoción de los derechos humanos de las personas con discapacidad</w:t>
      </w:r>
      <w:r w:rsidRPr="00E72B02">
        <w:t>”, “</w:t>
      </w:r>
      <w:r w:rsidRPr="00E72B02">
        <w:rPr>
          <w:i/>
        </w:rPr>
        <w:t>abstenerse de actos o prácticas que sean incompatibles con la presente Convención y velar por que las autoridades e instituciones públicas actúen conforme a lo dispuesto en ella</w:t>
      </w:r>
      <w:r w:rsidRPr="00E72B02">
        <w:t>”, “</w:t>
      </w:r>
      <w:r w:rsidRPr="00E72B02">
        <w:rPr>
          <w:i/>
        </w:rPr>
        <w:t>promover la formación de los profesionales y el personal que trabajan con personas con discapacidad respecto de los derechos reconocidos en la presente Convención, a fin de prestar mejor la asistencia y los servicios garantizados por esos derechos</w:t>
      </w:r>
      <w:r w:rsidRPr="00E72B02">
        <w:t>”, “</w:t>
      </w:r>
      <w:r w:rsidRPr="00E72B02">
        <w:rPr>
          <w:i/>
        </w:rPr>
        <w:t>sensibilizar a la sociedad, incluso a nivel familiar, para que tome mayor conciencia respecto de las personas con discapacidad y fomentar el respeto de los derechos y la dignidad de estas personas</w:t>
      </w:r>
      <w:r w:rsidRPr="00E72B02">
        <w:t>”, “</w:t>
      </w:r>
      <w:r w:rsidRPr="00E72B02">
        <w:rPr>
          <w:i/>
        </w:rPr>
        <w:t>luchar contra los estereotipos, los prejuicios y las prácticas nocivas respecto de las personas con discapacidad, incluidos los que se basan en el género o la edad, en todos los ámbitos de la vida</w:t>
      </w:r>
      <w:r w:rsidRPr="00E72B02">
        <w:t>”, y “</w:t>
      </w:r>
      <w:r w:rsidRPr="00E72B02">
        <w:rPr>
          <w:i/>
        </w:rPr>
        <w:t>promover la toma de conciencia respecto de las capacidades y aportaciones de las personas con discapacidad</w:t>
      </w:r>
      <w:r w:rsidRPr="00E72B02">
        <w:t>”.</w:t>
      </w:r>
    </w:p>
    <w:p w:rsidR="009716D2" w:rsidRPr="00F53E06" w:rsidRDefault="009716D2" w:rsidP="004551E9">
      <w:pPr>
        <w:rPr>
          <w:b/>
        </w:rPr>
      </w:pPr>
    </w:p>
    <w:p w:rsidR="009716D2" w:rsidRPr="00F53E06" w:rsidRDefault="009716D2" w:rsidP="00A57374">
      <w:pPr>
        <w:pStyle w:val="TTULO12"/>
        <w:rPr>
          <w:b/>
        </w:rPr>
      </w:pPr>
      <w:r w:rsidRPr="00F53E06">
        <w:rPr>
          <w:b/>
        </w:rPr>
        <w:t>5.5.2.3 Diverso</w:t>
      </w:r>
    </w:p>
    <w:p w:rsidR="009716D2" w:rsidRPr="00E72B02" w:rsidRDefault="009716D2" w:rsidP="004551E9"/>
    <w:p w:rsidR="009716D2" w:rsidRPr="00E72B02" w:rsidRDefault="009716D2" w:rsidP="004551E9">
      <w:r w:rsidRPr="00E72B02">
        <w:t xml:space="preserve">Para que el sistema de apoyos cumpla su cometido y resulte efectivo, el mismo deberá adaptarse a las diferentes situaciones personales y a las diferentes deficiencias intelectuales o mentales de la persona en cuestión. Hay que pensar en diferentes tipos de “apoyo” sobre la base de: </w:t>
      </w:r>
      <w:r w:rsidRPr="00E72B02">
        <w:rPr>
          <w:i/>
        </w:rPr>
        <w:t>el tipo de acto jurídico</w:t>
      </w:r>
      <w:r w:rsidRPr="00E72B02">
        <w:t xml:space="preserve">: por ejemplo diferenciar ente actos trascendentales para la vida </w:t>
      </w:r>
      <w:r w:rsidRPr="00E72B02">
        <w:lastRenderedPageBreak/>
        <w:t xml:space="preserve">y/o el patrimonio de la persona (matrimonio, venta o compra de una casa, donación), y actos ordinarios de la vida común (reformar su casa, ir de viaje, suscribirse a un club deportivo) siendo en este último caso prácticamente innecesario el apoyo; </w:t>
      </w:r>
      <w:r w:rsidRPr="00E72B02">
        <w:rPr>
          <w:i/>
        </w:rPr>
        <w:t>el tipo de figura de apoyo adecuado</w:t>
      </w:r>
      <w:r w:rsidRPr="00E72B02">
        <w:t>. Será necesario poner a disposición de la persona diferentes tipos de figuras de apoyo que mejor se adapten a su situación particular. Por ejemplo, la posibilidad de un asistente personal, o la de un familiar, o la de un grupo de amigos, o la de una asociación, o la de un ombudsman o defensor oficial.</w:t>
      </w:r>
      <w:r w:rsidRPr="00E72B02">
        <w:rPr>
          <w:rStyle w:val="Refdenotaalpie"/>
          <w:lang w:val="es-ES"/>
        </w:rPr>
        <w:footnoteReference w:id="786"/>
      </w:r>
      <w:r w:rsidRPr="00E72B02">
        <w:t xml:space="preserve"> </w:t>
      </w:r>
    </w:p>
    <w:p w:rsidR="009716D2" w:rsidRPr="00E72B02" w:rsidRDefault="009716D2" w:rsidP="004551E9">
      <w:r w:rsidRPr="00E72B02">
        <w:t>De este modo, el deber del juez es garantizar que la persona pueda ejercer su derecho a tomar decisiones de forma autónoma, pero con el apoyo que requiera, como señala la CDPD, “</w:t>
      </w:r>
      <w:r w:rsidRPr="00E72B02">
        <w:rPr>
          <w:i/>
        </w:rPr>
        <w:t>en todos los aspectos de la vida</w:t>
      </w:r>
      <w:r w:rsidRPr="00E72B02">
        <w:t>”. Ello supone que el modelo de apoyos se proyecta tanto en los aspectos personales como patrimoniales, y que algunas medidas de apoyos tengan mayor incidencia en la vida social de la persona que en el Derecho. Pensemos por ejemplo un apoyo respecto de una persona con discapacidad mental que le permita recibir apoyo y contención de pares en momentos de crisis o ansiedad. En rigor este tipo de apoyo parece no t</w:t>
      </w:r>
      <w:r w:rsidR="006E4D69" w:rsidRPr="00E72B02">
        <w:t xml:space="preserve">ener efectos directos sobre la </w:t>
      </w:r>
      <w:r w:rsidRPr="00E72B02">
        <w:t xml:space="preserve">adquisición, modificación o extinción de relaciones o situaciones jurídicas. No obstante, dicho apoyo puede tener una importancia transcendental para el ejercicio de derechos personalísimos de la persona, o </w:t>
      </w:r>
      <w:r w:rsidRPr="00E72B02">
        <w:lastRenderedPageBreak/>
        <w:t xml:space="preserve">incluso indirectamente en derechos patrimoniales concretos (por ejemplo, el apoyo puede evitar una situación de prodigalidad). </w:t>
      </w:r>
    </w:p>
    <w:p w:rsidR="009716D2" w:rsidRPr="00E72B02" w:rsidRDefault="009716D2" w:rsidP="004551E9">
      <w:r w:rsidRPr="00E72B02">
        <w:t>Los ordenamientos jurídicos vigentes suelen distinguir entre actos personales, actos de administración y actos de disposición. Ahora bien, si analizamos bien jurídico protegido por cada una de dichas esferas, es posible entender que los principios éticos aplicables y las consecuencias jurídicas son muy diferentes. Mientras en materia de actos o decisiones que hacen a la persona, lo que suele estar en juego son derechos personalísimos como la vida, la dignidad, la integridad personal o la libertad, en materia de actos de administración y disposición, lo que suele estar en juego son derechos patrimoniales.  Desde dicha perspectiva resulta evidente que la modalidad, intensidad, y salvaguardias de los apoyos será muy diferente en cada caso.</w:t>
      </w:r>
    </w:p>
    <w:p w:rsidR="009716D2" w:rsidRPr="00E72B02" w:rsidRDefault="009716D2" w:rsidP="004551E9"/>
    <w:p w:rsidR="009716D2" w:rsidRPr="00F53E06" w:rsidRDefault="009716D2" w:rsidP="00A57374">
      <w:pPr>
        <w:pStyle w:val="TTULO12"/>
        <w:rPr>
          <w:b/>
        </w:rPr>
      </w:pPr>
      <w:r w:rsidRPr="00F53E06">
        <w:rPr>
          <w:b/>
        </w:rPr>
        <w:t>5.5.2.4 Respetuoso</w:t>
      </w:r>
    </w:p>
    <w:p w:rsidR="009716D2" w:rsidRPr="00E72B02" w:rsidRDefault="009716D2" w:rsidP="004551E9"/>
    <w:p w:rsidR="009716D2" w:rsidRPr="00E72B02" w:rsidRDefault="009716D2" w:rsidP="004551E9">
      <w:r w:rsidRPr="00E72B02">
        <w:t>El sistema de apoyo debe ser respetuoso con los deseos, preferencias y voluntad de la persona que debe ser siempre tenida en cuenta también en la elección de la propia figura de apoyo. En la mayoría de los sistemas vigentes la designación del representante (curador o tutor) se discierne sobre la base de criterios aparentemente objetivos como el grado de parentesco, solvencia económica, moralidad, carencia de antecedentes de mala conducta, etc., pero nunca sobre la base de la elección o voluntad de la persona.</w:t>
      </w:r>
      <w:r w:rsidRPr="00E72B02">
        <w:rPr>
          <w:rStyle w:val="Refdenotaalpie"/>
          <w:lang w:val="es-ES"/>
        </w:rPr>
        <w:footnoteReference w:id="787"/>
      </w:r>
      <w:r w:rsidRPr="00E72B02">
        <w:t xml:space="preserve"> El modelo previsto por la CDPD parte de la premisa de que la propia persona debe decidir quién o quienes han de desempeñarse como </w:t>
      </w:r>
      <w:r w:rsidRPr="00E72B02">
        <w:lastRenderedPageBreak/>
        <w:t>personas de apoyo. Asimismo, en la mayoría de los sistemas vigentes donde se designa un representante legal (tutor o curador), la voluntad de la persona es lisa y llanamente ignorada en el ejercicio de la tutela o curatela. Técnicamente dicho representante no requiere estar en contacto directo con la persona, y puede incluso ejercer la tutela o curatela, por decirlo en un sentido figurado, desde un escritorio. Ello no implica que el representante tenga libertad absoluta de actuar en nombre de su representado puesto que los ordenamientos jurídicos suelen regular controles estrictos, principalmente en la esfera patrimonial</w:t>
      </w:r>
      <w:r w:rsidR="00D77626" w:rsidRPr="00E72B02">
        <w:t>,</w:t>
      </w:r>
      <w:r w:rsidRPr="00E72B02">
        <w:t xml:space="preserve"> como confección de inventario o rendiciones de cuentas, pero no requieren de consultar a la persona en la toma de decisiones. Generalmente se ha entendido que los tutores o curadores deben actuar según la concepción de la diligencia de un “buen padre de familia”.</w:t>
      </w:r>
      <w:r w:rsidRPr="00E72B02">
        <w:rPr>
          <w:rStyle w:val="Refdenotaalpie"/>
          <w:lang w:val="es-ES"/>
        </w:rPr>
        <w:footnoteReference w:id="788"/>
      </w:r>
      <w:r w:rsidRPr="00E72B02">
        <w:t xml:space="preserve"> Esta concepción resuelve sin lugar a dudas los posibles conflictos de intereses entre la persona y su representante, en tanto que la primera queda excluida de la ecuación. O en otras palabras, no es posible que exista conflicto de intereses, fuera de los casos planteados por el derecho vigente,</w:t>
      </w:r>
      <w:r w:rsidRPr="00E72B02">
        <w:rPr>
          <w:rStyle w:val="Refdenotaalpie"/>
          <w:lang w:val="es-ES"/>
        </w:rPr>
        <w:footnoteReference w:id="789"/>
      </w:r>
      <w:r w:rsidRPr="00E72B02">
        <w:t xml:space="preserve"> ya que la persona bajo tutela o curatela no tiene capacidad legal de oponerse a las decisiones del tutor o curador. </w:t>
      </w:r>
    </w:p>
    <w:p w:rsidR="009716D2" w:rsidRPr="00E72B02" w:rsidRDefault="009716D2" w:rsidP="004551E9">
      <w:pPr>
        <w:rPr>
          <w:rFonts w:eastAsia="Calibri"/>
        </w:rPr>
      </w:pPr>
      <w:r w:rsidRPr="00E72B02">
        <w:t>Asimismo, es necesario destacar que el sistema de apoyos tiene como objetivo apuntalar el ejercicio de la capacidad jurídica de la persona, la cual, como se ha señalado ya, es considerada como la puerta de acceso a todos los derechos humanos. Y esto sitúa el bien jurídico protegido en “</w:t>
      </w:r>
      <w:r w:rsidRPr="00E72B02">
        <w:rPr>
          <w:i/>
        </w:rPr>
        <w:t xml:space="preserve">el ejercicio de </w:t>
      </w:r>
      <w:r w:rsidRPr="00E72B02">
        <w:rPr>
          <w:i/>
        </w:rPr>
        <w:lastRenderedPageBreak/>
        <w:t>los derechos</w:t>
      </w:r>
      <w:r w:rsidRPr="00E72B02">
        <w:t xml:space="preserve">” y no en la protección patrimonial o en la seguridad jurídica. El paradigma del Artículo 12 tiende a proteger los derechos de la persona, y no la persona en sí misma. </w:t>
      </w:r>
      <w:r w:rsidRPr="00E72B02">
        <w:rPr>
          <w:rFonts w:eastAsia="Calibri"/>
        </w:rPr>
        <w:t>Y eso tiene profundas consecuencias para el Derecho, puesto que el foco ya no se centra en procurar tomar la mejor decisión para proteger a la persona desde parámetros externos u objetivos, sino en dotarle de las herramientas y los apoyos necesarios para que ella misma pueda tomar la decisión y ejercer sus derechos desde parámetros propios.</w:t>
      </w:r>
      <w:r w:rsidRPr="00E72B02">
        <w:rPr>
          <w:rStyle w:val="Refdenotaalpie"/>
          <w:rFonts w:eastAsia="Calibri"/>
        </w:rPr>
        <w:footnoteReference w:id="790"/>
      </w:r>
      <w:r w:rsidRPr="00E72B02">
        <w:rPr>
          <w:rFonts w:eastAsia="Calibri"/>
        </w:rPr>
        <w:t xml:space="preserve"> </w:t>
      </w:r>
    </w:p>
    <w:p w:rsidR="009716D2" w:rsidRPr="00E72B02" w:rsidRDefault="009716D2" w:rsidP="004551E9">
      <w:r w:rsidRPr="00E72B02">
        <w:t>Como consecuencia de ello, el modelo de apoyos debe ser respetuoso del ejercicio de los derechos fundamentales, lo cual debe servir como foro o referencia de su puesta en práctica. Ningún sistema de apoyos podrá ser considerado como “</w:t>
      </w:r>
      <w:r w:rsidRPr="00E72B02">
        <w:rPr>
          <w:i/>
        </w:rPr>
        <w:t>bueno</w:t>
      </w:r>
      <w:r w:rsidRPr="00E72B02">
        <w:t>” en tanto tenga “</w:t>
      </w:r>
      <w:r w:rsidRPr="00E72B02">
        <w:rPr>
          <w:i/>
        </w:rPr>
        <w:t>el propósito o el efecto de obstaculizar o dejar sin efecto el reconocimiento, goce o ejercicio, en igualdad de condiciones, de todos los derechos humanos y libertades fundamentales en los ámbitos político, económico, social, cultural, civil o de otro tipo</w:t>
      </w:r>
      <w:r w:rsidRPr="00E72B02">
        <w:t>”.</w:t>
      </w:r>
    </w:p>
    <w:p w:rsidR="009716D2" w:rsidRPr="00E72B02" w:rsidRDefault="009716D2" w:rsidP="004551E9"/>
    <w:p w:rsidR="009716D2" w:rsidRPr="00F53E06" w:rsidRDefault="009716D2" w:rsidP="00A57374">
      <w:pPr>
        <w:pStyle w:val="TTULO12"/>
        <w:rPr>
          <w:b/>
        </w:rPr>
      </w:pPr>
      <w:r w:rsidRPr="00F53E06">
        <w:rPr>
          <w:b/>
        </w:rPr>
        <w:t>5.5.2.5 Abierto</w:t>
      </w:r>
    </w:p>
    <w:p w:rsidR="009716D2" w:rsidRPr="00E72B02" w:rsidRDefault="009716D2" w:rsidP="004551E9"/>
    <w:p w:rsidR="009716D2" w:rsidRPr="00E72B02" w:rsidRDefault="009716D2" w:rsidP="004551E9">
      <w:r w:rsidRPr="00E72B02">
        <w:t xml:space="preserve">El sistema de apoyo debe diseñarse pensando en todas las personas que puedan tener dificultades para ejercer su capacidad jurídica y no sólo para las que tienen un determinado tipo de discapacidad, como puede ser el caso de personas mayores, analfabetos, personas con discapacidades comunicacionales severas etc. </w:t>
      </w:r>
    </w:p>
    <w:p w:rsidR="009716D2" w:rsidRPr="00E72B02" w:rsidRDefault="009716D2" w:rsidP="004551E9">
      <w:r w:rsidRPr="00E72B02">
        <w:t xml:space="preserve">En este sentido, y si bien el modelo de apoyos previsto en la CDPD está pensado para las personas con discapacidad, sus presupuestos parten de </w:t>
      </w:r>
      <w:r w:rsidRPr="00E72B02">
        <w:lastRenderedPageBreak/>
        <w:t>concepciones de las relaciones humanas interdependientes. Con lo cual, el modelo de apoyo no hace más que evidenciar las falencias del mito del ser totalmente autónomo e independiente, que toma decisiones racionales y sin necesidad de apoyos de pares. Como señala DE ASIS, “</w:t>
      </w:r>
      <w:r w:rsidRPr="00E72B02">
        <w:rPr>
          <w:i/>
        </w:rPr>
        <w:t>el discurso ético, entendido como el espacio en el que se discute sobre lo bueno y lo malo, lo correcto y lo incorrecto, lo justo y lo injusto, es tradicionalmente entendido como un escenario en el que sujetos autónomos e independientes, dotados de capacidad para razonar y para elegir, establecen sus normas morales o contribuyen al establecimiento de las normas de moralidad social</w:t>
      </w:r>
      <w:r w:rsidRPr="00E72B02">
        <w:t>”.</w:t>
      </w:r>
      <w:r w:rsidRPr="00E72B02">
        <w:rPr>
          <w:rStyle w:val="Refdenotaalpie"/>
          <w:lang w:val="es-ES"/>
        </w:rPr>
        <w:footnoteReference w:id="791"/>
      </w:r>
      <w:r w:rsidRPr="00E72B02">
        <w:t xml:space="preserve"> Por su parte QUINN añade que: “</w:t>
      </w:r>
      <w:r w:rsidRPr="00E72B02">
        <w:rPr>
          <w:i/>
        </w:rPr>
        <w:t>nos gobernamos a nosotros mismos, porque somos autónomos, a través de una mezcla de lo racional con lo irracional, o a través de una mezcla de preferencias con las elecciones. La mayoría de nosotros, la mayoría del tiempo dependemos, al menos implícitamente, de otras personas para asistirnos en nuestra toma de decisiones, cualquiera sean ellas, nos basamos en las preferencias o en algún otro factor. Aquélla persona que nos está asistiendo, puede hacerlo de dos formas, una es aquella en la que nos brinda una señal en su asistencia y no algo tan obvio en su opinión, como por ejemplo: “Se que odias las herramientas del Excel, déjame mirar y te ayudo a hacerlo” La imagen de aquél hombre que actúa mecánicamente tomando decisiones de su vida en un vacío desprovisto de un contexto social, no va con la realidad</w:t>
      </w:r>
      <w:r w:rsidRPr="00E72B02">
        <w:t>”.</w:t>
      </w:r>
      <w:r w:rsidRPr="00E72B02">
        <w:rPr>
          <w:rStyle w:val="Refdenotaalpie"/>
          <w:lang w:val="es-ES"/>
        </w:rPr>
        <w:footnoteReference w:id="792"/>
      </w:r>
    </w:p>
    <w:p w:rsidR="009716D2" w:rsidRPr="00E72B02" w:rsidRDefault="009716D2" w:rsidP="004551E9">
      <w:r w:rsidRPr="00E72B02">
        <w:t xml:space="preserve">Por ello, el sistema de apoyos que se implemente para dar cumplimiento con las obligaciones recogidas en el Artículo 12(3) podría, y debería, diseñarse e implementarse de un modo abierto que facilite el reconocimiento de los apoyos por parte de otros colectivos o grupos en situación de vulnerabilidad social. </w:t>
      </w:r>
    </w:p>
    <w:p w:rsidR="009716D2" w:rsidRPr="00E72B02" w:rsidRDefault="009716D2" w:rsidP="004551E9"/>
    <w:p w:rsidR="009716D2" w:rsidRPr="00F53E06" w:rsidRDefault="009716D2" w:rsidP="00D579F5">
      <w:pPr>
        <w:pStyle w:val="TTULO12"/>
        <w:rPr>
          <w:b/>
          <w:lang w:val="es-ES"/>
        </w:rPr>
      </w:pPr>
      <w:r w:rsidRPr="00F53E06">
        <w:rPr>
          <w:b/>
        </w:rPr>
        <w:t xml:space="preserve">5.5.2.6 </w:t>
      </w:r>
      <w:r w:rsidRPr="00F53E06">
        <w:rPr>
          <w:b/>
          <w:lang w:val="es-ES"/>
        </w:rPr>
        <w:t>Formal</w:t>
      </w:r>
    </w:p>
    <w:p w:rsidR="009716D2" w:rsidRPr="00E72B02" w:rsidRDefault="009716D2" w:rsidP="004551E9"/>
    <w:p w:rsidR="009716D2" w:rsidRPr="00E72B02" w:rsidRDefault="009716D2" w:rsidP="004551E9">
      <w:r w:rsidRPr="00E72B02">
        <w:t xml:space="preserve">Aunque ello no surge de ni de la literalidad ni del espíritu del Artículo 12(3), es probable que en ciertos contextos nacionales, como por ejemplo en los sistemas civilistas de Latinoamérica, el modelo de apoyos requiera de ciertas formalidades adicionales que permitan su implementación en el marco de ciertas reglas y tradiciones jurídicas muy arraigadas, y que tienen como objetivo resguardar la seguridad jurídica y la protección de terceros de buena fe. </w:t>
      </w:r>
    </w:p>
    <w:p w:rsidR="009716D2" w:rsidRPr="00E72B02" w:rsidRDefault="009716D2" w:rsidP="004551E9">
      <w:r w:rsidRPr="00E72B02">
        <w:t xml:space="preserve">En este sentido, es difícil de concebir en los sistemas civilistas de Latinoamérica, la cabida de un régimen jurídico de apoyos en el ejercicio de la capacidad jurídica que no requiera de ciertas solemnidades como su implementación de escrito, o la intervención de una autoridad judicial o notarial, o algún tipo de registración. </w:t>
      </w:r>
    </w:p>
    <w:p w:rsidR="009716D2" w:rsidRPr="00E72B02" w:rsidRDefault="009716D2" w:rsidP="004551E9"/>
    <w:p w:rsidR="009716D2" w:rsidRPr="00F53E06" w:rsidRDefault="00F53E06" w:rsidP="00D579F5">
      <w:pPr>
        <w:pStyle w:val="TTULO12"/>
      </w:pPr>
      <w:r w:rsidRPr="00F53E06">
        <w:t>5.5.3 EL MODELO DE APOYOS Y LA REPRESENTACIÓN</w:t>
      </w:r>
    </w:p>
    <w:p w:rsidR="009716D2" w:rsidRPr="00E72B02" w:rsidRDefault="009716D2" w:rsidP="004551E9"/>
    <w:p w:rsidR="009716D2" w:rsidRPr="00E72B02" w:rsidRDefault="009716D2" w:rsidP="004551E9">
      <w:r w:rsidRPr="00E72B02">
        <w:t xml:space="preserve">Está claro como se ha señalado anteriormente, que el modelo de apoyos previsto por el Artículo 12(3) se presenta como una alternativa del modelo de representación clásico y vigente en los sistemas jurídicos de los Estados Partes. Ahora bien, ¿significa ello que no puede darse la representación en el marco de un sistema de apoyos? </w:t>
      </w:r>
    </w:p>
    <w:p w:rsidR="009716D2" w:rsidRPr="00E72B02" w:rsidRDefault="009716D2" w:rsidP="004551E9">
      <w:r w:rsidRPr="00E72B02">
        <w:t xml:space="preserve"> Para dar respuesta a dicho interrogante, es necesario explorar tres modelos o concepciones diferentes, todas ellas partiendo de una </w:t>
      </w:r>
      <w:r w:rsidR="00D77626" w:rsidRPr="00E72B02">
        <w:t>noción</w:t>
      </w:r>
      <w:r w:rsidRPr="00E72B02">
        <w:t xml:space="preserve"> de apoyos caracterizada por el reconocimiento del derecho de la persona a tomar sus propias decisiones: </w:t>
      </w:r>
    </w:p>
    <w:p w:rsidR="009716D2" w:rsidRPr="00E72B02" w:rsidRDefault="009716D2" w:rsidP="004551E9"/>
    <w:p w:rsidR="009716D2" w:rsidRPr="00F53E06" w:rsidRDefault="009716D2" w:rsidP="00D579F5">
      <w:pPr>
        <w:pStyle w:val="TTULO12"/>
        <w:rPr>
          <w:b/>
        </w:rPr>
      </w:pPr>
      <w:r w:rsidRPr="00F53E06">
        <w:rPr>
          <w:b/>
        </w:rPr>
        <w:t>5.5.3.1 Acciones de representación en el marco de un modelo de apoyo</w:t>
      </w:r>
    </w:p>
    <w:p w:rsidR="009716D2" w:rsidRPr="00E72B02" w:rsidRDefault="009716D2" w:rsidP="004551E9"/>
    <w:p w:rsidR="009716D2" w:rsidRPr="00E72B02" w:rsidRDefault="009716D2" w:rsidP="004551E9">
      <w:r w:rsidRPr="00E72B02">
        <w:t>Una concepción, que parece tomar fuerza como la mayoritaria,</w:t>
      </w:r>
      <w:r w:rsidRPr="00E72B02">
        <w:rPr>
          <w:rStyle w:val="Refdenotaalpie"/>
        </w:rPr>
        <w:footnoteReference w:id="793"/>
      </w:r>
      <w:r w:rsidRPr="00E72B02">
        <w:t xml:space="preserve"> considera que en el marco de un modelo de apoyos es posible contemplar situaciones excepcionales en las cuales sean necesarias “</w:t>
      </w:r>
      <w:r w:rsidRPr="00E72B02">
        <w:rPr>
          <w:i/>
        </w:rPr>
        <w:t>acciones de representación</w:t>
      </w:r>
      <w:r w:rsidRPr="00E72B02">
        <w:t>”. Aunque han sido definidas de modo diverso como “</w:t>
      </w:r>
      <w:r w:rsidRPr="00E72B02">
        <w:rPr>
          <w:i/>
        </w:rPr>
        <w:t>apoyos intensos</w:t>
      </w:r>
      <w:r w:rsidRPr="00E72B02">
        <w:t>”,</w:t>
      </w:r>
      <w:r w:rsidRPr="00E72B02">
        <w:rPr>
          <w:rStyle w:val="Refdenotaalpie"/>
        </w:rPr>
        <w:footnoteReference w:id="794"/>
      </w:r>
      <w:r w:rsidRPr="00E72B02">
        <w:t xml:space="preserve"> “</w:t>
      </w:r>
      <w:r w:rsidRPr="00E72B02">
        <w:rPr>
          <w:i/>
        </w:rPr>
        <w:t>apoyos obligatorios</w:t>
      </w:r>
      <w:r w:rsidRPr="00E72B02">
        <w:t>”,</w:t>
      </w:r>
      <w:r w:rsidRPr="00E72B02">
        <w:rPr>
          <w:rStyle w:val="Refdenotaalpie"/>
        </w:rPr>
        <w:footnoteReference w:id="795"/>
      </w:r>
      <w:r w:rsidRPr="00E72B02">
        <w:t xml:space="preserve"> o “</w:t>
      </w:r>
      <w:r w:rsidRPr="00E72B02">
        <w:rPr>
          <w:i/>
        </w:rPr>
        <w:t>toma de decisiones facilitada</w:t>
      </w:r>
      <w:r w:rsidRPr="00E72B02">
        <w:t>”,</w:t>
      </w:r>
      <w:r w:rsidRPr="00E72B02">
        <w:rPr>
          <w:rStyle w:val="Refdenotaalpie"/>
        </w:rPr>
        <w:footnoteReference w:id="796"/>
      </w:r>
      <w:r w:rsidRPr="00E72B02">
        <w:t xml:space="preserve"> están caracterizadas por tres elementos principales. En primer lugar, que se trata de una representación de tipo legal, en el sentido de que está prevista por la norma específica, y debe ser ordenada judicialmente. Caso contrario no encontraríamos frente al caso analizado en el punto siguiente. En segundo </w:t>
      </w:r>
      <w:r w:rsidRPr="00E72B02">
        <w:lastRenderedPageBreak/>
        <w:t>lugar, que deben ser si</w:t>
      </w:r>
      <w:r w:rsidR="00D77626" w:rsidRPr="00E72B02">
        <w:t>empre excepcionales y específica</w:t>
      </w:r>
      <w:r w:rsidRPr="00E72B02">
        <w:t xml:space="preserve">s, es decir, como </w:t>
      </w:r>
      <w:r w:rsidRPr="00E72B02">
        <w:rPr>
          <w:i/>
        </w:rPr>
        <w:t>última ratio</w:t>
      </w:r>
      <w:r w:rsidRPr="00E72B02">
        <w:t xml:space="preserve"> y sobre actos o aspectos del ejercicio de la capacidad jurídica concretos (ejemplo, para tomar una decisión médica, o para vender una propiedad, o para actuar en un proceso legal). Y en este punto las diferentes propuestas no siempre coinciden en el modo, o el criterio para determinar cuando no encontramos ante una situación de excepcionalidad, o respecto de qué tipo de actos puede incluir. Todas las propuestas coinciden en que existen situaciones tales como discapacidades intelectuales severas, estado de coma permanente, estados de Alzheimer muy avanzados, en los cuales no es posible, incluso mediante apoyos, obtener la voluntad de la persona. Para dichas situaciones se torna necesaria la actuación de un representante. En tercer lugar, que la acción de representación, aunque en rigor signifique que una persona tomar una decisión por otra persona, al encontrarnos dentro del modelo apoyos se requiere necesariamente que el representante “</w:t>
      </w:r>
      <w:r w:rsidRPr="00E72B02">
        <w:rPr>
          <w:i/>
        </w:rPr>
        <w:t>demuestre la ‘diligencia debida’ para facilitar la toma de decisiones de conformidad con las intenciones y deseos de la persona, y si dichas intenciones y deseos no pueden ser discernidos en el corto plazo, se debe facilitar la toma de decisiones que permita mayores oportunidades para comprender más cabalmente lo que la persona quiere o necesita</w:t>
      </w:r>
      <w:r w:rsidRPr="00E72B02">
        <w:t>”.</w:t>
      </w:r>
      <w:r w:rsidRPr="00E72B02">
        <w:rPr>
          <w:rStyle w:val="Refdenotaalpie"/>
        </w:rPr>
        <w:footnoteReference w:id="797"/>
      </w:r>
      <w:r w:rsidRPr="00E72B02">
        <w:t xml:space="preserve"> En otras palabras, el representante no puede decidir sobre su mejor criterio, sino siempre teniendo en cuenta la voluntad presunta de la persona. </w:t>
      </w:r>
    </w:p>
    <w:p w:rsidR="009716D2" w:rsidRPr="00E72B02" w:rsidRDefault="009716D2" w:rsidP="004551E9">
      <w:r w:rsidRPr="00E72B02">
        <w:t>Es por ello que autores como PALACIOS</w:t>
      </w:r>
      <w:r w:rsidRPr="00E72B02">
        <w:rPr>
          <w:rStyle w:val="Refdenotaalpie"/>
        </w:rPr>
        <w:footnoteReference w:id="798"/>
      </w:r>
      <w:r w:rsidRPr="00E72B02">
        <w:t xml:space="preserve"> hablan de “</w:t>
      </w:r>
      <w:r w:rsidRPr="00E72B02">
        <w:rPr>
          <w:i/>
        </w:rPr>
        <w:t>acciones de representación</w:t>
      </w:r>
      <w:r w:rsidRPr="00E72B02">
        <w:t xml:space="preserve">” y no meramente de representación, dado que se trata de acciones concretas, excepcionales, previstas en la legislación, controladas por la autoridad judicial, y que en última instancia, deben siempre estar </w:t>
      </w:r>
      <w:r w:rsidRPr="00E72B02">
        <w:lastRenderedPageBreak/>
        <w:t xml:space="preserve">destinada a que la decisión que finalmente se adopte, respete la historia de vida, los valores, y las preferencias de la persona concreta.      </w:t>
      </w:r>
    </w:p>
    <w:p w:rsidR="009716D2" w:rsidRPr="00E72B02" w:rsidRDefault="009716D2" w:rsidP="004551E9">
      <w:pPr>
        <w:rPr>
          <w:lang w:val="es-ES"/>
        </w:rPr>
      </w:pPr>
      <w:r w:rsidRPr="00E72B02">
        <w:t>Frente a esta concepción, se suele criticar los riesgos de lo que se conoce como la “pendiente resbaladiza” (</w:t>
      </w:r>
      <w:r w:rsidRPr="00E72B02">
        <w:rPr>
          <w:i/>
        </w:rPr>
        <w:t>slippery slope</w:t>
      </w:r>
      <w:r w:rsidRPr="00E72B02">
        <w:t xml:space="preserve">) en tanto que, al admitir aunque de manera excepcional la representación dentro del modelo de apoyos, ello trae consigo enormes riesgos que por dicha vía, luego en la práctica, se convierta en la regla y se aplique discriminatoriamente frente a las personas con discapacidad. Así cuando se habla de casos puntales como coma permanente, o enfermedades del Alzheimer muy avanzadas, no </w:t>
      </w:r>
      <w:r w:rsidRPr="00E72B02">
        <w:rPr>
          <w:lang w:val="es-ES"/>
        </w:rPr>
        <w:t>parecen representar dudas, pero cuando se piensa en regular o transformar estos supuestos en un criterio legal abstracto y general, ello no resulta nada sencillo.</w:t>
      </w:r>
      <w:r w:rsidRPr="00E72B02">
        <w:rPr>
          <w:rStyle w:val="Refdenotaalpie"/>
          <w:lang w:val="es-ES"/>
        </w:rPr>
        <w:footnoteReference w:id="799"/>
      </w:r>
    </w:p>
    <w:p w:rsidR="009716D2" w:rsidRPr="00E72B02" w:rsidRDefault="009716D2" w:rsidP="004551E9"/>
    <w:p w:rsidR="009716D2" w:rsidRPr="00F53E06" w:rsidRDefault="009716D2" w:rsidP="00D579F5">
      <w:pPr>
        <w:pStyle w:val="TTULO12"/>
        <w:rPr>
          <w:b/>
        </w:rPr>
      </w:pPr>
      <w:r w:rsidRPr="00F53E06">
        <w:rPr>
          <w:b/>
        </w:rPr>
        <w:t>5.5.3.2 Representación voluntaria generada en el marco de un modelo de apoyos</w:t>
      </w:r>
    </w:p>
    <w:p w:rsidR="009716D2" w:rsidRPr="00E72B02" w:rsidRDefault="009716D2" w:rsidP="004551E9"/>
    <w:p w:rsidR="009716D2" w:rsidRPr="00E72B02" w:rsidRDefault="009716D2" w:rsidP="004551E9">
      <w:r w:rsidRPr="00E72B02">
        <w:t xml:space="preserve">Una segunda concepción, que no resulta incompatible sino más bien </w:t>
      </w:r>
      <w:r w:rsidR="00B37D9C" w:rsidRPr="00E72B02">
        <w:t>complementaria</w:t>
      </w:r>
      <w:r w:rsidRPr="00E72B02">
        <w:t xml:space="preserve"> de la concepción señalada en el punto anterior, plantea que es posible la creación de un régimen de apoyos que incluya acciones de representación mediante la suscripción de acuerdos de representación. La posibilidad de que una persona pueda decidir, </w:t>
      </w:r>
      <w:r w:rsidRPr="00E72B02">
        <w:rPr>
          <w:i/>
        </w:rPr>
        <w:t>a priori</w:t>
      </w:r>
      <w:r w:rsidRPr="00E72B02">
        <w:t xml:space="preserve">, y en ejercicio de su autonomía de la voluntad quién y cómo le representará en el futuro en </w:t>
      </w:r>
      <w:r w:rsidRPr="00E72B02">
        <w:lastRenderedPageBreak/>
        <w:t>cuestiones de tipo patrimoniales y/o personales no es extraña a los ordenamientos jurídicos vigentes.</w:t>
      </w:r>
      <w:r w:rsidRPr="00E72B02">
        <w:rPr>
          <w:rStyle w:val="Refdenotaalpie"/>
        </w:rPr>
        <w:footnoteReference w:id="800"/>
      </w:r>
      <w:r w:rsidRPr="00E72B02">
        <w:t xml:space="preserve"> A pesar de ello, la mayoría de los ejemplos existentes en el derecho comparado que regulan instituciones como los poderes preventivos, la autotutela, instrucciones anticipadas, o el testamento de vida, se basan en el marco de las concepciones clásicas sobre la capacidad de las personas con discapacidad, las cuales suelen quedar marginadas de su utilización, ya que estas herramientas se establecen para personas que con plena capacidad jurídica, puedan prever una incapacidad futura. </w:t>
      </w:r>
    </w:p>
    <w:p w:rsidR="009716D2" w:rsidRPr="00E72B02" w:rsidRDefault="009716D2" w:rsidP="004551E9">
      <w:r w:rsidRPr="00E72B02">
        <w:t xml:space="preserve">Por ello, la implementación de poderes preventivos o acuerdos de representación en el marco de un modelo de apoyos en el ejercicio de la capacidad jurídica requiere de un nuevo enfoque, básicamente el señalado por el Artículo 12(2), es decir, el reconocimiento plena de la capacidad jurídica de las personas con discapacidad en igualdad de condiciones con los demás. </w:t>
      </w:r>
    </w:p>
    <w:p w:rsidR="009716D2" w:rsidRPr="00E72B02" w:rsidRDefault="009716D2" w:rsidP="004551E9">
      <w:r w:rsidRPr="00E72B02">
        <w:t xml:space="preserve">Desde la lectura de la CDPD, la posibilidad de utilizar poderes preventivos o acuerdos de representación en el marco de un modelo de apoyos plantea al menos dos reflexiones principales. </w:t>
      </w:r>
    </w:p>
    <w:p w:rsidR="009716D2" w:rsidRPr="00E72B02" w:rsidRDefault="009716D2" w:rsidP="004551E9">
      <w:r w:rsidRPr="00E72B02">
        <w:t xml:space="preserve">En primer lugar, si la existencia de un poder preventivo o acuerdo de representación es, en su naturaleza contraria a lo señalado por el Artículo 12(2), en tanto que conjuntamente con lo señalado en el Artículo 12(3) prohíbe la sustitución en la toma de decisiones de personas con discapacidad. Dicha garantía no es absoluta sino desde una perspectiva de no discriminación, lo cual llevaría a concluir que en la medida que el derecho regule los poderes preventivos a acuerdos de representación de forma genérica y para cualquier persona, los mismos no resultaría contrarios a la CDPD. Adicionalmente, se podría alegar que si el Artículo 12(2) </w:t>
      </w:r>
      <w:r w:rsidRPr="00E72B02">
        <w:lastRenderedPageBreak/>
        <w:t xml:space="preserve">devuelve el pleno ejercicio de la capacidad jurídica de la persona, la misma podría, en el ejercicio de su autonomía de la voluntad, decidir suscribir un poder preventivo o acuerdo de representación. En la posición contraria se podría alegar que, debido a la discriminación histórica a la cual se ha sometido a las personas con discapacidad (principalmente intelectual y mental), la garantía del Artículo 12(2) debe interpretarse como absoluta, y por ende que cualquier acto jurídico o contrato que tengo como efecto privar a la persona del ejercicio de sus derechos, resulta nula (del mismo modo que una persona no puede legalmente suscribir un acuerdo que le someta a una situación de esclavitud). Adicionalmente, se podría alegar que esta posibilidad también conlleva el riesgo que las personas con discapacidad sean manipuladas o inducidas a suscribir estos acuerdos, y de este modo, quedar sometidas a un régimen de representación muy similar al cual la CDPD intenta combatir. </w:t>
      </w:r>
    </w:p>
    <w:p w:rsidR="009716D2" w:rsidRPr="00E72B02" w:rsidRDefault="009716D2" w:rsidP="004551E9">
      <w:r w:rsidRPr="00E72B02">
        <w:t>La segunda de las reflexiones planteadas radica en determinar si la existencia de un poder preventivo o acuerdo de representación, requiere de algún tipo de test de capacidad. Está claro que para considerar la posibilidad de implementar poderes preventivos o acuerdos de representación en el marco de un modelo de apoyos es preciso apartarse de los criterios clásicos de capacidad jurídica en los sistemas vigentes, que en términos generales se miden por las reglas de la capacidad de contratar. Ahora bien, ¿significa ello que entonces cualquier persona con discapacidad, independientemente de su situación personal en un contexto y en un tiempo dado puede válidamente suscribir un poder preventivo o acuerdo de presentación?  Los ejemplos del derecho comparado vigentes que se inspiran en una filosofía más cercana al modelo de apoyos, permiten que personas con discapacidad (aunque sin estar capacitadas para celebrar un contrato en virtud del derecho vigente) puedan suscribir un acuerdo de representación, aunque sin prescindir de un test de capacidad diferente. Es decir no se elimina el test de capacidad, sino que se modifica. Tal es el caso de la Ley de Convenio de Representación (LCR) del Estado de Columbia Británica (</w:t>
      </w:r>
      <w:r w:rsidRPr="00E72B02">
        <w:rPr>
          <w:i/>
        </w:rPr>
        <w:t xml:space="preserve">Representation Agreement Act </w:t>
      </w:r>
      <w:r w:rsidRPr="00E72B02">
        <w:rPr>
          <w:i/>
        </w:rPr>
        <w:lastRenderedPageBreak/>
        <w:t>RSBC 1996</w:t>
      </w:r>
      <w:r w:rsidRPr="00E72B02">
        <w:t xml:space="preserve">). </w:t>
      </w:r>
      <w:r w:rsidRPr="00E72B02">
        <w:rPr>
          <w:rStyle w:val="Refdenotaalpie"/>
        </w:rPr>
        <w:footnoteReference w:id="801"/>
      </w:r>
      <w:r w:rsidRPr="00E72B02">
        <w:t xml:space="preserve"> Esta norma tiene el objetivo de establecer mecanismos que permitan a los adultos ord</w:t>
      </w:r>
      <w:r w:rsidR="00C8214B" w:rsidRPr="00E72B02">
        <w:t>enar de modo previo “quién”, “có</w:t>
      </w:r>
      <w:r w:rsidRPr="00E72B02">
        <w:t xml:space="preserve">mo” </w:t>
      </w:r>
      <w:r w:rsidR="00C8214B" w:rsidRPr="00E72B02">
        <w:t>y “cuá</w:t>
      </w:r>
      <w:r w:rsidRPr="00E72B02">
        <w:t>ndo”, deberán tomarse las decisiones sobre el cuidado personal, los cuidados sanitarios, los asuntos patrimoniales o cualquier otra cuestión, en caso de que dicho adulto devenga incapaz de tomar decisiones de un modo independiente, y de este modo, evitar un procedimiento judicial que tenga como objetivo la designación de una persona para ayudar, o sustituir al adulto en la toma de decisiones. La LCR establece que todo adulto puede suscribir un acuerdo de representación a menos que resulte incapaz para realizarlo, pero luego fija un criterio de capacidad flexible y funcional que permite al adulto suscribir un acuerdo de representación incluso cuando el mismo sea incapaz de: (a) suscribir un contrato, o (b) gestionar sus cuidados personales, sanitarios, jurídicos, financieros, empresariales o patrimoniales.</w:t>
      </w:r>
      <w:r w:rsidRPr="00E72B02">
        <w:rPr>
          <w:rStyle w:val="Refdenotaalpie"/>
        </w:rPr>
        <w:footnoteReference w:id="802"/>
      </w:r>
    </w:p>
    <w:p w:rsidR="009716D2" w:rsidRPr="00E72B02" w:rsidRDefault="009716D2" w:rsidP="004551E9"/>
    <w:p w:rsidR="009716D2" w:rsidRPr="00F53E06" w:rsidRDefault="009716D2" w:rsidP="00D579F5">
      <w:pPr>
        <w:pStyle w:val="TTULO12"/>
        <w:rPr>
          <w:b/>
        </w:rPr>
      </w:pPr>
      <w:r w:rsidRPr="00F53E06">
        <w:rPr>
          <w:b/>
        </w:rPr>
        <w:t>5.5.3.3 Representación excepcional fuera del modelo de apoyos</w:t>
      </w:r>
    </w:p>
    <w:p w:rsidR="009716D2" w:rsidRPr="00E72B02" w:rsidRDefault="009716D2" w:rsidP="004551E9"/>
    <w:p w:rsidR="009716D2" w:rsidRPr="00E72B02" w:rsidRDefault="009716D2" w:rsidP="004551E9">
      <w:r w:rsidRPr="00E72B02">
        <w:t xml:space="preserve">Finalmente, una tercera concepción, la cual es compartida por </w:t>
      </w:r>
      <w:r w:rsidR="00C8214B" w:rsidRPr="00E72B02">
        <w:t>este</w:t>
      </w:r>
      <w:r w:rsidRPr="00E72B02">
        <w:t xml:space="preserve"> autor, señala que existe incompatibilidad absoluta entre el modelo de los apoyos y cualquier tipo de representación legal, incluso aquella de tipo específica y excepcional. Ello no supone que una persona con discapacidad no pueda, en ciertas circunstancias, ver limitada su capacidad jurídica y se habilite a una persona a decidir en su nombre, siempre y cuando dicho procedimiento sea </w:t>
      </w:r>
      <w:r w:rsidRPr="00E72B02">
        <w:lastRenderedPageBreak/>
        <w:t>aplicable fuera del marco de los apoyos, respecto de cualquier persona, tenga las salvaguardias necesarias para evitar la discriminación por motivo de discapacidad, y tenga efectos sobre actos concretos.</w:t>
      </w:r>
    </w:p>
    <w:p w:rsidR="009716D2" w:rsidRPr="00E72B02" w:rsidRDefault="009716D2" w:rsidP="004551E9">
      <w:r w:rsidRPr="00E72B02">
        <w:t xml:space="preserve">En rigor la designación de un representante legal supone limitar la capacidad jurídica, lo cual está expresamente prohibido por la CDPD. Pero la CDPD no prohíbe que el Estado implemente algún sistema o procedimiento para declarar incompetente a una </w:t>
      </w:r>
      <w:r w:rsidR="00C8214B" w:rsidRPr="00E72B02">
        <w:t>persona (</w:t>
      </w:r>
      <w:r w:rsidRPr="00E72B02">
        <w:t>cualquier persona</w:t>
      </w:r>
      <w:r w:rsidR="00C8214B" w:rsidRPr="00E72B02">
        <w:t>)</w:t>
      </w:r>
      <w:r w:rsidRPr="00E72B02">
        <w:t xml:space="preserve"> siempre y cuando lo haga sobre la base de un criterio que reúna los siguientes tres elementos: a) legitimidad; b) proporcionalidad; y c) no discriminación. Cabe destacar que este criterio no sólo surge de la aplicación de la CDPD, sino también respecto del todos los tratados de derechos humanos.  </w:t>
      </w:r>
    </w:p>
    <w:p w:rsidR="009716D2" w:rsidRPr="00E72B02" w:rsidRDefault="009716D2" w:rsidP="004551E9">
      <w:r w:rsidRPr="00E72B02">
        <w:t xml:space="preserve">El criterio de legitimidad ha sido abordado por la jurisprudencia internacional en retiradas ocasiones. Por lo general, los marcos jurídicos que permiten declarar a una persona incompetente para tomar ciertas decisiones suelen alegar como fin legítimo el resguardar la persona (vida, la salud, o integridad personal) o el patrimonio. Sin perjuicio de que dichos fines resulten, </w:t>
      </w:r>
      <w:r w:rsidR="00C8214B" w:rsidRPr="00E72B02">
        <w:rPr>
          <w:i/>
        </w:rPr>
        <w:t>prima facie</w:t>
      </w:r>
      <w:r w:rsidRPr="00E72B02">
        <w:t xml:space="preserve">, legítimos ello no resuelve el dilema ético sobre si el Estado puede o debe declarar a una persona incompetente </w:t>
      </w:r>
      <w:r w:rsidR="00C8214B" w:rsidRPr="00E72B02">
        <w:t xml:space="preserve">ya que asumiendo </w:t>
      </w:r>
      <w:r w:rsidRPr="00E72B02">
        <w:t>un rol paternalista</w:t>
      </w:r>
      <w:r w:rsidR="00C8214B" w:rsidRPr="00E72B02">
        <w:t>,</w:t>
      </w:r>
      <w:r w:rsidRPr="00E72B02">
        <w:t xml:space="preserve"> considera que del ejercicio de </w:t>
      </w:r>
      <w:r w:rsidR="00C8214B" w:rsidRPr="00E72B02">
        <w:t xml:space="preserve">la </w:t>
      </w:r>
      <w:r w:rsidRPr="00E72B02">
        <w:t xml:space="preserve">autonomía de la voluntad puede resultar en un daño grave e irreparable.  </w:t>
      </w:r>
    </w:p>
    <w:p w:rsidR="009716D2" w:rsidRPr="00E72B02" w:rsidRDefault="009716D2" w:rsidP="004551E9">
      <w:r w:rsidRPr="00E72B02">
        <w:t xml:space="preserve">El criterio de proporcionalidad también ha sido abordado por la jurisprudencia internacional en reiteradas ocasiones. Por lo general se entiende que más allá de que una medida concreta que suponga una restricción de algún derecho humano (por ejemplo la declaración de incompetencia), resulte legítima, deba además ser proporcional, es decir, no debe generar efectos más allá de los necesarios para asegurar el fin que persigue. Así por ejemplo, si se considera que una persona debe ser declarada incompetente debido a que se rehúsa a recibir una transfusión de sangre, o porque rechaza una donación de órgano que le puede salvar la </w:t>
      </w:r>
      <w:r w:rsidRPr="00E72B02">
        <w:lastRenderedPageBreak/>
        <w:t xml:space="preserve">vida, no </w:t>
      </w:r>
      <w:r w:rsidR="00C8214B" w:rsidRPr="00E72B02">
        <w:t>resulta proporcional declarar su</w:t>
      </w:r>
      <w:r w:rsidRPr="00E72B02">
        <w:t xml:space="preserve"> incapacidad absoluta y el nombramiento de un representante que adopte todas las decisiones respecto de su persona y sus bienes. </w:t>
      </w:r>
    </w:p>
    <w:p w:rsidR="009716D2" w:rsidRPr="00E72B02" w:rsidRDefault="009716D2" w:rsidP="004551E9">
      <w:r w:rsidRPr="00E72B02">
        <w:t xml:space="preserve"> Finalmente, el criterio de no discriminación, requiere que la limitación de la capacidad jurídica no sea por motivo de discapacidad. Y en este punto la CDPD no sólo requiere la ausencia formal de toda referencia a personas con discapacidad, sea que lleve el nombre de enfermos mentales, dementes, incapaces, etc., sino que además requiere que la existencia de salvaguardias para que la discriminación no se genere en la práctica. Así un sistema o criterio neutro que no haga ningún tipo de referencia a la discapacidad, pero que en la práctica sólo se aplique respecto de personas con discapacidad, resulta discriminatorio y contrario a la CDPD. </w:t>
      </w:r>
    </w:p>
    <w:p w:rsidR="009716D2" w:rsidRPr="00E72B02" w:rsidRDefault="009716D2" w:rsidP="004551E9">
      <w:r w:rsidRPr="00E72B02">
        <w:t xml:space="preserve">De este modo una persona con discapacidad pude ser declarada incompetente para tomar algún tipo de decisiones, pero ello no en razón de su discapacidad, sino en la medida en la cual pueda quedar contemplada en el supuesto objetivo previsto para cualquier persona. </w:t>
      </w:r>
    </w:p>
    <w:p w:rsidR="009716D2" w:rsidRPr="00E72B02" w:rsidRDefault="009716D2" w:rsidP="004551E9">
      <w:r w:rsidRPr="00E72B02">
        <w:t xml:space="preserve">Las reglas y principio aplicables a un procedimiento tendente a designar apoyos al ejercicio de la capacidad jurídica, y </w:t>
      </w:r>
      <w:r w:rsidR="00C8214B" w:rsidRPr="00E72B02">
        <w:t xml:space="preserve">las aplicables </w:t>
      </w:r>
      <w:r w:rsidRPr="00E72B02">
        <w:t xml:space="preserve">a un procedimiento tendente a </w:t>
      </w:r>
      <w:r w:rsidR="00C8214B" w:rsidRPr="00E72B02">
        <w:t>limitar la capacidad jurídica</w:t>
      </w:r>
      <w:r w:rsidRPr="00E72B02">
        <w:t xml:space="preserve"> son completamente diferentes, y mezclar ambas posibilidades en un único sistema puede traer enormes riesgos y grandes dificultades de tipo procedimentales. </w:t>
      </w:r>
    </w:p>
    <w:p w:rsidR="009716D2" w:rsidRPr="00E72B02" w:rsidRDefault="009716D2" w:rsidP="004551E9">
      <w:r w:rsidRPr="00E72B02">
        <w:t xml:space="preserve">El marco del modelo de apoyos se inspira en las siguientes reglas y principios: a) la  autonomía de la voluntad de la persona y en el derecho a tomar sus propias decisiones; b) existe promoción de derechos; c) la voluntad de la persona debe ser siempre respetada, incluso ante la negativa de recibir los apoyos; d) el procedimiento es de tipo voluntario y estar siempre a favor de la designación de apoyos; e) régimen probatorio amplio y flexible; f) de aplicación por el tiempo que la persona considere que necesita apoyos; g) de aplicación únicamente respecto de personas con discapacidad u otros grupos en situación de vulnerabilidad. </w:t>
      </w:r>
    </w:p>
    <w:p w:rsidR="009716D2" w:rsidRPr="00E72B02" w:rsidRDefault="009716D2" w:rsidP="004551E9">
      <w:r w:rsidRPr="00E72B02">
        <w:lastRenderedPageBreak/>
        <w:t>El marco jurídico que limita la capacidad de una persona se inspira en las siguientes reglas y principios: a) la autonomía de la voluntad no existe o, si existe, pone en riesgo grave e inminente la salud o el patrimonio de la persona; b) existe restricción de derechos; c) se impone incluso contra la voluntad de la persona; d) el procedimiento es de tipo contradictorio y ante la duda se está a favor de la capacidad; e) el régimen probatorio es riguroso y la carga recae en quien alega la necesidad de limitación: f) de aplicación por el tiempo más corto posible, con revisiones periódicas; g) de aplicación respecto de cualquier persona.</w:t>
      </w:r>
    </w:p>
    <w:p w:rsidR="009716D2" w:rsidRPr="00E72B02" w:rsidRDefault="009716D2" w:rsidP="004551E9"/>
    <w:p w:rsidR="009716D2" w:rsidRPr="00E72B02" w:rsidRDefault="00F53E06" w:rsidP="00D579F5">
      <w:pPr>
        <w:pStyle w:val="TTULO12"/>
        <w:rPr>
          <w:lang w:val="es-ES_tradnl"/>
        </w:rPr>
      </w:pPr>
      <w:r w:rsidRPr="00E72B02">
        <w:rPr>
          <w:lang w:val="es-ES_tradnl"/>
        </w:rPr>
        <w:t xml:space="preserve">5.5.4 IDENTIFICACIÓN DE LAS OBLIGACIONES JURÍDICO INTERNACIONALES </w:t>
      </w:r>
    </w:p>
    <w:p w:rsidR="009716D2" w:rsidRPr="00E72B02" w:rsidRDefault="009716D2" w:rsidP="004551E9">
      <w:pPr>
        <w:rPr>
          <w:lang w:val="es-ES_tradnl"/>
        </w:rPr>
      </w:pPr>
    </w:p>
    <w:p w:rsidR="009716D2" w:rsidRPr="00E72B02" w:rsidRDefault="009716D2" w:rsidP="004551E9">
      <w:pPr>
        <w:rPr>
          <w:lang w:val="es-ES_tradnl"/>
        </w:rPr>
      </w:pPr>
      <w:r w:rsidRPr="00E72B02">
        <w:rPr>
          <w:lang w:val="es-ES_tradnl"/>
        </w:rPr>
        <w:t>A la luz de lo señalado es posible inferir que el artículo 12(3) establece las obligaciones de los Estados Pates de:</w:t>
      </w:r>
    </w:p>
    <w:p w:rsidR="009716D2" w:rsidRPr="00E72B02" w:rsidRDefault="009716D2" w:rsidP="004551E9">
      <w:pPr>
        <w:pStyle w:val="Prrafodelista"/>
        <w:rPr>
          <w:lang w:val="es-ES_tradnl"/>
        </w:rPr>
      </w:pPr>
      <w:r w:rsidRPr="00E72B02">
        <w:rPr>
          <w:lang w:val="es-ES_tradnl"/>
        </w:rPr>
        <w:t>El párrafo 3 del artículo 12 reconoce el derecho de las personas con discapacidad “al apoyo que puedan necesitar en el ejercicio de su capacidad jurídica”. Este derecho supone una herramienta, para la persona que lo solicita, de garantizar la igualdad de oportunidades con los demás, y no podrá suponer nunca una restricción al derecho a la capacidad jurídica reconocido en el párrafo 2 del artículo 12;</w:t>
      </w:r>
    </w:p>
    <w:p w:rsidR="009716D2" w:rsidRPr="00E72B02" w:rsidRDefault="009716D2" w:rsidP="004551E9">
      <w:pPr>
        <w:pStyle w:val="Prrafodelista"/>
        <w:rPr>
          <w:lang w:val="es-ES_tradnl"/>
        </w:rPr>
      </w:pPr>
      <w:r w:rsidRPr="00E72B02">
        <w:rPr>
          <w:lang w:val="es-ES_tradnl"/>
        </w:rPr>
        <w:t xml:space="preserve">Como consecuencia de lo señalado en el párrafo precedente, y sin perjuicio de la denominación que se adopte por cada </w:t>
      </w:r>
      <w:r w:rsidR="0074119B" w:rsidRPr="00E72B02">
        <w:rPr>
          <w:lang w:val="es-ES_tradnl"/>
        </w:rPr>
        <w:t>Estado Parte</w:t>
      </w:r>
      <w:r w:rsidRPr="00E72B02">
        <w:rPr>
          <w:lang w:val="es-ES_tradnl"/>
        </w:rPr>
        <w:t xml:space="preserve">, la existencia del “apoyo”, en el sentido del párrafo 3, debe determinarse mediante la inexistencia de la sustitución en la toma de decisiones de la persona en cuestión y el establecimiento de mecanismos de asistencia en la adopción de dichas decisiones; </w:t>
      </w:r>
    </w:p>
    <w:p w:rsidR="009716D2" w:rsidRPr="00E72B02" w:rsidRDefault="009716D2" w:rsidP="004551E9">
      <w:pPr>
        <w:pStyle w:val="Prrafodelista"/>
        <w:rPr>
          <w:lang w:val="es-ES_tradnl"/>
        </w:rPr>
      </w:pPr>
      <w:r w:rsidRPr="00E72B02">
        <w:rPr>
          <w:lang w:val="es-ES_tradnl"/>
        </w:rPr>
        <w:t xml:space="preserve">La frase “apoyo que puedan necesitar” inserta en el párrafo 3 debe interpretarse desde la perspectiva del concepto social de discapacidad recogido en el inciso e) del preámbulo, es decir, “que </w:t>
      </w:r>
      <w:r w:rsidRPr="00E72B02">
        <w:rPr>
          <w:lang w:val="es-ES_tradnl"/>
        </w:rPr>
        <w:lastRenderedPageBreak/>
        <w:t>es un concepto que evoluciona y que resulta de la interacción entre las personas con deficiencias y las barreras debidas a la actitud y al entorno que evitan su participación plena y efectiva en la sociedad, en igualdad de condiciones con las demás”. Consecuentemente la “necesidad” de los apoyos debe determinarse desde la existencia de “barrearas debidas a la actitud y al entorno” y no meramente mediante patrones médicos;</w:t>
      </w:r>
    </w:p>
    <w:p w:rsidR="009716D2" w:rsidRPr="00E72B02" w:rsidRDefault="009716D2" w:rsidP="004551E9">
      <w:pPr>
        <w:pStyle w:val="Prrafodelista"/>
        <w:rPr>
          <w:lang w:val="es-ES_tradnl"/>
        </w:rPr>
      </w:pPr>
      <w:r w:rsidRPr="00E72B02">
        <w:rPr>
          <w:lang w:val="es-ES_tradnl"/>
        </w:rPr>
        <w:t>La frase “en el ejercicio de su capacidad jurídica” inserta en el párrafo 3 debe interpretarse en sentido amplio y no exclusivamente en la manifestación de la toma de decisiones. Por ello, debe interpretarse como que comprende todo el proceso de la toma de decisiones, incluido el momento anterior del descubrimiento y expresión de los deseos y preferencias;</w:t>
      </w:r>
    </w:p>
    <w:p w:rsidR="009716D2" w:rsidRPr="00E72B02" w:rsidRDefault="009716D2" w:rsidP="004551E9">
      <w:pPr>
        <w:pStyle w:val="Prrafodelista"/>
        <w:rPr>
          <w:lang w:val="es-ES_tradnl"/>
        </w:rPr>
      </w:pPr>
      <w:r w:rsidRPr="00E72B02">
        <w:rPr>
          <w:lang w:val="es-ES_tradnl"/>
        </w:rPr>
        <w:t>La noción de “apoyo” del párrafo 3, debe adoptar un enfoque comprensivo, pues su implantación requiere, entre otras cosas, promover o crear las figuras de apoyo y dotarlas de un estatus normativo, destinar recursos materiales y financieros, adoptar medidas en el terreno de la educación para capacitar a las personas con discapacidad, a las propias personas de apoyo y a diferentes profesionales, etc.</w:t>
      </w:r>
    </w:p>
    <w:p w:rsidR="009716D2" w:rsidRPr="00E72B02" w:rsidRDefault="009716D2" w:rsidP="004551E9">
      <w:pPr>
        <w:pStyle w:val="Prrafodelista"/>
        <w:rPr>
          <w:lang w:val="es-ES_tradnl"/>
        </w:rPr>
      </w:pPr>
      <w:r w:rsidRPr="00E72B02">
        <w:rPr>
          <w:lang w:val="es-ES_tradnl"/>
        </w:rPr>
        <w:t xml:space="preserve">Asimismo, el sistema de apoyos debe diseñarse de manera abierta, pensando en todas las personas que pueden tener dificultades en la toma de sus decisiones; debe adaptarse a las diferentes situaciones personales y sociales teniendo en cuenta el tipo de acto jurídico implicado y el tipo de figura de apoyo, y debe proyectarse no sólo en el ámbito patrimonial, sino en todas las esferas de actuación de la persona. El sistema de apoyos deberá orientarse a promover y potenciar la autonomía y las posibilidades de ejercicio de los derechos humanos.  En su implantación, que necesariamente deberá ser gradual o paulatina, deben tener un papel protagonista las propias personas con discapacidad. Y en su funcionamiento debe respetarse </w:t>
      </w:r>
      <w:r w:rsidRPr="00E72B02">
        <w:rPr>
          <w:lang w:val="es-ES_tradnl"/>
        </w:rPr>
        <w:lastRenderedPageBreak/>
        <w:t xml:space="preserve">la voluntad, deseos y preferencias de las personas con discapacidad, incluso en la elección de la propia figura o persona de apoyo; </w:t>
      </w:r>
    </w:p>
    <w:p w:rsidR="009716D2" w:rsidRPr="00E72B02" w:rsidRDefault="009716D2" w:rsidP="004551E9">
      <w:pPr>
        <w:pStyle w:val="Prrafodelista"/>
        <w:rPr>
          <w:lang w:val="es-ES_tradnl"/>
        </w:rPr>
      </w:pPr>
      <w:r w:rsidRPr="00E72B02">
        <w:rPr>
          <w:lang w:val="es-ES_tradnl"/>
        </w:rPr>
        <w:t xml:space="preserve">Los apoyos previstos en el párrafo 3 deben interpretarse como herramientas específicas y relativas al ejercicio de la capacidad jurídica. Por ello la obligación de prever apoyos no exime al Estado de su obligación de garantizar la accesibilidad, por ejemplo, en referencia al entorno físico, los medios de transporte, los servicios, la información y las comunicaciones; así como garantizar los ajustes razonables en todos los ámbitos en los que debe ejercerse la capacidad jurídica de conformidad con lo establecido en los artículos 9 y 5 respectivamente; </w:t>
      </w:r>
    </w:p>
    <w:p w:rsidR="009716D2" w:rsidRPr="00E72B02" w:rsidRDefault="009716D2" w:rsidP="004551E9">
      <w:pPr>
        <w:pStyle w:val="Prrafodelista"/>
        <w:rPr>
          <w:lang w:val="es-ES_tradnl"/>
        </w:rPr>
      </w:pPr>
      <w:r w:rsidRPr="00E72B02">
        <w:rPr>
          <w:lang w:val="es-ES_tradnl"/>
        </w:rPr>
        <w:t>Los Estados Partes deberán prestar especial atención al interpretar y aplicar el párrafo 3 en relación con el artículo 19 de la CDPD sobre el derecho a vivir de forma independiente y a ser incluido en la comunidad. Las normas o prácticas que supongan un menoscabo del derecho a la vida independiente y la inclusión en la comunidad por considerar que las personas con discapacidad carecen de capacidad jurídica deberán considerarse incompatibles con el art. 12;</w:t>
      </w:r>
    </w:p>
    <w:p w:rsidR="009716D2" w:rsidRPr="00E72B02" w:rsidRDefault="009716D2" w:rsidP="004551E9">
      <w:pPr>
        <w:rPr>
          <w:lang w:val="es-ES_tradnl"/>
        </w:rPr>
      </w:pPr>
    </w:p>
    <w:p w:rsidR="009716D2" w:rsidRPr="00F53E06" w:rsidRDefault="00F53E06" w:rsidP="004A69C7">
      <w:pPr>
        <w:pStyle w:val="TITULO12"/>
      </w:pPr>
      <w:r w:rsidRPr="00F53E06">
        <w:t>5.6 ARTÍCULO 12(4): LAS SALVAGUARDIAS SOBRE LAS MEDIDAS RELATIVAS AL EJERCICIO DE LA CAPACIDAD JURÍDICA</w:t>
      </w:r>
    </w:p>
    <w:p w:rsidR="009716D2" w:rsidRPr="00E72B02" w:rsidRDefault="009716D2" w:rsidP="004551E9">
      <w:pPr>
        <w:rPr>
          <w:lang w:val="es-ES_tradnl"/>
        </w:rPr>
      </w:pPr>
    </w:p>
    <w:p w:rsidR="009716D2" w:rsidRPr="00E72B02" w:rsidRDefault="009716D2" w:rsidP="004551E9">
      <w:pPr>
        <w:rPr>
          <w:lang w:val="es-ES_tradnl"/>
        </w:rPr>
      </w:pPr>
      <w:r w:rsidRPr="00E72B02">
        <w:rPr>
          <w:lang w:val="es-ES_tradnl"/>
        </w:rPr>
        <w:t>El Artículo 12(4) establece que:</w:t>
      </w:r>
    </w:p>
    <w:p w:rsidR="009716D2" w:rsidRPr="00E72B02" w:rsidRDefault="009716D2" w:rsidP="004551E9">
      <w:pPr>
        <w:pStyle w:val="Cita"/>
        <w:rPr>
          <w:lang w:val="es-ES_tradnl"/>
        </w:rPr>
      </w:pPr>
      <w:r w:rsidRPr="00E72B02">
        <w:rPr>
          <w:lang w:val="es-ES_tradnl"/>
        </w:rPr>
        <w:t xml:space="preserve">Los Estados Partes asegurarán que en todas las medidas relativas al ejercicio de la capacidad jurídica se proporcionen </w:t>
      </w:r>
      <w:r w:rsidRPr="00E72B02">
        <w:rPr>
          <w:lang w:val="es-ES_tradnl"/>
        </w:rPr>
        <w:lastRenderedPageBreak/>
        <w:t>salvaguardias adecuadas y efectivas para impedir los abusos de conformidad con el derecho internacional en materia de derechos humanos. Esas salvaguardias asegurarán que las medidas relativas al ejercicio de la capacidad jurídica respeten los derechos, la voluntad y las preferencias de la persona, que no haya conflicto de intereses ni influencia indebida, que sean proporcionales y adaptadas a las circunstancias de la persona, que se apliquen en el plazo más corto posible y que estén sujetas a exámenes periódicos, por parte de una autoridad o un órgano judicial competente, independiente e imparcial. Las salvaguardias serán proporcionales al grado en que dichas medidas afecten a los derechos e intereses de las personas</w:t>
      </w:r>
    </w:p>
    <w:p w:rsidR="009716D2" w:rsidRPr="00E72B02" w:rsidRDefault="009716D2" w:rsidP="004551E9">
      <w:pPr>
        <w:rPr>
          <w:lang w:val="es-ES_tradnl"/>
        </w:rPr>
      </w:pPr>
      <w:r w:rsidRPr="00E72B02">
        <w:rPr>
          <w:lang w:val="es-ES_tradnl"/>
        </w:rPr>
        <w:t>Este apartado recoge lo que se ha denominado como salvaguardias sobre las medidas de ejercicio de la capacidad jurídica, y se plantea como un elemento vital del cambio de paradigma recogido en el artículo 12 de la CDPD. La noción de “salvaguardia” no resulta ajena al lenguaje del derecho internacional de los derechos humanos, y se entiende como medidas tendentes, no ya a reconocer derechos, sino a garantizar la correcta aplicación de los mismos.</w:t>
      </w:r>
    </w:p>
    <w:p w:rsidR="009716D2" w:rsidRPr="00E72B02" w:rsidRDefault="009716D2" w:rsidP="004551E9">
      <w:pPr>
        <w:rPr>
          <w:lang w:val="es-ES_tradnl"/>
        </w:rPr>
      </w:pPr>
    </w:p>
    <w:p w:rsidR="009716D2" w:rsidRPr="00E72B02" w:rsidRDefault="00F53E06" w:rsidP="00D579F5">
      <w:pPr>
        <w:pStyle w:val="TTULO12"/>
        <w:rPr>
          <w:lang w:val="es-ES_tradnl"/>
        </w:rPr>
      </w:pPr>
      <w:r w:rsidRPr="00E72B02">
        <w:rPr>
          <w:lang w:val="es-ES_tradnl"/>
        </w:rPr>
        <w:t>5.6.1 EL OBJETO DE LAS SALVAGUARDIAS</w:t>
      </w:r>
    </w:p>
    <w:p w:rsidR="009716D2" w:rsidRPr="00E72B02" w:rsidRDefault="009716D2" w:rsidP="004551E9">
      <w:pPr>
        <w:rPr>
          <w:lang w:val="es-ES_tradnl"/>
        </w:rPr>
      </w:pPr>
    </w:p>
    <w:p w:rsidR="009716D2" w:rsidRPr="00E72B02" w:rsidRDefault="009716D2" w:rsidP="004551E9">
      <w:pPr>
        <w:rPr>
          <w:lang w:val="es-ES_tradnl"/>
        </w:rPr>
      </w:pPr>
      <w:r w:rsidRPr="00E72B02">
        <w:rPr>
          <w:lang w:val="es-ES_tradnl"/>
        </w:rPr>
        <w:t xml:space="preserve">A pesar de tratarse de un enunciado extenso, la lectura del inciso 4 no está exenta de controversias. Probablemente la principal controversia </w:t>
      </w:r>
      <w:r w:rsidR="00175505" w:rsidRPr="00E72B02">
        <w:rPr>
          <w:lang w:val="es-ES_tradnl"/>
        </w:rPr>
        <w:t>se</w:t>
      </w:r>
      <w:r w:rsidRPr="00E72B02">
        <w:rPr>
          <w:lang w:val="es-ES_tradnl"/>
        </w:rPr>
        <w:t xml:space="preserve"> plantea </w:t>
      </w:r>
      <w:r w:rsidR="00175505" w:rsidRPr="00E72B02">
        <w:rPr>
          <w:lang w:val="es-ES_tradnl"/>
        </w:rPr>
        <w:t xml:space="preserve">en </w:t>
      </w:r>
      <w:r w:rsidRPr="00E72B02">
        <w:rPr>
          <w:lang w:val="es-ES_tradnl"/>
        </w:rPr>
        <w:t>la primera frase del Artículo 12(4) es en cuanto al objetivo de las mismas, ya que se requieren en relación con “</w:t>
      </w:r>
      <w:r w:rsidRPr="00E72B02">
        <w:rPr>
          <w:i/>
          <w:lang w:val="es-ES_tradnl"/>
        </w:rPr>
        <w:t>las medidas relativas al ejercicio de la capacidad jurídica</w:t>
      </w:r>
      <w:r w:rsidRPr="00E72B02">
        <w:rPr>
          <w:lang w:val="es-ES_tradnl"/>
        </w:rPr>
        <w:t xml:space="preserve">”. ¿Cómo se debe interpretar ello? Al respecto es posible identificar al menos dos posturas diferentes. </w:t>
      </w:r>
    </w:p>
    <w:p w:rsidR="009716D2" w:rsidRPr="00E72B02" w:rsidRDefault="009716D2" w:rsidP="004551E9">
      <w:pPr>
        <w:rPr>
          <w:lang w:val="es-ES_tradnl"/>
        </w:rPr>
      </w:pPr>
      <w:r w:rsidRPr="00E72B02">
        <w:rPr>
          <w:lang w:val="es-ES_tradnl"/>
        </w:rPr>
        <w:t xml:space="preserve">Una primera postura que se podría denominar como </w:t>
      </w:r>
      <w:r w:rsidRPr="00E72B02">
        <w:rPr>
          <w:i/>
          <w:lang w:val="es-ES_tradnl"/>
        </w:rPr>
        <w:t>restringida</w:t>
      </w:r>
      <w:r w:rsidRPr="00E72B02">
        <w:rPr>
          <w:lang w:val="es-ES_tradnl"/>
        </w:rPr>
        <w:t xml:space="preserve">, concibe las salvaguardias como medidas para el ejercicio de la capacidad jurídica </w:t>
      </w:r>
      <w:r w:rsidRPr="00E72B02">
        <w:rPr>
          <w:lang w:val="es-ES_tradnl"/>
        </w:rPr>
        <w:lastRenderedPageBreak/>
        <w:t>diferentes y más fuertes que los apoyos, lo que podría abrir la puerta al modelo de sustitución.</w:t>
      </w:r>
      <w:r w:rsidRPr="00E72B02">
        <w:rPr>
          <w:rStyle w:val="Refdenotaalpie"/>
          <w:lang w:val="es-ES_tradnl"/>
        </w:rPr>
        <w:footnoteReference w:id="803"/>
      </w:r>
      <w:r w:rsidRPr="00E72B02">
        <w:rPr>
          <w:lang w:val="es-ES_tradnl"/>
        </w:rPr>
        <w:t xml:space="preserve"> Es decir, el inciso 4 estaría abriendo el camino para el establecimiento de regímenes de sustitución en la toma de decisiones para aquellos casos excepcionales donde las medidas de apoyo no logran garantizar la igualdad en el ejercicio de la capacidad jurídica. Si bien es cierto que esta postura, a la luz de la lectura integral del Artículo 12 y de otras disposiciones de la CDPD, no encuentra demasiado sustento, es preciso destacar que las negociaciones en torno al Artículo 12, y en especial respecto precisamente del inciso 4, muestran que numerosas delegaciones se pronunciaron en dicho sentido.</w:t>
      </w:r>
      <w:r w:rsidRPr="00E72B02">
        <w:rPr>
          <w:rStyle w:val="Refdenotaalpie"/>
          <w:lang w:val="es-ES_tradnl"/>
        </w:rPr>
        <w:footnoteReference w:id="804"/>
      </w:r>
      <w:r w:rsidRPr="00E72B02">
        <w:rPr>
          <w:lang w:val="es-ES_tradnl"/>
        </w:rPr>
        <w:t xml:space="preserve"> Adicionalmente algún lenguaje del vigente inciso 4 también podría dar lugar a esta interpretación, como por ejemplo, cuando señala que las salvaguardias deben aplicarse “</w:t>
      </w:r>
      <w:r w:rsidRPr="00E72B02">
        <w:rPr>
          <w:i/>
          <w:lang w:val="es-ES_tradnl"/>
        </w:rPr>
        <w:t>en el plazo más corto posible y que estén sujetas a exámenes periódicos</w:t>
      </w:r>
      <w:r w:rsidRPr="00E72B02">
        <w:rPr>
          <w:lang w:val="es-ES_tradnl"/>
        </w:rPr>
        <w:t xml:space="preserve">”. </w:t>
      </w:r>
    </w:p>
    <w:p w:rsidR="009716D2" w:rsidRPr="00E72B02" w:rsidRDefault="009716D2" w:rsidP="004551E9">
      <w:pPr>
        <w:rPr>
          <w:lang w:val="es-ES_tradnl"/>
        </w:rPr>
      </w:pPr>
      <w:r w:rsidRPr="00E72B02">
        <w:rPr>
          <w:lang w:val="es-ES_tradnl"/>
        </w:rPr>
        <w:t xml:space="preserve">Una segunda postura que podríamos denominar </w:t>
      </w:r>
      <w:r w:rsidRPr="00E72B02">
        <w:rPr>
          <w:i/>
          <w:lang w:val="es-ES_tradnl"/>
        </w:rPr>
        <w:t>amplia</w:t>
      </w:r>
      <w:r w:rsidRPr="00E72B02">
        <w:rPr>
          <w:lang w:val="es-ES_tradnl"/>
        </w:rPr>
        <w:t xml:space="preserve">, entiende que la referencia del inciso 4 a </w:t>
      </w:r>
      <w:r w:rsidRPr="00E72B02">
        <w:rPr>
          <w:i/>
          <w:lang w:val="es-ES_tradnl"/>
        </w:rPr>
        <w:t>“medidas relativas al ejercicio de la capacidad jurídica</w:t>
      </w:r>
      <w:r w:rsidRPr="00E72B02">
        <w:rPr>
          <w:lang w:val="es-ES_tradnl"/>
        </w:rPr>
        <w:t>” es en realidad a las medidas de apo</w:t>
      </w:r>
      <w:r w:rsidR="00175505" w:rsidRPr="00E72B02">
        <w:rPr>
          <w:lang w:val="es-ES_tradnl"/>
        </w:rPr>
        <w:t>yo, y con el objeto de evitar</w:t>
      </w:r>
      <w:r w:rsidRPr="00E72B02">
        <w:rPr>
          <w:lang w:val="es-ES_tradnl"/>
        </w:rPr>
        <w:t xml:space="preserve"> situaciones de abuso. Es decir, las salvaguardias tienen como objetivo asegurar que las medidas de apoyo no restrinjan el derecho a la capacidad jurídica, y tengan como efecto, respetar “</w:t>
      </w:r>
      <w:r w:rsidRPr="00E72B02">
        <w:rPr>
          <w:i/>
          <w:lang w:val="es-ES_tradnl"/>
        </w:rPr>
        <w:t>los derechos, la voluntad y las preferencias de la persona</w:t>
      </w:r>
      <w:r w:rsidRPr="00E72B02">
        <w:rPr>
          <w:lang w:val="es-ES_tradnl"/>
        </w:rPr>
        <w:t xml:space="preserve">”. Esta interpretación se encuentra mucho más </w:t>
      </w:r>
      <w:r w:rsidRPr="00E72B02">
        <w:rPr>
          <w:lang w:val="es-ES_tradnl"/>
        </w:rPr>
        <w:lastRenderedPageBreak/>
        <w:t>alineada con el cambio de paradigma que propone el Artículo 12, y resulta a su vez, consistente con las demás disposiciones de la CDPD y con la filosofía del modelo social de discapacidad.</w:t>
      </w:r>
      <w:r w:rsidR="00175505" w:rsidRPr="00E72B02">
        <w:rPr>
          <w:rStyle w:val="Refdenotaalpie"/>
          <w:lang w:val="es-ES_tradnl"/>
        </w:rPr>
        <w:footnoteReference w:id="805"/>
      </w:r>
      <w:r w:rsidRPr="00E72B02">
        <w:rPr>
          <w:lang w:val="es-ES_tradnl"/>
        </w:rPr>
        <w:t xml:space="preserve"> </w:t>
      </w:r>
    </w:p>
    <w:p w:rsidR="009716D2" w:rsidRPr="00E72B02" w:rsidRDefault="009716D2" w:rsidP="004551E9">
      <w:pPr>
        <w:rPr>
          <w:lang w:val="es-ES_tradnl"/>
        </w:rPr>
      </w:pPr>
      <w:r w:rsidRPr="00E72B02">
        <w:rPr>
          <w:lang w:val="es-ES_tradnl"/>
        </w:rPr>
        <w:t>La lectura integral del inciso 4 (cuyos elementos se analizan a continuación) nos evidencia que las salvaguardias no tienen el único objetivo de evitar abusos en la implementación de las medidas de apoyo, sino también garantizar la igualdad en la capacidad jurídica. Como se ha señalado más arriba, existen situaciones donde es posible que se generen acciones de sustitución en relación con personas con discapacidad.</w:t>
      </w:r>
      <w:r w:rsidRPr="00E72B02">
        <w:rPr>
          <w:rStyle w:val="Refdenotaalpie"/>
          <w:lang w:val="es-ES_tradnl"/>
        </w:rPr>
        <w:footnoteReference w:id="806"/>
      </w:r>
      <w:r w:rsidRPr="00E72B02">
        <w:rPr>
          <w:lang w:val="es-ES_tradnl"/>
        </w:rPr>
        <w:t xml:space="preserve"> </w:t>
      </w:r>
    </w:p>
    <w:p w:rsidR="009716D2" w:rsidRPr="00E72B02" w:rsidRDefault="009716D2" w:rsidP="004551E9">
      <w:r w:rsidRPr="00E72B02">
        <w:rPr>
          <w:lang w:val="es-ES_tradnl"/>
        </w:rPr>
        <w:t xml:space="preserve">Ahora bien, si nos enrolamos en la tesis que defiende la existencia de acciones de representación en el marco del sistema de apoyos en el ejercicio de la capacidad jurídica, entonces las salvaguardias tendrían el objetivo de garantizar que las decisiones que se adopten, sean por </w:t>
      </w:r>
      <w:r w:rsidR="00175505" w:rsidRPr="00E72B02">
        <w:rPr>
          <w:lang w:val="es-ES_tradnl"/>
        </w:rPr>
        <w:t xml:space="preserve">el </w:t>
      </w:r>
      <w:r w:rsidRPr="00E72B02">
        <w:rPr>
          <w:lang w:val="es-ES_tradnl"/>
        </w:rPr>
        <w:t>“</w:t>
      </w:r>
      <w:r w:rsidRPr="00E72B02">
        <w:rPr>
          <w:i/>
          <w:lang w:val="es-ES_tradnl"/>
        </w:rPr>
        <w:t>plazo más corto posible</w:t>
      </w:r>
      <w:r w:rsidRPr="00E72B02">
        <w:rPr>
          <w:lang w:val="es-ES_tradnl"/>
        </w:rPr>
        <w:t>”, “</w:t>
      </w:r>
      <w:r w:rsidRPr="00E72B02">
        <w:rPr>
          <w:i/>
          <w:lang w:val="es-ES_tradnl"/>
        </w:rPr>
        <w:t>sujetas a exámenes periódicos</w:t>
      </w:r>
      <w:r w:rsidRPr="00E72B02">
        <w:rPr>
          <w:lang w:val="es-ES_tradnl"/>
        </w:rPr>
        <w:t xml:space="preserve">”, y que se respete </w:t>
      </w:r>
      <w:r w:rsidRPr="00E72B02">
        <w:t xml:space="preserve">la diligencia debida para facilitar la toma de decisiones de conformidad con las intenciones y deseos de la persona. </w:t>
      </w:r>
    </w:p>
    <w:p w:rsidR="009716D2" w:rsidRPr="00E72B02" w:rsidRDefault="009716D2" w:rsidP="004551E9">
      <w:pPr>
        <w:rPr>
          <w:lang w:val="es-ES_tradnl"/>
        </w:rPr>
      </w:pPr>
      <w:r w:rsidRPr="00E72B02">
        <w:t xml:space="preserve">En cambio si nos enrolamos en la tesis </w:t>
      </w:r>
      <w:r w:rsidRPr="00E72B02">
        <w:rPr>
          <w:lang w:val="es-ES_tradnl"/>
        </w:rPr>
        <w:t xml:space="preserve">que defiende que las acciones de sustitución deben abordarse legalmente fuera del sistema de apoyos, las salvaguardias del inciso 4, además de los objetivos planteados en el párrafo anterior, tienen como propósito garantizar la no discriminación de personas con discapacidad, es decir, que </w:t>
      </w:r>
      <w:r w:rsidR="00175505" w:rsidRPr="00E72B02">
        <w:rPr>
          <w:lang w:val="es-ES_tradnl"/>
        </w:rPr>
        <w:t xml:space="preserve">la </w:t>
      </w:r>
      <w:r w:rsidRPr="00E72B02">
        <w:rPr>
          <w:lang w:val="es-ES_tradnl"/>
        </w:rPr>
        <w:t xml:space="preserve">“discapacidad” no sea motivo por el cual </w:t>
      </w:r>
      <w:r w:rsidRPr="00E72B02">
        <w:rPr>
          <w:lang w:val="es-ES_tradnl"/>
        </w:rPr>
        <w:lastRenderedPageBreak/>
        <w:t xml:space="preserve">se habilita un régimen de sustitución en la toma de decisiones. Y ello tanto en el plano formal, es decir que no exista una referencia directa o indirecta a la discapacidad (enfermedad o trastorno mental, demencia, locura…), como en el plano material, es decir que en la práctica dicho régimen jurídico sólo se aplique a personas con discapacidad. De este modo, el Artículo 12(4) operaría fuera del modelo de apoyos y se proyectaría sobre el régimen jurídico que habilita la limitación de la capacidad jurídica de toda persona, garantizando que la discapacidad no sea el motivo de dicha limitación. </w:t>
      </w:r>
    </w:p>
    <w:p w:rsidR="009716D2" w:rsidRPr="00E72B02" w:rsidRDefault="009716D2" w:rsidP="004551E9">
      <w:pPr>
        <w:rPr>
          <w:lang w:val="es-ES_tradnl"/>
        </w:rPr>
      </w:pPr>
    </w:p>
    <w:p w:rsidR="009716D2" w:rsidRPr="00E72B02" w:rsidRDefault="00F53E06" w:rsidP="00D579F5">
      <w:pPr>
        <w:pStyle w:val="TTULO12"/>
        <w:rPr>
          <w:lang w:val="es-ES_tradnl"/>
        </w:rPr>
      </w:pPr>
      <w:r w:rsidRPr="00E72B02">
        <w:rPr>
          <w:lang w:val="es-ES_tradnl"/>
        </w:rPr>
        <w:t xml:space="preserve">5.6.2 LAS CARACTERÍSTICAS DE LAS MEDIDAS RELATIVAS AL EJERCICIO DE LA CAPACIDAD JURÍDICA </w:t>
      </w:r>
    </w:p>
    <w:p w:rsidR="009716D2" w:rsidRPr="00E72B02" w:rsidRDefault="009716D2" w:rsidP="004551E9">
      <w:pPr>
        <w:rPr>
          <w:lang w:val="es-ES_tradnl"/>
        </w:rPr>
      </w:pPr>
    </w:p>
    <w:p w:rsidR="009716D2" w:rsidRPr="00E72B02" w:rsidRDefault="009716D2" w:rsidP="004551E9">
      <w:pPr>
        <w:rPr>
          <w:lang w:val="es-ES_tradnl"/>
        </w:rPr>
      </w:pPr>
      <w:r w:rsidRPr="00E72B02">
        <w:rPr>
          <w:lang w:val="es-ES_tradnl"/>
        </w:rPr>
        <w:t xml:space="preserve">Habiendo aclarado este aspecto central del Artículo 12(4), corresponde a continuación analizar detalladamente los elementos centrales del mismo, los cuales sirven como guía u orientación de las características básicas de las medidas relativas al ejercicio de la capacidad jurídica. </w:t>
      </w:r>
    </w:p>
    <w:p w:rsidR="009716D2" w:rsidRPr="00E72B02" w:rsidRDefault="009716D2" w:rsidP="004551E9">
      <w:pPr>
        <w:rPr>
          <w:lang w:val="es-ES_tradnl"/>
        </w:rPr>
      </w:pPr>
    </w:p>
    <w:p w:rsidR="009716D2" w:rsidRPr="00F53E06" w:rsidRDefault="009716D2" w:rsidP="00D579F5">
      <w:pPr>
        <w:pStyle w:val="TTULO12"/>
        <w:rPr>
          <w:b/>
        </w:rPr>
      </w:pPr>
      <w:r w:rsidRPr="00F53E06">
        <w:rPr>
          <w:b/>
        </w:rPr>
        <w:t>5.6.2.1 Que respeten los derechos, la voluntad y las preferencias de la persona</w:t>
      </w:r>
    </w:p>
    <w:p w:rsidR="009716D2" w:rsidRPr="00E72B02" w:rsidRDefault="009716D2" w:rsidP="004551E9">
      <w:pPr>
        <w:rPr>
          <w:lang w:val="es-ES_tradnl"/>
        </w:rPr>
      </w:pPr>
    </w:p>
    <w:p w:rsidR="009716D2" w:rsidRPr="00E72B02" w:rsidRDefault="009716D2" w:rsidP="004551E9">
      <w:pPr>
        <w:rPr>
          <w:lang w:val="es-ES_tradnl"/>
        </w:rPr>
      </w:pPr>
      <w:r w:rsidRPr="00E72B02">
        <w:rPr>
          <w:lang w:val="es-ES_tradnl"/>
        </w:rPr>
        <w:t xml:space="preserve">La primera de las características señaladas por el Artículo 12(4) en relación con las medidas relativas al ejercicio de la capacidad jurídica es que las mismas deben siempre respetar los derechos, la voluntad y las preferencias de la persona. Esta frase contiene tres pilares claves que merecen su abordaje por separado, es decir, derechos, voluntad y preferencias. Cabe aclarar que el orden en la enumeración en esta frase quizás no resulte fortuito, ya que se podría alegar que existe un orden de prioridad descendiente entre los mismos. </w:t>
      </w:r>
    </w:p>
    <w:p w:rsidR="009716D2" w:rsidRPr="00E72B02" w:rsidRDefault="009716D2" w:rsidP="004551E9">
      <w:pPr>
        <w:rPr>
          <w:lang w:val="es-ES_tradnl"/>
        </w:rPr>
      </w:pPr>
      <w:r w:rsidRPr="00E72B02">
        <w:rPr>
          <w:lang w:val="es-ES_tradnl"/>
        </w:rPr>
        <w:t xml:space="preserve">En primer lugar, el Artículo 12(4) señala que las salvaguardias deben garantizar por que se respeten los “derechos” de la persona. Y esto resulta </w:t>
      </w:r>
      <w:r w:rsidRPr="00E72B02">
        <w:rPr>
          <w:lang w:val="es-ES_tradnl"/>
        </w:rPr>
        <w:lastRenderedPageBreak/>
        <w:t>de gran importancia puesto que los regímenes vigentes de incapacidad, como se ha señalado más arriba, no suelen tener presente el respeto de los derechos. Más aún, en relación con ciertos derechos personalísimos como el voto, o el matrimonio, simplemente se opta por la denegación y vulneración absoluta de los mismos. Por ello, las salvaguardias deben garantizar que todo sistema de apoyos permita el ejercicio de todos los derechos fundamentales de la persona.</w:t>
      </w:r>
    </w:p>
    <w:p w:rsidR="009716D2" w:rsidRPr="00E72B02" w:rsidRDefault="009716D2" w:rsidP="004551E9">
      <w:pPr>
        <w:rPr>
          <w:lang w:val="es-ES_tradnl"/>
        </w:rPr>
      </w:pPr>
      <w:r w:rsidRPr="00E72B02">
        <w:rPr>
          <w:lang w:val="es-ES_tradnl"/>
        </w:rPr>
        <w:t>En segundo lugar, el Artículo 12(4) señala que las salvaguardias deben garantizar la voluntad de la persona. Aunque ello se encuentra plenamente reconocido por los incisos 2 y 3 del Artículo 12, lo señalado aquí refuerza la idea de que ningún sistema de apoyos podrá considerase como tal, en la medida en que no “respete la voluntad” de la persona. Y aquí la voluntad debe ser entendida como la manifestación de la voluntad de un individuo, la cual debe exteriorizaste desde la propia persona, o simultáneamente por un intérprete, y abarca todas los formatos o medios alternativos de comunicación señalados por el Artículo 2.</w:t>
      </w:r>
    </w:p>
    <w:p w:rsidR="009716D2" w:rsidRPr="00E72B02" w:rsidRDefault="009716D2" w:rsidP="004551E9">
      <w:pPr>
        <w:rPr>
          <w:lang w:val="es-ES_tradnl"/>
        </w:rPr>
      </w:pPr>
      <w:r w:rsidRPr="00E72B02">
        <w:rPr>
          <w:lang w:val="es-ES_tradnl"/>
        </w:rPr>
        <w:t>Finalmente, el Artículo 12 (4) señala que las salvaguardias deben garantizar las preferencias de la persona. Este punto cobra gran importancia frente a aquellas situaciones donde no es posible recabar la voluntad directa de la persona. Por ejemplo pensemos en situaciones donde es necesario una acción de sustitución, independientemente de cualquiera de las opciones posibles, el Artículo 12(4) asegura que siempre se deba indagar sobre las preferencias del individuo.</w:t>
      </w:r>
      <w:r w:rsidR="00D655A8">
        <w:rPr>
          <w:rStyle w:val="Refdenotaalpie"/>
          <w:lang w:val="es-ES_tradnl"/>
        </w:rPr>
        <w:footnoteReference w:id="807"/>
      </w:r>
    </w:p>
    <w:p w:rsidR="009716D2" w:rsidRPr="00F53E06" w:rsidRDefault="009716D2" w:rsidP="004551E9">
      <w:pPr>
        <w:rPr>
          <w:b/>
          <w:lang w:val="es-ES_tradnl"/>
        </w:rPr>
      </w:pPr>
    </w:p>
    <w:p w:rsidR="009716D2" w:rsidRPr="00F53E06" w:rsidRDefault="009716D2" w:rsidP="00D579F5">
      <w:pPr>
        <w:pStyle w:val="TTULO12"/>
        <w:rPr>
          <w:b/>
        </w:rPr>
      </w:pPr>
      <w:r w:rsidRPr="00F53E06">
        <w:rPr>
          <w:b/>
        </w:rPr>
        <w:t>5.6.2.2 Que no haya conflicto de intereses ni influencia indebida</w:t>
      </w:r>
    </w:p>
    <w:p w:rsidR="009716D2" w:rsidRPr="00F53E06" w:rsidRDefault="009716D2" w:rsidP="00D579F5">
      <w:pPr>
        <w:pStyle w:val="TTULO12"/>
        <w:rPr>
          <w:b/>
          <w:lang w:val="es-ES_tradnl"/>
        </w:rPr>
      </w:pPr>
    </w:p>
    <w:p w:rsidR="009716D2" w:rsidRPr="00E72B02" w:rsidRDefault="009716D2" w:rsidP="004551E9">
      <w:pPr>
        <w:rPr>
          <w:lang w:val="es-ES_tradnl"/>
        </w:rPr>
      </w:pPr>
      <w:r w:rsidRPr="00E72B02">
        <w:rPr>
          <w:lang w:val="es-ES_tradnl"/>
        </w:rPr>
        <w:t>La segunda de las características señaladas por el Artículo 12(4) en relación con las medidas relativas al ejercicio de la capacidad jurídica es que las mismas deben asegurar que no haya conflicto de intereses ni influencia indebida. La mayoría de los regímenes jurídicos vigentes en materia de incapacidad y ejercicio de la tutela suelen dedicar mucha atención a garantizar que no exista conflicto de intereses entre tutor y tutelado, aunque dicha regulación se suele centrar principalmente en los aspectos patrimoniales. Algunas de dichas respuestas legales pueden servir de base para la implementación de las salvaguardias, sin perjuicio de que igualmente deban ampliarse y adaptarse al modelo de apoyos. En relación con la influencia indebida, y a diferencia del modelo tutelar, el modelo de apoyos parte del presupuesto de que será siempre la persona quien toma de las decisiones. Ahora bien, como se sabe</w:t>
      </w:r>
      <w:r w:rsidR="00175505" w:rsidRPr="00E72B02">
        <w:rPr>
          <w:lang w:val="es-ES_tradnl"/>
        </w:rPr>
        <w:t>,</w:t>
      </w:r>
      <w:r w:rsidRPr="00E72B02">
        <w:rPr>
          <w:lang w:val="es-ES_tradnl"/>
        </w:rPr>
        <w:t xml:space="preserve"> en muchos casos la</w:t>
      </w:r>
      <w:r w:rsidR="00283427">
        <w:rPr>
          <w:lang w:val="es-ES_tradnl"/>
        </w:rPr>
        <w:t>s</w:t>
      </w:r>
      <w:r w:rsidRPr="00E72B02">
        <w:rPr>
          <w:lang w:val="es-ES_tradnl"/>
        </w:rPr>
        <w:t xml:space="preserve"> personas con discapacidad, en especial con discapacidad intelectual, pueden ser fácilmente influ</w:t>
      </w:r>
      <w:r w:rsidR="00175505" w:rsidRPr="00E72B02">
        <w:rPr>
          <w:lang w:val="es-ES_tradnl"/>
        </w:rPr>
        <w:t>enciables. El</w:t>
      </w:r>
      <w:r w:rsidRPr="00E72B02">
        <w:rPr>
          <w:lang w:val="es-ES_tradnl"/>
        </w:rPr>
        <w:t xml:space="preserve"> Artículo 12(4) requiere que, sin perjuicio de que se reconozca formalmente a la persona tomar decisiones, se garantice además que en la práctica dichas decisiones no sean fruto de una influencia indebida por parte de quien, o quienes obran como apoyo.</w:t>
      </w:r>
    </w:p>
    <w:p w:rsidR="009716D2" w:rsidRPr="00F53E06" w:rsidRDefault="009716D2" w:rsidP="004551E9">
      <w:pPr>
        <w:rPr>
          <w:b/>
          <w:lang w:val="es-ES_tradnl"/>
        </w:rPr>
      </w:pPr>
    </w:p>
    <w:p w:rsidR="009716D2" w:rsidRPr="00F53E06" w:rsidRDefault="009716D2" w:rsidP="00D579F5">
      <w:pPr>
        <w:pStyle w:val="TTULO12"/>
        <w:rPr>
          <w:b/>
        </w:rPr>
      </w:pPr>
      <w:r w:rsidRPr="00F53E06">
        <w:rPr>
          <w:b/>
        </w:rPr>
        <w:t>5.6.2.3 Que sean proporcionales y adaptadas a las circunstancias de la persona</w:t>
      </w:r>
    </w:p>
    <w:p w:rsidR="009716D2" w:rsidRPr="00E72B02" w:rsidRDefault="009716D2" w:rsidP="004551E9">
      <w:pPr>
        <w:rPr>
          <w:lang w:val="es-ES_tradnl"/>
        </w:rPr>
      </w:pPr>
    </w:p>
    <w:p w:rsidR="009716D2" w:rsidRPr="00E72B02" w:rsidRDefault="009716D2" w:rsidP="004551E9">
      <w:pPr>
        <w:rPr>
          <w:lang w:val="es-ES_tradnl"/>
        </w:rPr>
      </w:pPr>
      <w:r w:rsidRPr="00E72B02">
        <w:rPr>
          <w:lang w:val="es-ES_tradnl"/>
        </w:rPr>
        <w:t xml:space="preserve">La tercera de las características señaladas por el Artículo 12(4) en relación con las medidas relativas al ejercicio de la capacidad jurídica es que las </w:t>
      </w:r>
      <w:r w:rsidRPr="00E72B02">
        <w:rPr>
          <w:lang w:val="es-ES_tradnl"/>
        </w:rPr>
        <w:lastRenderedPageBreak/>
        <w:t>mismas deben ser proporcionales y adaptadas a las circunstancias de la persona. Esto es lo que se suele ejemplificar como que las medidas de apoyo se deben pensar como “</w:t>
      </w:r>
      <w:r w:rsidRPr="00E72B02">
        <w:rPr>
          <w:i/>
          <w:lang w:val="es-ES_tradnl"/>
        </w:rPr>
        <w:t>un traje a medida</w:t>
      </w:r>
      <w:r w:rsidRPr="00E72B02">
        <w:rPr>
          <w:lang w:val="es-ES_tradnl"/>
        </w:rPr>
        <w:t xml:space="preserve">”, y da cuenta de que nos hallamos en un modelo centrado en la persona y que reconoce las falencias de los sistemas vigentes que pretender regular medidas generales aplicables de forma universal a cualquier persona. En la mayoría de los sistema vigentes, esta perspectiva ha llevado a que solo existan dos, o tres soluciones legales posibles en el mejor de los casos (capacidad plena, incapacidad absoluta con representación plena, o incapacidad relativa con representación limitada). El Artículo 12(4) garantiza que ningún régimen de apoyos sea exactamente igual al otro, y que para diseñarlo se deba necesariamente considerar rigurosamente la situación en la que se halla la persona en un tiempo y contexto dado. Adicionalmente, ello supone que las medidas de apoyos puedan ir variando y modificándose según el cambio de las circunstancias personales.  </w:t>
      </w:r>
    </w:p>
    <w:p w:rsidR="009716D2" w:rsidRPr="00F53E06" w:rsidRDefault="009716D2" w:rsidP="004551E9">
      <w:pPr>
        <w:rPr>
          <w:b/>
          <w:lang w:val="es-ES_tradnl"/>
        </w:rPr>
      </w:pPr>
    </w:p>
    <w:p w:rsidR="009716D2" w:rsidRPr="00F53E06" w:rsidRDefault="009716D2" w:rsidP="00D579F5">
      <w:pPr>
        <w:pStyle w:val="TTULO12"/>
        <w:rPr>
          <w:b/>
        </w:rPr>
      </w:pPr>
      <w:r w:rsidRPr="00F53E06">
        <w:rPr>
          <w:b/>
        </w:rPr>
        <w:t xml:space="preserve">5.6.2.4 Que se apliquen en el plazo más corto posible </w:t>
      </w:r>
    </w:p>
    <w:p w:rsidR="009716D2" w:rsidRPr="00E72B02" w:rsidRDefault="009716D2" w:rsidP="004551E9">
      <w:pPr>
        <w:rPr>
          <w:lang w:val="es-ES_tradnl"/>
        </w:rPr>
      </w:pPr>
    </w:p>
    <w:p w:rsidR="009716D2" w:rsidRPr="00E72B02" w:rsidRDefault="009716D2" w:rsidP="004551E9">
      <w:pPr>
        <w:rPr>
          <w:lang w:val="es-ES_tradnl"/>
        </w:rPr>
      </w:pPr>
      <w:r w:rsidRPr="00E72B02">
        <w:rPr>
          <w:lang w:val="es-ES_tradnl"/>
        </w:rPr>
        <w:t xml:space="preserve">La cuarta de las características señaladas por el Artículo 12(4) en relación con las medidas relativas al ejercicio de la capacidad jurídica es que las mismas se apliquen en el plazo más corto posible. Como se ha señalado anteriormente, esta frase no parece corresponderse con la filosofía del modelo de apoyos regulado en el Artículo12. Si las medidas de apoyo no resultan una vulneración del derecho al ejercicio de la capacidad jurídica, y tienen como principal objetivo apoyar a la persona, es decir, brindarle herramientas que le permitan ejercer dicho derecho en igualdad de condiciones, entonces no se entiende por qué el Artículo 12(4) requiere que las medidas relativas al ejercicio de la capacidad jurídica se apliquen en el plazo más corto posible. </w:t>
      </w:r>
    </w:p>
    <w:p w:rsidR="009716D2" w:rsidRPr="00E72B02" w:rsidRDefault="009716D2" w:rsidP="004551E9">
      <w:pPr>
        <w:rPr>
          <w:lang w:val="es-ES_tradnl"/>
        </w:rPr>
      </w:pPr>
      <w:r w:rsidRPr="00E72B02">
        <w:rPr>
          <w:lang w:val="es-ES_tradnl"/>
        </w:rPr>
        <w:lastRenderedPageBreak/>
        <w:t xml:space="preserve">La principal razón de esta frase es que la misma fue pensada durante las negociaciones para incluirse en un párrafo </w:t>
      </w:r>
      <w:r w:rsidR="00FE044F" w:rsidRPr="00E72B02">
        <w:rPr>
          <w:lang w:val="es-ES_tradnl"/>
        </w:rPr>
        <w:t xml:space="preserve">donde la CDPD </w:t>
      </w:r>
      <w:r w:rsidRPr="00E72B02">
        <w:rPr>
          <w:lang w:val="es-ES_tradnl"/>
        </w:rPr>
        <w:t xml:space="preserve">diera </w:t>
      </w:r>
      <w:r w:rsidR="00FE044F" w:rsidRPr="00E72B02">
        <w:rPr>
          <w:lang w:val="es-ES_tradnl"/>
        </w:rPr>
        <w:t xml:space="preserve">lugar </w:t>
      </w:r>
      <w:r w:rsidRPr="00E72B02">
        <w:rPr>
          <w:lang w:val="es-ES_tradnl"/>
        </w:rPr>
        <w:t>excepcional a los sistemas de limitación de la capacidad jurídica mediante regímenes de representación, cosa que finalmente se eliminó completamente.</w:t>
      </w:r>
      <w:r w:rsidRPr="00E72B02">
        <w:rPr>
          <w:rStyle w:val="Refdenotaalpie"/>
          <w:lang w:val="es-ES_tradnl"/>
        </w:rPr>
        <w:footnoteReference w:id="808"/>
      </w:r>
      <w:r w:rsidRPr="00E72B02">
        <w:rPr>
          <w:lang w:val="es-ES_tradnl"/>
        </w:rPr>
        <w:t xml:space="preserve"> Sin perjuicio de tener ello muy presente, igualmente es posible interpretar esta frase en el contexto de un modelo de apoyos, en el sentido de que la misma hace referencia exclusivamente a aquellas situaciones donde resultan necesarias la implementación de acciones de sustitución. Incluso si nos enrolamos en la tesis que defiende que las acciones de sustitución que involucran a personas con discapacidad deben abordarse por fuera del modelo de apoyos, esta garantía resulta aún mucho más relevante. </w:t>
      </w:r>
    </w:p>
    <w:p w:rsidR="009716D2" w:rsidRPr="00E72B02" w:rsidRDefault="009716D2" w:rsidP="004551E9">
      <w:pPr>
        <w:rPr>
          <w:lang w:val="es-ES_tradnl"/>
        </w:rPr>
      </w:pPr>
      <w:r w:rsidRPr="00E72B02">
        <w:rPr>
          <w:lang w:val="es-ES_tradnl"/>
        </w:rPr>
        <w:t xml:space="preserve"> </w:t>
      </w:r>
    </w:p>
    <w:p w:rsidR="009716D2" w:rsidRPr="00F53E06" w:rsidRDefault="009716D2" w:rsidP="00D579F5">
      <w:pPr>
        <w:pStyle w:val="TTULO12"/>
        <w:rPr>
          <w:b/>
        </w:rPr>
      </w:pPr>
      <w:r w:rsidRPr="00F53E06">
        <w:rPr>
          <w:b/>
        </w:rPr>
        <w:t xml:space="preserve">5.6.2.5 Que estén sujetas a exámenes periódicos, por parte de una autoridad o un órgano judicial competente, independiente e imparcial. </w:t>
      </w:r>
    </w:p>
    <w:p w:rsidR="009716D2" w:rsidRPr="00E72B02" w:rsidRDefault="009716D2" w:rsidP="004551E9">
      <w:pPr>
        <w:rPr>
          <w:lang w:val="es-ES_tradnl"/>
        </w:rPr>
      </w:pPr>
    </w:p>
    <w:p w:rsidR="009716D2" w:rsidRPr="00E72B02" w:rsidRDefault="009716D2" w:rsidP="004551E9">
      <w:pPr>
        <w:rPr>
          <w:lang w:val="es-ES_tradnl"/>
        </w:rPr>
      </w:pPr>
      <w:r w:rsidRPr="00E72B02">
        <w:rPr>
          <w:lang w:val="es-ES_tradnl"/>
        </w:rPr>
        <w:t xml:space="preserve">La quinta de las características señaladas por el Artículo 12(4) en relación con las medidas relativas al ejercicio de la capacidad jurídica es que las mismas estén sujetas a exámenes periódicos, por parte de una autoridad o un órgano judicial competente, independiente e imparcial. La forma en la cual está redactada esta parte del Artículo 12(4) nos lleva a dos posibles interpretaciones. La primera es que esta garantía debe ser leída conjuntamente con la frase que exige que las medidas relativas al ejercicio de la capacidad jurídica se apliquen en el plazo más corto posible, y que por lo tanto su exigibilidad se remite exclusivamente a las situaciones donde es necesario implementar acciones de sustitución. La segunda es que esta garantía se aplica de forma independiente y, por tanto, abarca todas las </w:t>
      </w:r>
      <w:r w:rsidRPr="00E72B02">
        <w:rPr>
          <w:lang w:val="es-ES_tradnl"/>
        </w:rPr>
        <w:lastRenderedPageBreak/>
        <w:t>medidas relativas al ejercicio de la capacidad jurídica. Esta parece ser la interpretación más garantista de los derechos de las personas con discapacidad, pero al mismo tiempo impone una necesaria judicialización de las medidas de apoyo, algo que algunas voces defensoras de los derechos de las personas con discapacidad rechazan.</w:t>
      </w:r>
    </w:p>
    <w:p w:rsidR="009716D2" w:rsidRPr="00E72B02" w:rsidRDefault="009716D2" w:rsidP="004551E9">
      <w:pPr>
        <w:rPr>
          <w:lang w:val="es-ES_tradnl"/>
        </w:rPr>
      </w:pPr>
    </w:p>
    <w:p w:rsidR="009716D2" w:rsidRPr="00F53E06" w:rsidRDefault="009716D2" w:rsidP="00D579F5">
      <w:pPr>
        <w:pStyle w:val="TTULO12"/>
        <w:rPr>
          <w:b/>
        </w:rPr>
      </w:pPr>
      <w:r w:rsidRPr="00F53E06">
        <w:rPr>
          <w:b/>
        </w:rPr>
        <w:t>5.6.2.6 Que sea proporcionales al grado en que dichas medidas afecten a los derechos e intereses de las personas</w:t>
      </w:r>
    </w:p>
    <w:p w:rsidR="009716D2" w:rsidRPr="00E72B02" w:rsidRDefault="009716D2" w:rsidP="004551E9">
      <w:pPr>
        <w:rPr>
          <w:lang w:val="es-ES_tradnl"/>
        </w:rPr>
      </w:pPr>
    </w:p>
    <w:p w:rsidR="009716D2" w:rsidRPr="00E72B02" w:rsidRDefault="009716D2" w:rsidP="004551E9">
      <w:pPr>
        <w:rPr>
          <w:lang w:val="es-ES_tradnl"/>
        </w:rPr>
      </w:pPr>
      <w:r w:rsidRPr="00E72B02">
        <w:rPr>
          <w:lang w:val="es-ES_tradnl"/>
        </w:rPr>
        <w:t xml:space="preserve">Por último, el Artículo 12(4) exige que las medidas relativas al ejercicio de la capacidad jurídica sean proporcionales al grado en que dichas medidas afecten a los derechos e intereses de las personas. Aunque esta frase tiene puntos de solapamiento con lo señalado respecto a que las medidas sean proporcionales y adaptadas a las circunstancias de la persona, en este punto el Artículo 12(4) pretende reconocer la diversidad de ámbitos personales y patrimoniales de la vida de un individuo, los cuales no todos tienen igual relevancia objetiva y subjetiva. Mientras los sistemas vigentes de incapacidad se suelen centrar, y dar prioridad a los aspectos patrimoniales y a la necesidad de garantizar la seguridad jurídica, el modelo de apoyos, se centra en la persona y en sus circunstancias personales, desde una visión de respeto de todos sus derechos humanos fundamentales. Así por ejemplo, el modelo de apoyos no concibe que una medida que tiene como objetivo resguardar el patrimonio de una persona, tenga como efecto denegar otros derechos fundamentales como el voto, el matrimonio, el ejercicio de la paternidad etc. </w:t>
      </w:r>
    </w:p>
    <w:p w:rsidR="009716D2" w:rsidRPr="00E72B02" w:rsidRDefault="009716D2" w:rsidP="004551E9">
      <w:pPr>
        <w:rPr>
          <w:lang w:val="es-ES_tradnl"/>
        </w:rPr>
      </w:pPr>
      <w:r w:rsidRPr="00E72B02">
        <w:rPr>
          <w:lang w:val="es-ES_tradnl"/>
        </w:rPr>
        <w:t xml:space="preserve">Claramente las salvaguardias deberán ser más rigurosas cuando los apoyos se proyectan sobre aspectos patrimoniales de disposición que cuando se proyectos sobre aspectos de simple administración de los bienes de una persona. Pero sin perjuicio de que se pueden identificar ámbitos del ejercicio de los derechos más relevantes que otros desde una visión objetiva, </w:t>
      </w:r>
      <w:r w:rsidRPr="00E72B02">
        <w:rPr>
          <w:lang w:val="es-ES_tradnl"/>
        </w:rPr>
        <w:lastRenderedPageBreak/>
        <w:t xml:space="preserve">el modelo de apoyos también requiere que se tenga presente la visión personal o concreta de cada individuo.  </w:t>
      </w:r>
    </w:p>
    <w:p w:rsidR="009716D2" w:rsidRPr="00F53E06" w:rsidRDefault="009716D2" w:rsidP="004551E9">
      <w:pPr>
        <w:rPr>
          <w:b/>
          <w:lang w:val="es-ES_tradnl"/>
        </w:rPr>
      </w:pPr>
    </w:p>
    <w:p w:rsidR="009716D2" w:rsidRPr="00F53E06" w:rsidRDefault="00F53E06" w:rsidP="00F53E06">
      <w:pPr>
        <w:pStyle w:val="TTULO12"/>
        <w:jc w:val="both"/>
        <w:rPr>
          <w:lang w:val="es-ES_tradnl"/>
        </w:rPr>
      </w:pPr>
      <w:r w:rsidRPr="00F53E06">
        <w:rPr>
          <w:lang w:val="es-ES_tradnl"/>
        </w:rPr>
        <w:t xml:space="preserve">5.6.3 IDENTIFICACIÓN DE LAS OBLIGACIONES JURÍDICO INTERNACIONALES </w:t>
      </w:r>
    </w:p>
    <w:p w:rsidR="009716D2" w:rsidRPr="00E72B02" w:rsidRDefault="009716D2" w:rsidP="004551E9">
      <w:pPr>
        <w:rPr>
          <w:lang w:val="es-ES_tradnl"/>
        </w:rPr>
      </w:pPr>
    </w:p>
    <w:p w:rsidR="009716D2" w:rsidRPr="00E72B02" w:rsidRDefault="009716D2" w:rsidP="004551E9">
      <w:pPr>
        <w:rPr>
          <w:lang w:val="es-ES_tradnl"/>
        </w:rPr>
      </w:pPr>
      <w:r w:rsidRPr="00E72B02">
        <w:rPr>
          <w:lang w:val="es-ES_tradnl"/>
        </w:rPr>
        <w:t>A la luz de lo señalado es posible inferir que el artículo 12(4) establece las obligaciones de los Estados Pates de:</w:t>
      </w:r>
    </w:p>
    <w:p w:rsidR="009716D2" w:rsidRPr="00E72B02" w:rsidRDefault="009716D2" w:rsidP="004551E9">
      <w:pPr>
        <w:pStyle w:val="Prrafodelista"/>
      </w:pPr>
      <w:r w:rsidRPr="00E72B02">
        <w:t>El párrafo 4 del artículo 12 tiene como principal objetivo “que en todas las medidas relativas al ejercicio de la capacidad jurídica se proporcionen salvaguardias adecuadas y efectivas para impedir los abusos”. Consecuentemente debe entenderse que las salvaguardas se proyectan sobre los mecanismos de apoyo, orientándose a evitar los abusos y, por lo tanto, no podrán suponer nunca una restricción al derecho a la capacidad jurídica reconocido en el párrafo 2 del artículo 12;</w:t>
      </w:r>
    </w:p>
    <w:p w:rsidR="009716D2" w:rsidRPr="00E72B02" w:rsidRDefault="009716D2" w:rsidP="004551E9">
      <w:pPr>
        <w:pStyle w:val="Prrafodelista"/>
      </w:pPr>
      <w:r w:rsidRPr="00E72B02">
        <w:t>Cuando el párrafo 4 del artículo 12 expresa que las salvaguardias deben procurar que se respeten “los derechos, la voluntad y las preferencias de la persona”, que “no haya conflicto de intereses ni influencia indebida” y que “sean proporcionales y adaptadas a las circunstancias de la persona” debe interpretarse como en referencia al sistema de apoyos establecido en el párrafo 3 del artículo 12, es decir, destinadas a salvaguardar que los apoyos que la persona requiera para el ejercicio de la capacidad jurídica no adopten la forma de sustitución en la toma de decisiones o tengan el propósito o el resultado de dejar sin efecto alguno de los derechos reconocidos por el derecho internacional de los derechos humanos;</w:t>
      </w:r>
    </w:p>
    <w:p w:rsidR="009716D2" w:rsidRPr="00E72B02" w:rsidRDefault="009716D2" w:rsidP="004551E9">
      <w:pPr>
        <w:pStyle w:val="Prrafodelista"/>
      </w:pPr>
      <w:r w:rsidRPr="00E72B02">
        <w:t xml:space="preserve">Cuando el párrafo 4 del artículo 12 expresa que las medidas relativas al ejercicio de la capacidad jurídica deben aplicarse “en el plazo más corto posible”, debe entenderse que se refiere a exclusivamente a </w:t>
      </w:r>
      <w:r w:rsidRPr="00E72B02">
        <w:lastRenderedPageBreak/>
        <w:t>aquellas medidas excepcionales que se apliquen en los casos donde no exista modo alguno de obtener la voluntad de persona;</w:t>
      </w:r>
    </w:p>
    <w:p w:rsidR="009716D2" w:rsidRPr="00E72B02" w:rsidRDefault="009716D2" w:rsidP="004551E9">
      <w:pPr>
        <w:pStyle w:val="Prrafodelista"/>
      </w:pPr>
      <w:r w:rsidRPr="00E72B02">
        <w:t xml:space="preserve">Cuando el párrafo 4 del artículo 12 expresa que las medidas relativas al ejercicio de la capacidad jurídica deben estar “sujetas a exámenes periódicos, por parte de una autoridad o un órgano judicial competente, independiente e imparcial” debe entenderse en realidad como en referencia al sistema de apoyos establecido en el párrafo 3 del artículo 12, es decir, susceptibles de control judicial o de autoridad estatal competente; </w:t>
      </w:r>
    </w:p>
    <w:p w:rsidR="009716D2" w:rsidRPr="00E72B02" w:rsidRDefault="009716D2" w:rsidP="004551E9">
      <w:pPr>
        <w:pStyle w:val="Prrafodelista"/>
      </w:pPr>
      <w:r w:rsidRPr="00E72B02">
        <w:t>Cuando el párrafo 4 del artículo 12 expresa que las salvaguardias “serán proporcionales al grado en que dichas medidas afecten a los derechos e intereses de las personas” deben entenderse en realidad como en referencia al sistema de apoyos establecido en el párrafo 3 del artículo 12, es decir, ajustadas a las circunstancias únicas de cada persona y respecto de cada acto jurídico en particular;</w:t>
      </w:r>
    </w:p>
    <w:p w:rsidR="009716D2" w:rsidRPr="00E72B02" w:rsidRDefault="009716D2" w:rsidP="004551E9"/>
    <w:p w:rsidR="009716D2" w:rsidRPr="00F53E06" w:rsidRDefault="00F53E06" w:rsidP="004A69C7">
      <w:pPr>
        <w:pStyle w:val="TITULO12"/>
      </w:pPr>
      <w:r w:rsidRPr="00F53E06">
        <w:t>5.7 ARTÍCULO 12(5): GARANTÍA DE EJERCICIO DE DERECHOS PATRIMONIALES</w:t>
      </w:r>
    </w:p>
    <w:p w:rsidR="009716D2" w:rsidRPr="00E72B02" w:rsidRDefault="009716D2" w:rsidP="004551E9">
      <w:pPr>
        <w:rPr>
          <w:lang w:val="es-ES_tradnl"/>
        </w:rPr>
      </w:pPr>
    </w:p>
    <w:p w:rsidR="009716D2" w:rsidRPr="00E72B02" w:rsidRDefault="009716D2" w:rsidP="004551E9">
      <w:pPr>
        <w:rPr>
          <w:lang w:val="es-ES_tradnl"/>
        </w:rPr>
      </w:pPr>
      <w:r w:rsidRPr="00E72B02">
        <w:rPr>
          <w:lang w:val="es-ES_tradnl"/>
        </w:rPr>
        <w:t xml:space="preserve">El último párrafo del Artículo 12 señala que: </w:t>
      </w:r>
    </w:p>
    <w:p w:rsidR="009716D2" w:rsidRPr="00E72B02" w:rsidRDefault="009716D2" w:rsidP="004551E9">
      <w:pPr>
        <w:pStyle w:val="Cita"/>
        <w:rPr>
          <w:lang w:val="es-ES_tradnl"/>
        </w:rPr>
      </w:pPr>
      <w:r w:rsidRPr="00E72B02">
        <w:rPr>
          <w:lang w:val="es-ES_tradnl"/>
        </w:rPr>
        <w:t xml:space="preserve">Sin perjuicio de lo dispuesto en el presente artículo, los Estados Partes tomarán todas las medidas que sean pertinentes y efectivas para garantizar el derecho de las personas con discapacidad, en igualdad de condiciones con las demás, a ser propietarias y heredar bienes, controlar sus propios asuntos económicos y tener acceso en igualdad de condiciones a préstamos bancarios, hipotecas y otras modalidades de crédito </w:t>
      </w:r>
      <w:r w:rsidRPr="00E72B02">
        <w:rPr>
          <w:lang w:val="es-ES_tradnl"/>
        </w:rPr>
        <w:lastRenderedPageBreak/>
        <w:t>financiero, y velarán por que las personas con discapacidad no sean privadas de sus bienes de manera arbitraria</w:t>
      </w:r>
    </w:p>
    <w:p w:rsidR="009716D2" w:rsidRPr="00E72B02" w:rsidRDefault="009716D2" w:rsidP="004551E9">
      <w:pPr>
        <w:rPr>
          <w:lang w:val="es-ES_tradnl"/>
        </w:rPr>
      </w:pPr>
      <w:r w:rsidRPr="00E72B02">
        <w:rPr>
          <w:lang w:val="es-ES_tradnl"/>
        </w:rPr>
        <w:t xml:space="preserve">Siguiendo el modelo utilizado por la CEFDM en su Artículo 15(2), la CDPD incluye en el Artículo 12 un quinto inciso que recoge una serie de ámbitos de tipo patrimonial en las cuales los Estados Partes deben prestar especial atención en el reconocimiento del derecho a la igualdad en el ejercicio de la capacidad jurídica. </w:t>
      </w:r>
    </w:p>
    <w:p w:rsidR="009716D2" w:rsidRPr="00E72B02" w:rsidRDefault="009716D2" w:rsidP="004551E9">
      <w:pPr>
        <w:rPr>
          <w:lang w:val="es-ES_tradnl"/>
        </w:rPr>
      </w:pPr>
      <w:r w:rsidRPr="00E72B02">
        <w:rPr>
          <w:lang w:val="es-ES_tradnl"/>
        </w:rPr>
        <w:t>El Artículo 12(5) es una concreción en una esfera específica de los incisos 2 y 3 del artículo 12, al confirmar la igualdad en la capacidad jurídica de las personas con discapacidad “en todos los aspectos de la vida”, independientemente de la complejidad de los actos implicados. Y obliga a los Estados Partes a abolir las leyes nacionales que usualmente descalifican a las personas con discapacidad para realizar estas tareas y a adoptar las medidas de apoyo adecuadas.</w:t>
      </w:r>
    </w:p>
    <w:p w:rsidR="009716D2" w:rsidRPr="00E72B02" w:rsidRDefault="009716D2" w:rsidP="004551E9">
      <w:pPr>
        <w:rPr>
          <w:lang w:val="es-ES_tradnl"/>
        </w:rPr>
      </w:pPr>
    </w:p>
    <w:p w:rsidR="009716D2" w:rsidRPr="00E72B02" w:rsidRDefault="00F53E06" w:rsidP="00D579F5">
      <w:pPr>
        <w:pStyle w:val="TTULO12"/>
      </w:pPr>
      <w:r w:rsidRPr="00E72B02">
        <w:t>5.7.1 EL VALOR INSTRUMENTAL E INTERPRETATIVO DEL ARTÍCULO 12(5)</w:t>
      </w:r>
    </w:p>
    <w:p w:rsidR="009716D2" w:rsidRPr="00E72B02" w:rsidRDefault="009716D2" w:rsidP="004551E9"/>
    <w:p w:rsidR="009716D2" w:rsidRPr="00E72B02" w:rsidRDefault="009716D2" w:rsidP="004551E9">
      <w:pPr>
        <w:rPr>
          <w:lang w:val="es-ES_tradnl"/>
        </w:rPr>
      </w:pPr>
      <w:r w:rsidRPr="00E72B02">
        <w:rPr>
          <w:lang w:val="es-ES_tradnl"/>
        </w:rPr>
        <w:t xml:space="preserve">A diferencia de los primeros cuatro incisos del Artículo 12 donde cada uno de ellos forma parte esencial de las piezas que conforman el modelo de apoyos en el ejercicio de la capacidad jurídica, el inciso 5 no resulta una pieza fundamental de dicho modelo puesto que en rigor lo allí señalado se encuentra implícitamente reconocido por los incisos anteriores. A pesar de ello, el Artículo 12(5) tiene un papel importante en la regulación del modelo de apoyos, tanto en lo instrumental como en lo interpretativo. </w:t>
      </w:r>
    </w:p>
    <w:p w:rsidR="009716D2" w:rsidRPr="00E72B02" w:rsidRDefault="009716D2" w:rsidP="004551E9">
      <w:pPr>
        <w:rPr>
          <w:lang w:val="es-ES_tradnl"/>
        </w:rPr>
      </w:pPr>
      <w:r w:rsidRPr="00E72B02">
        <w:rPr>
          <w:lang w:val="es-ES_tradnl"/>
        </w:rPr>
        <w:t xml:space="preserve">En cuanto a lo instrumental, el Artículo 12(5) enumera una serie de ámbitos que se podrían señalar como prioritarios o fundamentales. De este modo los Estados Partes tienen una especie de guía de donde incidir en la adopción de medidas pertinentes y que las mismas tengan efectos reales en la vida de las personas con discapacidad. Téngase en cuenta que la mayoría de los </w:t>
      </w:r>
      <w:r w:rsidRPr="00E72B02">
        <w:rPr>
          <w:lang w:val="es-ES_tradnl"/>
        </w:rPr>
        <w:lastRenderedPageBreak/>
        <w:t xml:space="preserve">ordenamientos jurídicos vigentes tienen disposiciones especificas que impiden a las personas declaradas incapaces la posibilidad de contratar, e incluso específicamente respecto de ciertos tipos de contratos específicos como el muto, o la hipoteca. </w:t>
      </w:r>
    </w:p>
    <w:p w:rsidR="009716D2" w:rsidRPr="00E72B02" w:rsidRDefault="009716D2" w:rsidP="004551E9">
      <w:pPr>
        <w:rPr>
          <w:lang w:val="es-ES_tradnl"/>
        </w:rPr>
      </w:pPr>
      <w:r w:rsidRPr="00E72B02">
        <w:rPr>
          <w:lang w:val="es-ES_tradnl"/>
        </w:rPr>
        <w:t xml:space="preserve">En cuanto a lo interpretativo, el Artículo 12(5) refuerza el contenido o significado en concepto de “capacidad jurídica” recogido en el inciso 2. Como se ha señalado anteriormente, tanto en las negociaciones, como por medio de algunas reservas, algunos Estados han querido entender que el concepto de “capacidad jurídica” del Artículo 12(2) solo hace referencia a la capacidad de tener derechos pero no de ejercerlos en nombre propio. Más allá de los argumentos señalados al respecto, la interpretación restrictiva del concepto de “capacidad jurídica”, en el sentido que sólo abarca la capacidad de tener derechos, resulta incompatible con lo señalado por el Artículo 2(5). O dicho de otro modo, el Artículo 12(5) sólo se explica en el contexto de una interpretación del concepto de “capacidad jurídica” que incluya la noción de “capacidad de obrar o de ejercicio”. </w:t>
      </w:r>
    </w:p>
    <w:p w:rsidR="009716D2" w:rsidRPr="00E72B02" w:rsidRDefault="009716D2" w:rsidP="004551E9">
      <w:pPr>
        <w:rPr>
          <w:lang w:val="es-ES_tradnl"/>
        </w:rPr>
      </w:pPr>
    </w:p>
    <w:p w:rsidR="009716D2" w:rsidRPr="00E72B02" w:rsidRDefault="00F53E06" w:rsidP="00D579F5">
      <w:pPr>
        <w:pStyle w:val="TTULO12"/>
        <w:rPr>
          <w:lang w:val="es-ES_tradnl"/>
        </w:rPr>
      </w:pPr>
      <w:r w:rsidRPr="00E72B02">
        <w:rPr>
          <w:lang w:val="es-ES"/>
        </w:rPr>
        <w:t xml:space="preserve">5.7.2 </w:t>
      </w:r>
      <w:r w:rsidRPr="00E72B02">
        <w:rPr>
          <w:lang w:val="es-ES_tradnl"/>
        </w:rPr>
        <w:t>LA GARANTÍA DE NO DISCRIMINACIÓN</w:t>
      </w:r>
    </w:p>
    <w:p w:rsidR="009716D2" w:rsidRPr="00E72B02" w:rsidRDefault="009716D2" w:rsidP="004551E9">
      <w:pPr>
        <w:rPr>
          <w:lang w:val="es-ES_tradnl"/>
        </w:rPr>
      </w:pPr>
    </w:p>
    <w:p w:rsidR="009716D2" w:rsidRPr="00E72B02" w:rsidRDefault="009716D2" w:rsidP="004551E9">
      <w:pPr>
        <w:rPr>
          <w:lang w:val="es-ES_tradnl"/>
        </w:rPr>
      </w:pPr>
      <w:r w:rsidRPr="00E72B02">
        <w:rPr>
          <w:lang w:val="es-ES_tradnl"/>
        </w:rPr>
        <w:t xml:space="preserve">Aunque el inciso 12(5) tiene un claro enfoque de incidencia sobre los aspectos patrimonial del ejercicio de la capacidad jurídica, no se proyecta exclusivamente sobre la regulación de los actos jurídicos patrimoniales según se suelen entender en el marco de los Códigos Civiles. Es decir, su impacto legal es mucho más amplio y comprende todas las medidas necesarias para combatir la discriminación por motivo de discapacidad en aspectos claves como derechos de propiedad, derecho contratar, derecho de administrar bienes etc. </w:t>
      </w:r>
    </w:p>
    <w:p w:rsidR="009716D2" w:rsidRPr="00E72B02" w:rsidRDefault="009716D2" w:rsidP="004551E9">
      <w:pPr>
        <w:rPr>
          <w:lang w:val="es-ES_tradnl"/>
        </w:rPr>
      </w:pPr>
      <w:r w:rsidRPr="00E72B02">
        <w:rPr>
          <w:lang w:val="es-ES_tradnl"/>
        </w:rPr>
        <w:t xml:space="preserve">En este sentido, el concepto de discriminación debe ser interpretado a la luz de lo señalado en los Artículos 2 y 5 y abarcar no solo la discriminación legal, es decir, las normas que prohíben a personas con discapacidades </w:t>
      </w:r>
      <w:r w:rsidRPr="00E72B02">
        <w:rPr>
          <w:lang w:val="es-ES_tradnl"/>
        </w:rPr>
        <w:lastRenderedPageBreak/>
        <w:t xml:space="preserve">declaradas incapaces contratar, ser propietarias o heredar, sino también la discriminación real o actitudianal, la cual puede ser directa o indirecta. Es decir, la discriminación legal es solo el primer eslabón de una cadena de discriminaciones que enfrentan las personas con discapacidad en relación con derechos patrimoniales. Veamos algunos ejemplos: </w:t>
      </w:r>
    </w:p>
    <w:p w:rsidR="009716D2" w:rsidRPr="00E72B02" w:rsidRDefault="009716D2" w:rsidP="004551E9">
      <w:pPr>
        <w:rPr>
          <w:lang w:val="es-ES_tradnl"/>
        </w:rPr>
      </w:pPr>
      <w:r w:rsidRPr="00E72B02">
        <w:rPr>
          <w:lang w:val="es-ES_tradnl"/>
        </w:rPr>
        <w:t xml:space="preserve">Discriminación actitudinal. Si bien una persona con discapacidad intelectual que no ha sido declarada incapaz tiene formal y legalmente aptitud de contratar y de acceder a créditos, e hipotecas, las entidades financieras se suelen negar a otorgarle ningún tipo de servicio disponible al público en general, sobre la base de su apariencia o conducta. </w:t>
      </w:r>
    </w:p>
    <w:p w:rsidR="009716D2" w:rsidRPr="00E72B02" w:rsidRDefault="009716D2" w:rsidP="004551E9">
      <w:pPr>
        <w:rPr>
          <w:lang w:val="es-ES_tradnl"/>
        </w:rPr>
      </w:pPr>
      <w:r w:rsidRPr="00E72B02">
        <w:rPr>
          <w:lang w:val="es-ES_tradnl"/>
        </w:rPr>
        <w:t xml:space="preserve">Discriminación indirecta. Por ejemplo si bien una persona con discapacidad declarada incapaz puede legalmente heredar bienes de sus padres, luego en la práctica requiere de autorización de tu representante legal para poder aceptar y luego administrar o disponer de sus bienes heredados. </w:t>
      </w:r>
    </w:p>
    <w:p w:rsidR="009716D2" w:rsidRPr="00E72B02" w:rsidRDefault="009716D2" w:rsidP="004551E9">
      <w:pPr>
        <w:rPr>
          <w:lang w:val="es-ES_tradnl"/>
        </w:rPr>
      </w:pPr>
      <w:r w:rsidRPr="00E72B02">
        <w:rPr>
          <w:lang w:val="es-ES_tradnl"/>
        </w:rPr>
        <w:t xml:space="preserve">Asimismo la perspectiva de no discriminación del Artículo 12(5) también abarca las situaciones de discriminación que no permiten a personas con discapacidad acceder a su derecho a ser propietarios y administradores de sus bienes por no reconocer los formatos alternativos de comunicación de conformidad con el Artículo 2. Por ejemplo, es muy usual que las personas sordas no puedan abrir una cuenta de banco, o recibir información financiera en lengua de señas. Todas estas situaciones suponen una discriminación por motivo de discapacidad en el marco del derecho al ejercicio de la capacidad jurídica.  </w:t>
      </w:r>
    </w:p>
    <w:p w:rsidR="009716D2" w:rsidRPr="00E72B02" w:rsidRDefault="009716D2" w:rsidP="004551E9">
      <w:pPr>
        <w:rPr>
          <w:lang w:val="es-ES_tradnl"/>
        </w:rPr>
      </w:pPr>
    </w:p>
    <w:p w:rsidR="009716D2" w:rsidRPr="00E72B02" w:rsidRDefault="00F53E06" w:rsidP="00D579F5">
      <w:pPr>
        <w:pStyle w:val="TTULO12"/>
        <w:rPr>
          <w:lang w:val="es-ES_tradnl"/>
        </w:rPr>
      </w:pPr>
      <w:r w:rsidRPr="00E72B02">
        <w:rPr>
          <w:lang w:val="es-ES"/>
        </w:rPr>
        <w:t xml:space="preserve">5.7.3 </w:t>
      </w:r>
      <w:r w:rsidRPr="00E72B02">
        <w:rPr>
          <w:lang w:val="es-ES_tradnl"/>
        </w:rPr>
        <w:t>ACCESO AL PATRIMONIO Y VIDA INDEPENDIENTE</w:t>
      </w:r>
    </w:p>
    <w:p w:rsidR="009716D2" w:rsidRPr="00E72B02" w:rsidRDefault="009716D2" w:rsidP="004551E9">
      <w:pPr>
        <w:rPr>
          <w:lang w:val="es-ES_tradnl"/>
        </w:rPr>
      </w:pPr>
    </w:p>
    <w:p w:rsidR="009716D2" w:rsidRPr="00E72B02" w:rsidRDefault="009716D2" w:rsidP="004551E9">
      <w:pPr>
        <w:rPr>
          <w:lang w:val="es-ES_tradnl"/>
        </w:rPr>
      </w:pPr>
      <w:r w:rsidRPr="00E72B02">
        <w:rPr>
          <w:lang w:val="es-ES_tradnl"/>
        </w:rPr>
        <w:t xml:space="preserve">El contenido del inciso 5, está directamente relacionado con otras disposiciones de la CDPD, pero fundamentalmente con el Artículo 19, relativo a la vida independiente y la inclusión en la comunidad. Todas las </w:t>
      </w:r>
      <w:r w:rsidRPr="00E72B02">
        <w:rPr>
          <w:lang w:val="es-ES_tradnl"/>
        </w:rPr>
        <w:lastRenderedPageBreak/>
        <w:t>personas con discapacidad tienen el mismo derecho a vivir en la comunidad con la misma libertad de elección que otras personas, que incluye la selección de su lugar de residencia y dónde y con quién quieren vivir y no ser obligado a viven en un determinado tipo de vivienda. Sin embargo, ¿cómo una persona con discapacidad puede ejercer su libertad de elección, por ejemplo decidiendo que no quiere vivir más con sus padres y querer manejar su vida, si no tiene los recursos o no puede acceder y usar tales recursos?</w:t>
      </w:r>
    </w:p>
    <w:p w:rsidR="009716D2" w:rsidRPr="00E72B02" w:rsidRDefault="009716D2" w:rsidP="004551E9">
      <w:pPr>
        <w:rPr>
          <w:lang w:val="es-ES_tradnl"/>
        </w:rPr>
      </w:pPr>
      <w:r w:rsidRPr="00E72B02">
        <w:rPr>
          <w:lang w:val="es-ES_tradnl"/>
        </w:rPr>
        <w:t xml:space="preserve">Al tener restringido el derecho a conducir sus vidas en virtud del aspecto económico, las personas con discapacidad han visto socavado el derecho a expresar sus deseos y preferencias y tomar decisiones en la vida. Además de limitar el ejercicio de su capacidad jurídica, también han reducido su libertad. Esta situación genera que ciertas personas con discapacidad no puedan ser incluidas en la sociedad y llevar una vida independiente. En algunos ordenamientos jurídicos vigentes esta dinámica se puede ver claramente en algunas respuestas legales que resultan a todas luces incongruentes y contradictorias. Por ejemplo, muchos regímenes jurídicos de tipo laboral permiten a las personas con discapacidad firmar un contrato laboral, pero luego no se les permite administrar o disponer libremente de su salario.  </w:t>
      </w:r>
    </w:p>
    <w:p w:rsidR="009716D2" w:rsidRPr="00E72B02" w:rsidRDefault="009716D2" w:rsidP="004551E9">
      <w:pPr>
        <w:rPr>
          <w:lang w:val="es-ES_tradnl"/>
        </w:rPr>
      </w:pPr>
    </w:p>
    <w:p w:rsidR="009716D2" w:rsidRPr="00E72B02" w:rsidRDefault="00F53E06" w:rsidP="00D579F5">
      <w:pPr>
        <w:pStyle w:val="TTULO12"/>
        <w:rPr>
          <w:lang w:val="es-ES_tradnl"/>
        </w:rPr>
      </w:pPr>
      <w:r w:rsidRPr="00E72B02">
        <w:rPr>
          <w:lang w:val="es-ES_tradnl"/>
        </w:rPr>
        <w:t xml:space="preserve">5.7.4 IDENTIFICACIÓN DE LAS OBLIGACIONES JURÍDICO INTERNACIONALES </w:t>
      </w:r>
    </w:p>
    <w:p w:rsidR="009716D2" w:rsidRPr="00E72B02" w:rsidRDefault="009716D2" w:rsidP="004551E9">
      <w:pPr>
        <w:rPr>
          <w:lang w:val="es-ES_tradnl"/>
        </w:rPr>
      </w:pPr>
    </w:p>
    <w:p w:rsidR="009716D2" w:rsidRPr="00E72B02" w:rsidRDefault="009716D2" w:rsidP="004551E9">
      <w:pPr>
        <w:rPr>
          <w:lang w:val="es-ES_tradnl"/>
        </w:rPr>
      </w:pPr>
      <w:r w:rsidRPr="00E72B02">
        <w:rPr>
          <w:lang w:val="es-ES_tradnl"/>
        </w:rPr>
        <w:t>A la luz de lo señalado es posible inferir que el artículo 12(5) establece las obligaciones de los Estados Pates de:</w:t>
      </w:r>
    </w:p>
    <w:p w:rsidR="009716D2" w:rsidRPr="00E72B02" w:rsidRDefault="009716D2" w:rsidP="004551E9">
      <w:pPr>
        <w:pStyle w:val="Prrafodelista"/>
      </w:pPr>
      <w:r w:rsidRPr="00E72B02">
        <w:t xml:space="preserve">El párrafo 5 del artículo 12 debe interpretarse como que reafirma de forma expresa lo señalado en el inciso 2, es decir, como que “capacidad jurídica” incluye “capacidad de obrar” y, en especial, capacidad efectiva por parte de las personas con discapacidad de </w:t>
      </w:r>
      <w:r w:rsidRPr="00E72B02">
        <w:lastRenderedPageBreak/>
        <w:t xml:space="preserve">gozar y ejercer los derechos patrimoniales más básicos en igualdad de condiciones. Por ejemplo, el derecho a ser propietarias y heredar bienes, a tener acceso a préstamos bancarios, hipotecas y otras modalidades de crédito financiero; </w:t>
      </w:r>
    </w:p>
    <w:p w:rsidR="009716D2" w:rsidRPr="00E72B02" w:rsidRDefault="009716D2" w:rsidP="004551E9">
      <w:pPr>
        <w:pStyle w:val="Prrafodelista"/>
      </w:pPr>
      <w:r w:rsidRPr="00E72B02">
        <w:t xml:space="preserve">Sin perjuicio de lo señalado en el párrafo anterior, el inciso 5 del artículo 12 debe servir de guía para los Estados Partes en cuanto a cuáles son los ámbitos patrimoniales más relevantes en los cuales centrar las reformas legislativas y las políticas públicas destinadas a asegurar el derecho de las personas con discapacidad a la personalidad jurídica y a la capacidad jurídica en igualdad de condiciones con los demás; </w:t>
      </w:r>
    </w:p>
    <w:p w:rsidR="009716D2" w:rsidRPr="00E72B02" w:rsidRDefault="009716D2" w:rsidP="004551E9">
      <w:pPr>
        <w:pStyle w:val="Prrafodelista"/>
      </w:pPr>
      <w:r w:rsidRPr="00E72B02">
        <w:t>Sin perjuicio del sistema de apoyo establecido en el párrafo 3 del artículo 12, los Estados Partes deberán prestar especial atención al interpretar y aplicar el párrafo 5 del artículo 12 en relación con los artículos 9, 21, 27 y 28, en cuanto al derecho de todas las personas con discapacidad a la accesibilidad y diseño universal, al acceso a la información “mediante cualquier forma de comunicación que elijan con arreglo a la definición del artículo 2 de la CDPD”, a “ganarse la vida mediante un trabajo libremente elegido o aceptado en un mercado y un entorno laborales que sean abiertos, inclusivos y accesibles”, y a gozar de “un nivel de vida adecuado para ellas y sus familias”.</w:t>
      </w:r>
    </w:p>
    <w:p w:rsidR="009716D2" w:rsidRPr="00E72B02" w:rsidRDefault="009716D2" w:rsidP="004551E9">
      <w:r w:rsidRPr="00E72B02">
        <w:br w:type="page"/>
      </w:r>
    </w:p>
    <w:p w:rsidR="00485F4C" w:rsidRPr="00F53E06" w:rsidRDefault="00485F4C" w:rsidP="004551E9">
      <w:pPr>
        <w:rPr>
          <w:sz w:val="28"/>
          <w:szCs w:val="28"/>
        </w:rPr>
      </w:pPr>
    </w:p>
    <w:p w:rsidR="00485F4C" w:rsidRPr="00F53E06" w:rsidRDefault="00F53E06" w:rsidP="00D579F5">
      <w:pPr>
        <w:pStyle w:val="TITULO13"/>
        <w:rPr>
          <w:sz w:val="28"/>
          <w:szCs w:val="28"/>
        </w:rPr>
      </w:pPr>
      <w:r w:rsidRPr="00F53E06">
        <w:rPr>
          <w:sz w:val="28"/>
          <w:szCs w:val="28"/>
        </w:rPr>
        <w:t>CAPÍTULO 6</w:t>
      </w:r>
    </w:p>
    <w:p w:rsidR="00485F4C" w:rsidRPr="00F53E06" w:rsidRDefault="00F53E06" w:rsidP="00D579F5">
      <w:pPr>
        <w:pStyle w:val="TITULO13"/>
        <w:rPr>
          <w:sz w:val="28"/>
          <w:szCs w:val="28"/>
        </w:rPr>
      </w:pPr>
      <w:r w:rsidRPr="00F53E06">
        <w:rPr>
          <w:sz w:val="28"/>
          <w:szCs w:val="28"/>
        </w:rPr>
        <w:t>LAS DISPOSICIONES DE LA CDPD EN MATERIA DE CAPACIDAD JURÍDICA: INSERCIÓN EN EL ORDENAMIENTO JURÍDICO INTERNACIONAL</w:t>
      </w:r>
    </w:p>
    <w:p w:rsidR="00485F4C" w:rsidRPr="00E72B02" w:rsidRDefault="00485F4C" w:rsidP="004551E9">
      <w:pPr>
        <w:rPr>
          <w:lang w:val="es-ES_tradnl"/>
        </w:rPr>
      </w:pPr>
      <w:r w:rsidRPr="00E72B02">
        <w:rPr>
          <w:lang w:val="es-ES_tradnl"/>
        </w:rPr>
        <w:br w:type="page"/>
      </w:r>
    </w:p>
    <w:p w:rsidR="00485F4C" w:rsidRPr="00E72B02" w:rsidRDefault="00485F4C" w:rsidP="004551E9">
      <w:pPr>
        <w:rPr>
          <w:lang w:val="es-ES_tradnl"/>
        </w:rPr>
      </w:pPr>
      <w:r w:rsidRPr="00E72B02">
        <w:rPr>
          <w:lang w:val="es-ES_tradnl"/>
        </w:rPr>
        <w:lastRenderedPageBreak/>
        <w:br w:type="page"/>
      </w:r>
    </w:p>
    <w:p w:rsidR="00485F4C" w:rsidRPr="00F53E06" w:rsidRDefault="00F53E06" w:rsidP="00D579F5">
      <w:pPr>
        <w:pStyle w:val="TITULO13"/>
        <w:rPr>
          <w:sz w:val="24"/>
          <w:szCs w:val="24"/>
        </w:rPr>
      </w:pPr>
      <w:r w:rsidRPr="00F53E06">
        <w:rPr>
          <w:sz w:val="24"/>
          <w:szCs w:val="24"/>
        </w:rPr>
        <w:lastRenderedPageBreak/>
        <w:t>6.1 INTRODUCCIÓN</w:t>
      </w:r>
    </w:p>
    <w:p w:rsidR="00485F4C" w:rsidRPr="00E72B02" w:rsidRDefault="00485F4C" w:rsidP="004551E9">
      <w:pPr>
        <w:rPr>
          <w:lang w:val="es-ES_tradnl"/>
        </w:rPr>
      </w:pPr>
    </w:p>
    <w:p w:rsidR="00485F4C" w:rsidRPr="00E72B02" w:rsidRDefault="00485F4C" w:rsidP="004551E9">
      <w:pPr>
        <w:rPr>
          <w:lang w:val="es-ES_tradnl"/>
        </w:rPr>
      </w:pPr>
      <w:r w:rsidRPr="00E72B02">
        <w:rPr>
          <w:lang w:val="es-ES_tradnl"/>
        </w:rPr>
        <w:t xml:space="preserve">Como se ha venido planteando en el presente trabajo, el artículo 12 plantea un verdadero cambio de paradigma en el modo de abordar la igualdad en el ejercicio de la capacidad jurídica de las personas con discapacidad. Y como todo cambio de paradigma, supone un rompimiento con una tradición y práctica jurídica ancestral que eventualmente podrá generar resistencias y cuestionamientos por parte de quienes están en condición de implementarlo.  </w:t>
      </w:r>
    </w:p>
    <w:p w:rsidR="00485F4C" w:rsidRPr="00E72B02" w:rsidRDefault="00485F4C" w:rsidP="004551E9">
      <w:pPr>
        <w:rPr>
          <w:lang w:val="es-ES_tradnl"/>
        </w:rPr>
      </w:pPr>
      <w:r w:rsidRPr="00E72B02">
        <w:rPr>
          <w:lang w:val="es-ES_tradnl"/>
        </w:rPr>
        <w:t xml:space="preserve">Ahora bien, el artículo 12 como norma de derecho internacional, debe insertarse en el marco de un sistema o conjunto normativo más general, que no sólo puede incidir en su contenido normativo, sino también en relación con su aplicación e interpretación sistemática. </w:t>
      </w:r>
    </w:p>
    <w:p w:rsidR="00485F4C" w:rsidRPr="00E72B02" w:rsidRDefault="00485F4C" w:rsidP="004551E9">
      <w:pPr>
        <w:rPr>
          <w:lang w:val="es-ES_tradnl"/>
        </w:rPr>
      </w:pPr>
      <w:r w:rsidRPr="00E72B02">
        <w:rPr>
          <w:lang w:val="es-ES_tradnl"/>
        </w:rPr>
        <w:t xml:space="preserve">Consecuentemente, en el presente capítulo se ofrece un análisis de tres aspectos generales del derecho internacional, que eventualmente podrán tener especial influencia respecto de la validez y eficacia de lo propuesto por el artículo 12.  </w:t>
      </w:r>
    </w:p>
    <w:p w:rsidR="00485F4C" w:rsidRPr="00E72B02" w:rsidRDefault="00485F4C" w:rsidP="004551E9">
      <w:pPr>
        <w:rPr>
          <w:lang w:val="es-ES_tradnl"/>
        </w:rPr>
      </w:pPr>
      <w:r w:rsidRPr="00E72B02">
        <w:rPr>
          <w:lang w:val="es-ES_tradnl"/>
        </w:rPr>
        <w:br w:type="page"/>
      </w:r>
    </w:p>
    <w:p w:rsidR="00485F4C" w:rsidRPr="00A10C11" w:rsidRDefault="00A10C11" w:rsidP="00D579F5">
      <w:pPr>
        <w:pStyle w:val="TITULO13"/>
        <w:rPr>
          <w:sz w:val="24"/>
          <w:szCs w:val="24"/>
        </w:rPr>
      </w:pPr>
      <w:r w:rsidRPr="00A10C11">
        <w:rPr>
          <w:sz w:val="24"/>
          <w:szCs w:val="24"/>
        </w:rPr>
        <w:lastRenderedPageBreak/>
        <w:t>6.2 EL ARTÍCULO 12 Y LOS CONFLICTOS CON OTRAS NORMAS DE DERECHO INTERNACIONAL</w:t>
      </w:r>
    </w:p>
    <w:p w:rsidR="00485F4C" w:rsidRPr="00E72B02" w:rsidRDefault="00485F4C" w:rsidP="004551E9">
      <w:pPr>
        <w:rPr>
          <w:lang w:val="es-ES_tradnl"/>
        </w:rPr>
      </w:pPr>
    </w:p>
    <w:p w:rsidR="00485F4C" w:rsidRPr="00E72B02" w:rsidRDefault="00485F4C" w:rsidP="004551E9">
      <w:pPr>
        <w:rPr>
          <w:lang w:val="es-ES_tradnl"/>
        </w:rPr>
      </w:pPr>
      <w:r w:rsidRPr="00E72B02">
        <w:rPr>
          <w:lang w:val="es-ES_tradnl"/>
        </w:rPr>
        <w:t xml:space="preserve">Como se viene señalando en el presente trabajo, el artículo 12 de la CDPD propone un cambio de paradigma en el modo de abordar el reconocimiento de la personalidad jurídica y la capacidad jurídica de las personas con discapacidad. Y como todo cambio de paradigma nos plantea, desde una visión estrictamente de derecho internacional, que nos enfrentamos ante una norma emergente que no registra precedentes tanto en las fuentes convencionales como consuetudinarias. Más aún, existen una serie de normas </w:t>
      </w:r>
      <w:r w:rsidR="000352E5">
        <w:rPr>
          <w:lang w:val="es-ES_tradnl"/>
        </w:rPr>
        <w:t xml:space="preserve">internacionales, </w:t>
      </w:r>
      <w:r w:rsidRPr="00E72B02">
        <w:rPr>
          <w:lang w:val="es-ES_tradnl"/>
        </w:rPr>
        <w:t xml:space="preserve">que </w:t>
      </w:r>
      <w:r w:rsidR="000352E5">
        <w:rPr>
          <w:lang w:val="es-ES_tradnl"/>
        </w:rPr>
        <w:t xml:space="preserve">en su caso, </w:t>
      </w:r>
      <w:r w:rsidRPr="00E72B02">
        <w:rPr>
          <w:lang w:val="es-ES_tradnl"/>
        </w:rPr>
        <w:t xml:space="preserve">se podrían considerar como contrarias a lo que plantea la CDPD. </w:t>
      </w:r>
    </w:p>
    <w:p w:rsidR="00485F4C" w:rsidRPr="00E72B02" w:rsidRDefault="00485F4C" w:rsidP="004551E9">
      <w:pPr>
        <w:rPr>
          <w:lang w:val="es-ES_tradnl"/>
        </w:rPr>
      </w:pPr>
    </w:p>
    <w:p w:rsidR="00485F4C" w:rsidRPr="00E72B02" w:rsidRDefault="00485F4C" w:rsidP="00D579F5">
      <w:pPr>
        <w:pStyle w:val="TTULO13"/>
      </w:pPr>
      <w:r w:rsidRPr="00E72B02">
        <w:t xml:space="preserve">6.2.1 Fuentes normativas en contraposición con lo estipulado por la CDPD </w:t>
      </w:r>
    </w:p>
    <w:p w:rsidR="00485F4C" w:rsidRPr="00E72B02" w:rsidRDefault="00485F4C" w:rsidP="004551E9">
      <w:pPr>
        <w:rPr>
          <w:lang w:val="es-ES_tradnl"/>
        </w:rPr>
      </w:pPr>
    </w:p>
    <w:p w:rsidR="00485F4C" w:rsidRPr="00E72B02" w:rsidRDefault="00485F4C" w:rsidP="004551E9">
      <w:pPr>
        <w:rPr>
          <w:lang w:val="es-ES_tradnl"/>
        </w:rPr>
      </w:pPr>
      <w:r w:rsidRPr="00E72B02">
        <w:rPr>
          <w:lang w:val="es-ES_tradnl"/>
        </w:rPr>
        <w:t xml:space="preserve">Sin ánimo de agotar el listado, es posible encontrar, de forma previa a la CDPD, algunas fuentes normativas cuyo contenido podría interpretarse como contrario a lo estipulado en el artículo 12 de la CDPD. Dichas fuentes podrían dividirse entre fuentes convencionales, y normas no vinculantes o de </w:t>
      </w:r>
      <w:r w:rsidRPr="000352E5">
        <w:rPr>
          <w:i/>
          <w:lang w:val="es-ES_tradnl"/>
        </w:rPr>
        <w:t>derecho blando</w:t>
      </w:r>
      <w:r w:rsidRPr="00E72B02">
        <w:rPr>
          <w:lang w:val="es-ES_tradnl"/>
        </w:rPr>
        <w:t xml:space="preserve">. A ello, correspondería determinar si es posible identificar una norma de fuente consuetudinaria que resulte contraria a lo señalado en la CDPD. </w:t>
      </w:r>
    </w:p>
    <w:p w:rsidR="00485F4C" w:rsidRPr="00E72B02" w:rsidRDefault="00485F4C" w:rsidP="004551E9">
      <w:pPr>
        <w:rPr>
          <w:lang w:val="es-ES_tradnl"/>
        </w:rPr>
      </w:pPr>
      <w:r w:rsidRPr="00E72B02">
        <w:rPr>
          <w:lang w:val="es-ES_tradnl"/>
        </w:rPr>
        <w:t xml:space="preserve">En cuanto a las fuentes convencionales, existen dos instrumentos en el marco de sistemas regionales de protección de derechos humanos, cuyo contenido podría resultar contradictorio con lo señalado por el artículo 12 de la CDPD. </w:t>
      </w:r>
    </w:p>
    <w:p w:rsidR="00485F4C" w:rsidRPr="00E72B02" w:rsidRDefault="00485F4C" w:rsidP="004551E9">
      <w:pPr>
        <w:rPr>
          <w:lang w:val="es-ES_tradnl"/>
        </w:rPr>
      </w:pPr>
      <w:r w:rsidRPr="00E72B02">
        <w:rPr>
          <w:lang w:val="es-ES_tradnl"/>
        </w:rPr>
        <w:lastRenderedPageBreak/>
        <w:t xml:space="preserve">En primer lugar, la </w:t>
      </w:r>
      <w:r w:rsidRPr="00E72B02">
        <w:t xml:space="preserve">Convención Interamericana para la Eliminación de Todas las formas de Discriminación contra las Personas con Discapacidad (CIAEFDPD), suscripta en el marco de la Organización de los Estados Americanos (OEA) en su artículo 1, inciso 2º </w:t>
      </w:r>
      <w:r w:rsidR="00132E26">
        <w:t xml:space="preserve">b) </w:t>
      </w:r>
      <w:r w:rsidRPr="00E72B02">
        <w:t>al definir lo que se entiendo por discriminación señala que “</w:t>
      </w:r>
      <w:r w:rsidRPr="00E72B02">
        <w:rPr>
          <w:i/>
        </w:rPr>
        <w:t>En los casos en que la legislación interna prevea la figura de la declaratoria de interdicción, cuando sea necesaria y apropiada para su bienestar, ésta no constituirá discriminación</w:t>
      </w:r>
      <w:r w:rsidRPr="00E72B02">
        <w:t>”.</w:t>
      </w:r>
      <w:r w:rsidRPr="00E72B02">
        <w:rPr>
          <w:rStyle w:val="Refdenotaalpie"/>
          <w:lang w:val="es-ES"/>
        </w:rPr>
        <w:footnoteReference w:id="809"/>
      </w:r>
    </w:p>
    <w:p w:rsidR="00485F4C" w:rsidRPr="00E72B02" w:rsidRDefault="00485F4C" w:rsidP="004551E9">
      <w:r w:rsidRPr="00E72B02">
        <w:rPr>
          <w:lang w:val="es-ES_tradnl"/>
        </w:rPr>
        <w:t xml:space="preserve">En segundo lugar, el </w:t>
      </w:r>
      <w:r w:rsidRPr="00E72B02">
        <w:t>Convenio de Oviedo sobre Bioética y Derechos Humanos (COBDH),</w:t>
      </w:r>
      <w:r w:rsidRPr="00E72B02">
        <w:rPr>
          <w:rStyle w:val="Refdenotaalpie"/>
          <w:lang w:val="es-ES"/>
        </w:rPr>
        <w:footnoteReference w:id="810"/>
      </w:r>
      <w:r w:rsidRPr="00E72B02">
        <w:t xml:space="preserve"> adoptado en el marco del Consejo de Europa, señala en sus artículos 6, 7 y 8:</w:t>
      </w:r>
    </w:p>
    <w:p w:rsidR="00485F4C" w:rsidRPr="00E72B02" w:rsidRDefault="00485F4C" w:rsidP="004551E9">
      <w:pPr>
        <w:pStyle w:val="Cita"/>
      </w:pPr>
      <w:r w:rsidRPr="00E72B02">
        <w:t>Artículo 6.  Protección de las personas incapaces de consentir</w:t>
      </w:r>
    </w:p>
    <w:p w:rsidR="00485F4C" w:rsidRPr="00E72B02" w:rsidRDefault="00485F4C" w:rsidP="004551E9">
      <w:pPr>
        <w:pStyle w:val="Cita"/>
      </w:pPr>
      <w:r w:rsidRPr="00E72B02">
        <w:t>1. Con las reservas de los artículos 17 y 20, las personas sin capacidad para consentir no podrán ser sometidas a intervención alguna sino en su beneficio directo.</w:t>
      </w:r>
    </w:p>
    <w:p w:rsidR="00485F4C" w:rsidRPr="00E72B02" w:rsidRDefault="00485F4C" w:rsidP="004551E9">
      <w:pPr>
        <w:pStyle w:val="Cita"/>
      </w:pPr>
      <w:r w:rsidRPr="00E72B02">
        <w:t>2. Cuando, según la ley, un menor no es capaz de consentir a una intervención, ésta no podrá llevarse a cabo sin la autorización de su representante, de una autoridad, o de la persona o instancia señalada en la ley.</w:t>
      </w:r>
    </w:p>
    <w:p w:rsidR="00485F4C" w:rsidRPr="00E72B02" w:rsidRDefault="00485F4C" w:rsidP="004551E9">
      <w:pPr>
        <w:pStyle w:val="Cita"/>
      </w:pPr>
      <w:r w:rsidRPr="00E72B02">
        <w:t>El consentimiento del menor será considerado como elemento tanto más determinante cuanto mayores sean su edad y grado de discernimiento.</w:t>
      </w:r>
    </w:p>
    <w:p w:rsidR="00485F4C" w:rsidRPr="00E72B02" w:rsidRDefault="00485F4C" w:rsidP="004551E9">
      <w:pPr>
        <w:pStyle w:val="Cita"/>
      </w:pPr>
      <w:r w:rsidRPr="00E72B02">
        <w:t xml:space="preserve">3. Cuando según la ley un mayor de edad no tenga capacidad de consentir a una intervención por razón de una deficiencia </w:t>
      </w:r>
      <w:r w:rsidRPr="00E72B02">
        <w:lastRenderedPageBreak/>
        <w:t>mental, enfermedad o motivo similar, aquélla no podrá llevarse a cabo sin la autorización de su representante, de una autoridad, o de la persona o instancia señalada en la ley.</w:t>
      </w:r>
    </w:p>
    <w:p w:rsidR="00485F4C" w:rsidRPr="00E72B02" w:rsidRDefault="00485F4C" w:rsidP="004551E9">
      <w:pPr>
        <w:pStyle w:val="Cita"/>
      </w:pPr>
      <w:r w:rsidRPr="00E72B02">
        <w:t>En la medida de lo posible la persona afectada tomará parte en el procedimiento de autorización.</w:t>
      </w:r>
    </w:p>
    <w:p w:rsidR="00485F4C" w:rsidRPr="00E72B02" w:rsidRDefault="00485F4C" w:rsidP="004551E9">
      <w:pPr>
        <w:pStyle w:val="Cita"/>
      </w:pPr>
      <w:r w:rsidRPr="00E72B02">
        <w:t>4. El representante, la autoridad, la persona o la instancia a que se refieren los apartados 2 y 3, recibirán en las mismas condiciones la información a que alude el artículo 5.</w:t>
      </w:r>
    </w:p>
    <w:p w:rsidR="00485F4C" w:rsidRPr="00E72B02" w:rsidRDefault="00485F4C" w:rsidP="004551E9">
      <w:pPr>
        <w:pStyle w:val="Cita"/>
      </w:pPr>
      <w:r w:rsidRPr="00E72B02">
        <w:t>5. La autorización contemplada en los párrafos 2 y 3, podrá en todo momento ser retirada en interés de la persona afectada.</w:t>
      </w:r>
    </w:p>
    <w:p w:rsidR="00485F4C" w:rsidRPr="00E72B02" w:rsidRDefault="00485F4C" w:rsidP="004551E9">
      <w:pPr>
        <w:pStyle w:val="Cita"/>
      </w:pPr>
      <w:r w:rsidRPr="00E72B02">
        <w:t>Artículo 7.  Protección de las personas que sufran trastorno mental</w:t>
      </w:r>
    </w:p>
    <w:p w:rsidR="00485F4C" w:rsidRPr="00E72B02" w:rsidRDefault="00485F4C" w:rsidP="004551E9">
      <w:pPr>
        <w:pStyle w:val="Cita"/>
      </w:pPr>
      <w:r w:rsidRPr="00E72B02">
        <w:t>La persona que sufra un trastorno mental no podrá ser sometida a tratamiento de dicho trastorno sin su consentimiento, a no ser que de la falta de tratamiento pudiera acercarse grave quebranto, para su salud y con arreglo a las condiciones establecidas por la ley en orden a su protección. Las condiciones legales de protección comprenderán procedimientos de vigilancia y control y vías de recurso.</w:t>
      </w:r>
    </w:p>
    <w:p w:rsidR="00485F4C" w:rsidRPr="00E72B02" w:rsidRDefault="00485F4C" w:rsidP="004551E9">
      <w:pPr>
        <w:pStyle w:val="Cita"/>
      </w:pPr>
      <w:r w:rsidRPr="00E72B02">
        <w:t>Artículo 8.  Situaciones de urgencia</w:t>
      </w:r>
    </w:p>
    <w:p w:rsidR="00485F4C" w:rsidRPr="00E72B02" w:rsidRDefault="00485F4C" w:rsidP="004551E9">
      <w:pPr>
        <w:pStyle w:val="Cita"/>
      </w:pPr>
      <w:r w:rsidRPr="00E72B02">
        <w:t>Si por imperativos de urgencia fuese imposible obtener el correspondiente consentimiento, se podrá no obstante realizar de inmediato toda intervención médica indispensable para el bien de la salud de la persona afectada.</w:t>
      </w:r>
    </w:p>
    <w:p w:rsidR="00485F4C" w:rsidRPr="00E72B02" w:rsidRDefault="00485F4C" w:rsidP="004551E9">
      <w:pPr>
        <w:rPr>
          <w:lang w:val="es-ES_tradnl"/>
        </w:rPr>
      </w:pPr>
      <w:r w:rsidRPr="00E72B02">
        <w:t xml:space="preserve">En cuanto a las fuentes no vinculantes o de </w:t>
      </w:r>
      <w:r w:rsidRPr="000352E5">
        <w:rPr>
          <w:i/>
        </w:rPr>
        <w:t>derecho blando</w:t>
      </w:r>
      <w:r w:rsidRPr="00E72B02">
        <w:t xml:space="preserve">, existen una serie de instrumentos internacionales </w:t>
      </w:r>
      <w:r w:rsidRPr="00E72B02">
        <w:rPr>
          <w:lang w:val="es-ES_tradnl"/>
        </w:rPr>
        <w:t>cuyo contenido podría resultar contradictorio con lo señalado por el artículo 12 de la CDPD.</w:t>
      </w:r>
    </w:p>
    <w:p w:rsidR="00485F4C" w:rsidRPr="00E72B02" w:rsidRDefault="00485F4C" w:rsidP="004551E9">
      <w:pPr>
        <w:rPr>
          <w:noProof/>
        </w:rPr>
      </w:pPr>
      <w:r w:rsidRPr="00E72B02">
        <w:lastRenderedPageBreak/>
        <w:t xml:space="preserve">En primer lugar, los </w:t>
      </w:r>
      <w:r w:rsidRPr="00E72B02">
        <w:rPr>
          <w:noProof/>
        </w:rPr>
        <w:t>Principios para la protección de los enfermos mentales y para el mejoramiento de la atención de la salud mental</w:t>
      </w:r>
      <w:r w:rsidRPr="00E72B02">
        <w:rPr>
          <w:rStyle w:val="Refdenotaalpie"/>
          <w:noProof/>
          <w:lang w:val="es-ES"/>
        </w:rPr>
        <w:footnoteReference w:id="811"/>
      </w:r>
      <w:r w:rsidRPr="00E72B02">
        <w:rPr>
          <w:noProof/>
        </w:rPr>
        <w:t xml:space="preserve"> adoptados por la AG en el marco de la ONU señala:</w:t>
      </w:r>
    </w:p>
    <w:p w:rsidR="00485F4C" w:rsidRPr="00E72B02" w:rsidRDefault="00485F4C" w:rsidP="004551E9">
      <w:pPr>
        <w:pStyle w:val="Cita"/>
        <w:rPr>
          <w:noProof/>
        </w:rPr>
      </w:pPr>
      <w:r w:rsidRPr="00E72B02">
        <w:rPr>
          <w:noProof/>
        </w:rPr>
        <w:t>Principio 1: Libertades fundamentales y derechos básicos (…)</w:t>
      </w:r>
    </w:p>
    <w:p w:rsidR="00485F4C" w:rsidRPr="00E72B02" w:rsidRDefault="00485F4C" w:rsidP="004551E9">
      <w:pPr>
        <w:pStyle w:val="Cita"/>
        <w:rPr>
          <w:noProof/>
        </w:rPr>
      </w:pPr>
      <w:r w:rsidRPr="00E72B02">
        <w:rPr>
          <w:noProof/>
        </w:rPr>
        <w:t>6. Toda decisión de que, debido a su enfermedad mental, una persona carece de capacidad jurídica y toda decisión de que, a consecuencia de dicha incapacidad, se designe a un representante personal se tomará sólo después de una audiencia equitativa ante un tribunal independiente e imparcial establecido por la legislación nacional. La persona de cuya capacidad se trate tendrá derecho a estar representada por un defensor. Si la persona de cuya capacidad se trata no obtiene por sí misma dicha representación, se le pondrá ésta a su disposición sin cargo alguno en la medida de que no disponga de medios suficientes para pagar dichos servicios. El defensor no podrá representar en las mismas actuaciones a una institución psiquiátrica ni a su personal, ni tampoco podrá representar a un familiar de la persona de cuya capacidad se trate, a menos que el tribunal compruebe que no existe ningún conflicto de intereses. Las decisiones sobre la capacidad y la necesidad de un representante personal se revisarán en los intervalos razonables previstos en la legislación nacional. La persona de cuya capacidad se trate, su representante personal, si lo hubiere, y cualquier otro interesado tendrán derecho a apelar esa decisión ante un tribunal superior.</w:t>
      </w:r>
    </w:p>
    <w:p w:rsidR="00485F4C" w:rsidRPr="00E72B02" w:rsidRDefault="00485F4C" w:rsidP="004551E9">
      <w:pPr>
        <w:pStyle w:val="Cita"/>
        <w:rPr>
          <w:noProof/>
        </w:rPr>
      </w:pPr>
      <w:r w:rsidRPr="00E72B02">
        <w:rPr>
          <w:noProof/>
        </w:rPr>
        <w:t>Principio 16: Admisión involuntaria</w:t>
      </w:r>
    </w:p>
    <w:p w:rsidR="00485F4C" w:rsidRPr="00E72B02" w:rsidRDefault="00485F4C" w:rsidP="004551E9">
      <w:pPr>
        <w:pStyle w:val="Cita"/>
        <w:rPr>
          <w:noProof/>
        </w:rPr>
      </w:pPr>
      <w:r w:rsidRPr="00E72B02">
        <w:rPr>
          <w:noProof/>
        </w:rPr>
        <w:lastRenderedPageBreak/>
        <w:t>1. Una persona sólo podrá ser admitida como paciente involuntario en una institución psiquiátrica o ser retenida como paciente involuntario en una institución psiquiátrica a la que ya hubiera sido admitida como paciente voluntario cuando un médico calificado y autorizado por ley a esos efectos determine, de conformidad con el principio 4 supra, que esa persona padece una enfermedad mental y considere:</w:t>
      </w:r>
    </w:p>
    <w:p w:rsidR="00485F4C" w:rsidRPr="00E72B02" w:rsidRDefault="00485F4C" w:rsidP="004551E9">
      <w:pPr>
        <w:pStyle w:val="Cita"/>
        <w:rPr>
          <w:noProof/>
        </w:rPr>
      </w:pPr>
      <w:r w:rsidRPr="00E72B02">
        <w:rPr>
          <w:noProof/>
        </w:rPr>
        <w:t>a) Que debido a esa enfermedad mental existe un riesgo grave de daño inmediato o inminente para esa persona o para terceros; o</w:t>
      </w:r>
    </w:p>
    <w:p w:rsidR="00485F4C" w:rsidRPr="00E72B02" w:rsidRDefault="00485F4C" w:rsidP="004551E9">
      <w:pPr>
        <w:pStyle w:val="Cita"/>
        <w:rPr>
          <w:noProof/>
        </w:rPr>
      </w:pPr>
      <w:r w:rsidRPr="00E72B02">
        <w:rPr>
          <w:noProof/>
        </w:rPr>
        <w:t>b) Que, en el caso de una persona cuya enfermedad mental sea grave y cuya capacidad de juicio esté afectada, el hecho de que no se la admita o retenga puede llevar a un deterioro considerable de su condición o impedir que se le proporcione un tratamiento adecuado que sólo puede aplicarse si se admite al paciente en una institución psiquiátrica de conformidad con el principio de la opción menos restrictiva.</w:t>
      </w:r>
    </w:p>
    <w:p w:rsidR="00485F4C" w:rsidRPr="00E72B02" w:rsidRDefault="00485F4C" w:rsidP="004551E9">
      <w:r w:rsidRPr="00E72B02">
        <w:t>En segundo lugar, las Reglas mínimas para el tratamiento de los reclusos</w:t>
      </w:r>
      <w:r w:rsidRPr="00E72B02">
        <w:rPr>
          <w:rStyle w:val="Refdenotaalpie"/>
          <w:lang w:val="es-ES"/>
        </w:rPr>
        <w:footnoteReference w:id="812"/>
      </w:r>
      <w:r w:rsidRPr="00E72B02">
        <w:t xml:space="preserve"> adoptadas por el ECOSOC señalan que: </w:t>
      </w:r>
    </w:p>
    <w:p w:rsidR="00485F4C" w:rsidRPr="00E72B02" w:rsidRDefault="00485F4C" w:rsidP="004551E9">
      <w:pPr>
        <w:pStyle w:val="Cita"/>
      </w:pPr>
      <w:r w:rsidRPr="00E72B02">
        <w:lastRenderedPageBreak/>
        <w:t>Reclusos alienados y enfermos mentales</w:t>
      </w:r>
    </w:p>
    <w:p w:rsidR="00485F4C" w:rsidRPr="00E72B02" w:rsidRDefault="00485F4C" w:rsidP="004551E9">
      <w:pPr>
        <w:pStyle w:val="Cita"/>
      </w:pPr>
      <w:r w:rsidRPr="00E72B02">
        <w:t>82. 1) Los alienados no deberán ser recluidos en prisiones. Se tomarán disposiciones para trasladarlos lo antes posible a establecimientos para enfermos mentales. 2) Los reclusos que sufran otras enfermedades o anormalidades mentales deberán ser observados y tratados en instituciones especializadas dirigidas por médicos. 3) Durante su permanencia en la prisión, dichos reclusos estarán bajo la vigilancia especial de un médico. 4) El servicio médico o psiquiátrico de los establecimientos penitenciarios deberá asegurar el tratamiento psiquiátrico de todos los demás reclusos que necesiten dicho tratamiento.</w:t>
      </w:r>
    </w:p>
    <w:p w:rsidR="00485F4C" w:rsidRPr="00E72B02" w:rsidRDefault="00485F4C" w:rsidP="004551E9">
      <w:pPr>
        <w:pStyle w:val="Cita"/>
      </w:pPr>
      <w:r w:rsidRPr="00E72B02">
        <w:t>83. Convendrá que se tomen disposiciones, de acuerdo con los organismos competentes, para que, en caso necesario, se continúe el tratamiento psiquiátrico después de la liberación y se asegure una asistencia social postpenitenciaria de carácter psiquiátrico.</w:t>
      </w:r>
    </w:p>
    <w:p w:rsidR="00485F4C" w:rsidRPr="00E72B02" w:rsidRDefault="00485F4C" w:rsidP="004551E9">
      <w:r w:rsidRPr="00E72B02">
        <w:t>En cuanto a las fuentes consuetudinarias, no resulta sencillo afirmar que exista una regla consuetudinaria de derecho internacional que contradiga directamente lo señalado por el CDPD ya que, como se ha señalado previamente en este trabajo, la cuestión relativa al ejercicio de la capacidad jurídica</w:t>
      </w:r>
      <w:r w:rsidR="00843A16">
        <w:t xml:space="preserve"> no ha sido objeto de una práctica consuetudinaria espacial y, por tanto, </w:t>
      </w:r>
      <w:r w:rsidRPr="00E72B02">
        <w:t xml:space="preserve">ha sido escasamente abordada por los organismos o tribunales internacionales. No obstante, es procedente destacar que si es posible </w:t>
      </w:r>
      <w:r w:rsidRPr="00E72B02">
        <w:lastRenderedPageBreak/>
        <w:t xml:space="preserve">identificar una práctica generalizada por parte de los miembros de la comunidad internacional en el sentido considerar la regulación de la capacidad jurídica de las personas con discapacidad como </w:t>
      </w:r>
      <w:r w:rsidR="00843A16">
        <w:t xml:space="preserve">propia de su jurisdicción exclusiva, </w:t>
      </w:r>
      <w:r w:rsidRPr="00E72B02">
        <w:t>reservada a los asuntos domésticos. Adicionalmente, dicha práctica doméstica claramente demuestra un abordaje que no se ajusta a lo señalado por la CDPD</w:t>
      </w:r>
      <w:r w:rsidR="00843A16">
        <w:t xml:space="preserve">, </w:t>
      </w:r>
      <w:r w:rsidRPr="00E72B02">
        <w:t>pero en dich</w:t>
      </w:r>
      <w:r w:rsidR="00843A16">
        <w:t>o</w:t>
      </w:r>
      <w:r w:rsidRPr="00E72B02">
        <w:t xml:space="preserve"> caso no nos encontraríamos ante una situación de conflicto de normas internacionales, sino más bien de </w:t>
      </w:r>
      <w:r w:rsidR="00843A16">
        <w:t xml:space="preserve">conflicto entre </w:t>
      </w:r>
      <w:r w:rsidRPr="00E72B02">
        <w:t xml:space="preserve">el derecho internacional y los derechos internos. </w:t>
      </w:r>
      <w:r w:rsidR="00843A16">
        <w:t>Ahora bien</w:t>
      </w:r>
      <w:r w:rsidR="00843A16" w:rsidRPr="00E72B02">
        <w:t xml:space="preserve">, </w:t>
      </w:r>
      <w:r w:rsidR="00843A16">
        <w:t xml:space="preserve">de acuerdo con un principio general del derecho internacional bien conocido, ningún Estado puede justificar el incumplimiento de sus obligaciones internacionales sobre la base de argumentos, razones o normas de derecho interno contrario. </w:t>
      </w:r>
    </w:p>
    <w:p w:rsidR="00485F4C" w:rsidRPr="00E72B02" w:rsidRDefault="00485F4C" w:rsidP="004551E9"/>
    <w:p w:rsidR="00485F4C" w:rsidRPr="00E72B02" w:rsidRDefault="00485F4C" w:rsidP="00D579F5">
      <w:pPr>
        <w:pStyle w:val="TTULO13"/>
      </w:pPr>
      <w:r w:rsidRPr="00E72B02">
        <w:t>6.2.2 Conflicto entre la CDPD y las normas no vinculantes</w:t>
      </w:r>
    </w:p>
    <w:p w:rsidR="00485F4C" w:rsidRPr="00E72B02" w:rsidRDefault="00485F4C" w:rsidP="004551E9"/>
    <w:p w:rsidR="00485F4C" w:rsidRPr="00E72B02" w:rsidRDefault="00485F4C" w:rsidP="004551E9">
      <w:r w:rsidRPr="00E72B02">
        <w:t xml:space="preserve">El conflicto jurídico entre la CDPD y las normas no vinculantes se resuelve claramente a favor de la CDPD, aunque la falta de apoyo del </w:t>
      </w:r>
      <w:r w:rsidRPr="00E72B02">
        <w:rPr>
          <w:i/>
        </w:rPr>
        <w:t>soft law</w:t>
      </w:r>
      <w:r w:rsidRPr="00E72B02">
        <w:t xml:space="preserve"> nos impedirá seguramente sostener, al menos a corto plazo, </w:t>
      </w:r>
      <w:r w:rsidR="00843A16">
        <w:t xml:space="preserve">que la regla del artículo 12 ha adquirido </w:t>
      </w:r>
      <w:r w:rsidRPr="00E72B02">
        <w:t xml:space="preserve">carácter consuetudinario. Actualmente existe amplio consenso sobre el valor probatorio de </w:t>
      </w:r>
      <w:r w:rsidRPr="00E72B02">
        <w:rPr>
          <w:i/>
        </w:rPr>
        <w:t>opinio juris</w:t>
      </w:r>
      <w:r w:rsidRPr="00E72B02">
        <w:t xml:space="preserve"> que las resoluciones de Organizaciones Internacionales, y en especial, las provenientes de ONU, tienen en la acreditación de formación de normas consuetudinarias. En la medida en que el </w:t>
      </w:r>
      <w:r w:rsidRPr="00E72B02">
        <w:rPr>
          <w:i/>
        </w:rPr>
        <w:t>soft law</w:t>
      </w:r>
      <w:r w:rsidRPr="00E72B02">
        <w:t xml:space="preserve"> no comience a reflejar las </w:t>
      </w:r>
      <w:r w:rsidRPr="00E72B02">
        <w:lastRenderedPageBreak/>
        <w:t>disposiciones de la CDPD, será muy difícil probar su consolidación como derecho consuetudinario</w:t>
      </w:r>
      <w:r w:rsidR="00E970E8" w:rsidRPr="00E72B02">
        <w:t>.</w:t>
      </w:r>
      <w:r w:rsidRPr="00E72B02">
        <w:rPr>
          <w:rStyle w:val="Refdenotaalpie"/>
        </w:rPr>
        <w:footnoteReference w:id="813"/>
      </w:r>
    </w:p>
    <w:p w:rsidR="00485F4C" w:rsidRPr="00E72B02" w:rsidRDefault="00485F4C" w:rsidP="004551E9">
      <w:r w:rsidRPr="00E72B02">
        <w:t>A pesar de ello, y de la irrefutable jerarquía y obligatoriedad de las normas convencionales sobre cualquier tipo de norma no vinculante (obviamente aquí no se considera si dichas normas no vinculantes pueden reflejar costumbre internacional), es posible notar que algunos miembros de la comunidad internacional, en ocasiones, han otorgado mayor valor</w:t>
      </w:r>
      <w:r w:rsidR="00C0749C">
        <w:t xml:space="preserve">, dentro de su derecho interno, </w:t>
      </w:r>
      <w:r w:rsidRPr="00E72B02">
        <w:t>a normas no vinculantes por encima de las obligaciones internacionales asumidas formalmente a través de la ratificación de tratados internacionales. Por ejemplo en relación con el artículo 12 y 14 de la CDPD, Argentina sancionó en 2010 una nueva Lay Nacional de Salud Mental,</w:t>
      </w:r>
      <w:r w:rsidRPr="00E72B02">
        <w:rPr>
          <w:rStyle w:val="Refdenotaalpie"/>
          <w:lang w:val="es-ES"/>
        </w:rPr>
        <w:footnoteReference w:id="814"/>
      </w:r>
      <w:r w:rsidRPr="00E72B02">
        <w:t xml:space="preserve"> la cual intenta recoger la perspectiva de derechos humanos. El artículo 2 de dicha norma señala que “</w:t>
      </w:r>
      <w:r w:rsidRPr="00E72B02">
        <w:rPr>
          <w:i/>
        </w:rPr>
        <w:t>Se consideran parte integrante de la presente ley los Principios de Naciones Unidas para la Protección de los Enfermos Mentales y para el Mejoramiento de la Atención de Salud Mental, adoptado por la Asamblea General en su resolución 46/119 del 17 de diciembre de 1991. Asimismo, la Declaración de Caracas de la Organización Panamericana de la Salud y de la Organización Mundial de la Salud, para la Reestructuración de la Atención Psiquiátrica dentro de los Sistemas Locales de Salud, del 14 de noviembre de 1990, y los Principios de Brasilia Rectores; para el Desarrollo de la Atención en Salud Mental en las Américas, del 9 de noviembre de 1990, se consideran instrumentos de orientación para la planificación de políticas públicas</w:t>
      </w:r>
      <w:r w:rsidRPr="00E72B02">
        <w:t>”.</w:t>
      </w:r>
      <w:r w:rsidRPr="00E72B02">
        <w:rPr>
          <w:rStyle w:val="Refdenotaalpie"/>
          <w:lang w:val="es-ES"/>
        </w:rPr>
        <w:footnoteReference w:id="815"/>
      </w:r>
      <w:r w:rsidRPr="00E72B02">
        <w:t xml:space="preserve"> A pesar de que </w:t>
      </w:r>
      <w:r w:rsidRPr="00E72B02">
        <w:lastRenderedPageBreak/>
        <w:t>el Estado Argentino había ratificado e incorporado en el derecho interno la CDPD, la misma no figura en el listado del artículo 2, ni tampoco se encuentra reflejada en sus aspectos fundamentales a lo largo de sus disposiciones. Otras reformas legislativas similares en Perú</w:t>
      </w:r>
      <w:r w:rsidRPr="00E72B02">
        <w:rPr>
          <w:rStyle w:val="Refdenotaalpie"/>
          <w:lang w:val="es-ES"/>
        </w:rPr>
        <w:footnoteReference w:id="816"/>
      </w:r>
      <w:r w:rsidRPr="00E72B02">
        <w:t xml:space="preserve"> y en Colombia,</w:t>
      </w:r>
      <w:r w:rsidRPr="00E72B02">
        <w:rPr>
          <w:rStyle w:val="Refdenotaalpie"/>
          <w:lang w:val="es-ES"/>
        </w:rPr>
        <w:footnoteReference w:id="817"/>
      </w:r>
      <w:r w:rsidRPr="00E72B02">
        <w:t xml:space="preserve"> demuestran una tendencia de práctica estatal en este sentido. Otro ejemplo, y fuera del ámbito del artículo 12, la inmensa mayoría de los miembros de la comunidad internacional han incorporado como marco de referencia internacional la Clasificación Internacional del Funcionamiento, la Discapacidad y la Salud (CIFDS) –CIF-2001 de la OMS, sin reparar en que dicha norma no vinculante puede resultar contradictoria en ciertos aspectos con lo señalado por la CDPD, en especial en los artículo 1 y 2.</w:t>
      </w:r>
      <w:r w:rsidRPr="00E72B02">
        <w:rPr>
          <w:rStyle w:val="Refdenotaalpie"/>
          <w:lang w:val="es-ES"/>
        </w:rPr>
        <w:footnoteReference w:id="818"/>
      </w:r>
    </w:p>
    <w:p w:rsidR="00485F4C" w:rsidRPr="00E72B02" w:rsidRDefault="00485F4C" w:rsidP="004551E9"/>
    <w:p w:rsidR="00485F4C" w:rsidRPr="00E72B02" w:rsidRDefault="00485F4C" w:rsidP="00D579F5">
      <w:pPr>
        <w:pStyle w:val="TTULO13"/>
      </w:pPr>
      <w:r w:rsidRPr="00E72B02">
        <w:t>6.2.3 Conflicto entre la CDPD y las normas consuetudinarias</w:t>
      </w:r>
    </w:p>
    <w:p w:rsidR="00485F4C" w:rsidRPr="00E72B02" w:rsidRDefault="00485F4C" w:rsidP="004551E9"/>
    <w:p w:rsidR="00485F4C" w:rsidRPr="00E72B02" w:rsidRDefault="00485F4C" w:rsidP="004551E9">
      <w:r w:rsidRPr="00E72B02">
        <w:t xml:space="preserve">Como expresa el profesor </w:t>
      </w:r>
      <w:r w:rsidRPr="00E72B02">
        <w:rPr>
          <w:caps/>
        </w:rPr>
        <w:t>Mariño</w:t>
      </w:r>
      <w:r w:rsidRPr="00E72B02">
        <w:t>, al momento de analizar las relaciones entre costumbres y tratados internacionales es preciso tener presente que “</w:t>
      </w:r>
      <w:r w:rsidRPr="00E72B02">
        <w:rPr>
          <w:i/>
        </w:rPr>
        <w:t>la fuerza vinculante de ambas fuentes es idéntica y no depende de la otra, es decir, es autónoma. Por lo tanto, una costumbre puede modificar o derogar un tratado y viceversa</w:t>
      </w:r>
      <w:r w:rsidRPr="00E72B02">
        <w:t>”</w:t>
      </w:r>
      <w:r w:rsidRPr="00E72B02">
        <w:rPr>
          <w:rStyle w:val="Refdenotaalpie"/>
        </w:rPr>
        <w:footnoteReference w:id="819"/>
      </w:r>
      <w:r w:rsidRPr="00E72B02">
        <w:t xml:space="preserve">.  La jurisprudencia internacional </w:t>
      </w:r>
      <w:r w:rsidR="00C0749C">
        <w:t>h</w:t>
      </w:r>
      <w:r w:rsidRPr="00E72B02">
        <w:t xml:space="preserve">a aclarado en </w:t>
      </w:r>
      <w:r w:rsidRPr="00E72B02">
        <w:lastRenderedPageBreak/>
        <w:t>varias ocasiones que la norma consuetudinaria y la convencional son autónomas y, por tanto, coexistentes, incluso en caso de colisión de las mismas. Esto se explica principalmente por el ámbito espacial de aplicación de una y otra fuente normativa. Mientras la costumbre tiene por esencia (salvo casos de costumbre regionales) una aplicación</w:t>
      </w:r>
      <w:r w:rsidR="00C0749C">
        <w:t xml:space="preserve"> general y, en materia de derechos humanos en particular con carácter de</w:t>
      </w:r>
      <w:r w:rsidRPr="00E72B02">
        <w:t xml:space="preserve"> </w:t>
      </w:r>
      <w:r w:rsidRPr="00E72B02">
        <w:rPr>
          <w:i/>
        </w:rPr>
        <w:t>erga omnes</w:t>
      </w:r>
      <w:r w:rsidRPr="00E72B02">
        <w:t>, es decir a todos los sujetos del derecho internacional, el tratado sólo se aplica respecto de aquellos estados que han manifestado su consentimiento para obligarse por el mismo. No obstante, en la medida en que se verifique la existencia de un norma internacional convencional que se contraría con otra igual de carácter consuetudinario, en la práctica supondrá, muy probablemente, que se inicie una especie de pulseada entre ambas donde, a la larga, la norma convencional sea interpretada a la luz de la costumbre internacional, o bien la norma internacional genere un nuevo derecho consuetudinario de contenido correspondiente al convencional. Sin perjuicio de lo señalado, la existencia de ambas normas en un caso concreto, y que resulten igualmente vinculantes para las partes, requerirá el uso de las técnicas normativas para resolver las contradicciones entre normas internacionales que se analizarán en el punto siguiente.</w:t>
      </w:r>
    </w:p>
    <w:p w:rsidR="00485F4C" w:rsidRPr="00E72B02" w:rsidRDefault="00485F4C" w:rsidP="004551E9">
      <w:r w:rsidRPr="00E72B02">
        <w:t>Sin perjuicio de ello, como ha señalado el TIJ en la causa de Nicaragua, “en general, como las normas convencionales son lex specialis, no sería apropiado que un Estado entablara una reclamación fundado en una norma de derecho consuetudinario si, en virtud de un tratado, ya ha establecido arbitrios para el arreglo de esa reclamación”.</w:t>
      </w:r>
      <w:r w:rsidRPr="00E72B02">
        <w:rPr>
          <w:rStyle w:val="Refdenotaalpie"/>
          <w:lang w:val="es-ES"/>
        </w:rPr>
        <w:footnoteReference w:id="820"/>
      </w:r>
      <w:r w:rsidRPr="00E72B02">
        <w:t xml:space="preserve"> Con lo cual, aunque se demostrara la existencia de una norma consuetudinaria en contrario con lo </w:t>
      </w:r>
      <w:r w:rsidRPr="00E72B02">
        <w:lastRenderedPageBreak/>
        <w:t xml:space="preserve">estipulado por la CDPD, en la medida en que el Estado en cuestión haya ratificado el tratado que impone obligaciones precisas y específicas, las mismas deben prevalecer sobre la norma consuetudinaria. Diferente resulta el caso para aquellos miembros de la comunidad internacional que no hayan ratificado el tratado, o que lo hayan hecho emitiendo una reserva o declaración interpretativa. Este último caso se analizará específicamente más adelante. </w:t>
      </w:r>
    </w:p>
    <w:p w:rsidR="00485F4C" w:rsidRPr="00E72B02" w:rsidRDefault="00485F4C" w:rsidP="004551E9"/>
    <w:p w:rsidR="00485F4C" w:rsidRPr="00E72B02" w:rsidRDefault="00485F4C" w:rsidP="00D579F5">
      <w:pPr>
        <w:pStyle w:val="TTULO13"/>
      </w:pPr>
      <w:r w:rsidRPr="00E72B02">
        <w:t>6.2.4 Conflicto entre la CDPD y otras fuentes convencionales</w:t>
      </w:r>
    </w:p>
    <w:p w:rsidR="00485F4C" w:rsidRPr="00E72B02" w:rsidRDefault="00485F4C" w:rsidP="004551E9"/>
    <w:p w:rsidR="00485F4C" w:rsidRPr="00E72B02" w:rsidRDefault="00485F4C" w:rsidP="004551E9">
      <w:r w:rsidRPr="00E72B02">
        <w:t xml:space="preserve">Las técnicas normativas para resolver las contradicciones entre normas, como destaca el </w:t>
      </w:r>
      <w:r w:rsidR="00C0749C">
        <w:t xml:space="preserve">profesor </w:t>
      </w:r>
      <w:r w:rsidRPr="00E72B02">
        <w:rPr>
          <w:caps/>
        </w:rPr>
        <w:t>Mariño</w:t>
      </w:r>
      <w:r w:rsidRPr="00E72B02">
        <w:t xml:space="preserve">, consisten fundamentalmente en tres principios, estos es, </w:t>
      </w:r>
      <w:r w:rsidRPr="00E72B02">
        <w:rPr>
          <w:i/>
        </w:rPr>
        <w:t>lex superior derogat inferiori</w:t>
      </w:r>
      <w:r w:rsidRPr="00E72B02">
        <w:t xml:space="preserve">, </w:t>
      </w:r>
      <w:r w:rsidRPr="00E72B02">
        <w:rPr>
          <w:i/>
        </w:rPr>
        <w:t>lex posterior derogat priori</w:t>
      </w:r>
      <w:r w:rsidRPr="00E72B02">
        <w:t xml:space="preserve">, y   </w:t>
      </w:r>
      <w:r w:rsidRPr="00E72B02">
        <w:rPr>
          <w:i/>
        </w:rPr>
        <w:t>lex specialis derogat generali</w:t>
      </w:r>
      <w:r w:rsidRPr="00E72B02">
        <w:t>. Aunque estas técnicas coinciden con las aplicables en los ordenamientos domésticos, “</w:t>
      </w:r>
      <w:r w:rsidRPr="00E72B02">
        <w:rPr>
          <w:i/>
        </w:rPr>
        <w:t>está claro que plantean dificultades muy específicas para aplicar tales principios a la solución de las contradicciones entre normas de Derecho Internacional</w:t>
      </w:r>
      <w:r w:rsidRPr="00E72B02">
        <w:t>”</w:t>
      </w:r>
      <w:r w:rsidRPr="00E72B02">
        <w:rPr>
          <w:rStyle w:val="Refdenotaalpie"/>
        </w:rPr>
        <w:footnoteReference w:id="821"/>
      </w:r>
      <w:r w:rsidRPr="00E72B02">
        <w:t>.</w:t>
      </w:r>
    </w:p>
    <w:p w:rsidR="00485F4C" w:rsidRPr="00E72B02" w:rsidRDefault="00485F4C" w:rsidP="004551E9">
      <w:r w:rsidRPr="00E72B02">
        <w:t xml:space="preserve">También señala </w:t>
      </w:r>
      <w:r w:rsidRPr="00E72B02">
        <w:rPr>
          <w:caps/>
        </w:rPr>
        <w:t>Mariño</w:t>
      </w:r>
      <w:r w:rsidRPr="00E72B02">
        <w:t xml:space="preserve">, que “dada su estructura básica, no existe en la Comunidad Internacional un poder constituyente capaz de dar forma jurídica específica a una Constitución formal del orden jurídico internacional... así como la sociedad internacional es una forma social no integrada, así el ordenamiento jurídico internacional tampoco ha organizado de modo autónomo las funciones generales de gobierno propias de todo orden jurídico: las de creación de normas, aplicación judicial y realización </w:t>
      </w:r>
      <w:r w:rsidRPr="00E72B02">
        <w:lastRenderedPageBreak/>
        <w:t>coercitiva”</w:t>
      </w:r>
      <w:r w:rsidRPr="00E72B02">
        <w:rPr>
          <w:rStyle w:val="Refdenotaalpie"/>
          <w:sz w:val="20"/>
          <w:szCs w:val="20"/>
        </w:rPr>
        <w:footnoteReference w:id="822"/>
      </w:r>
      <w:r w:rsidRPr="00E72B02">
        <w:t>. Como consecuencia de ello, el derecho internacional se ha convertido un sistema fragmentado tanto a nivel institucional, como a nivel sustantivo.</w:t>
      </w:r>
      <w:r w:rsidRPr="00E72B02">
        <w:rPr>
          <w:rStyle w:val="Refdenotaalpie"/>
          <w:lang w:val="es-ES"/>
        </w:rPr>
        <w:footnoteReference w:id="823"/>
      </w:r>
    </w:p>
    <w:p w:rsidR="00485F4C" w:rsidRPr="00E72B02" w:rsidRDefault="00485F4C" w:rsidP="004551E9">
      <w:r w:rsidRPr="00E72B02">
        <w:t>El fenómeno de la fragmentación del derecho internacional ha sido intensamente abordado por parte de la Comisión de Derecho Internacional de la ONU (CDI) desde 2002 a 2006, lo que se saldó con una serie de conclusiones</w:t>
      </w:r>
      <w:r w:rsidRPr="00E72B02">
        <w:rPr>
          <w:rStyle w:val="Refdenotaalpie"/>
          <w:lang w:val="es-ES"/>
        </w:rPr>
        <w:footnoteReference w:id="824"/>
      </w:r>
      <w:r w:rsidRPr="00E72B02">
        <w:t xml:space="preserve"> y un estudio analítico</w:t>
      </w:r>
      <w:r w:rsidRPr="00E72B02">
        <w:rPr>
          <w:rStyle w:val="Refdenotaalpie"/>
          <w:lang w:val="es-ES"/>
        </w:rPr>
        <w:footnoteReference w:id="825"/>
      </w:r>
      <w:r w:rsidRPr="00E72B02">
        <w:t xml:space="preserve"> sobre “</w:t>
      </w:r>
      <w:r w:rsidRPr="00E72B02">
        <w:rPr>
          <w:i/>
        </w:rPr>
        <w:t>Fragmentación del derecho internacional: dificultades derivadas de la diversificación y expansión del derecho internacional</w:t>
      </w:r>
      <w:r w:rsidRPr="00E72B02">
        <w:t xml:space="preserve">”. </w:t>
      </w:r>
    </w:p>
    <w:p w:rsidR="00485F4C" w:rsidRPr="00E72B02" w:rsidRDefault="00485F4C" w:rsidP="004551E9">
      <w:r w:rsidRPr="00E72B02">
        <w:t>La noción de fragmentación parece presuponer, erróneamente, que en algún momento el derecho internacional fue un cuerpo uniforme de normas y que posteriormente se fragmentó. Lo cierto es que el derecho internacional ha sido siempre un cuerpo amorfo de complicadas e cambiantes interrelaciones y obligaciones.</w:t>
      </w:r>
      <w:r w:rsidRPr="00E72B02">
        <w:rPr>
          <w:rStyle w:val="Refdenotaalpie"/>
        </w:rPr>
        <w:footnoteReference w:id="826"/>
      </w:r>
      <w:r w:rsidRPr="00E72B02">
        <w:t xml:space="preserve"> Lo que ha cambiado considerablemente en este sentido, ha sido la gran proliferación de subsistemas dentro del derecho internacional con normas o complejos de normas, instituciones jurídicas o esferas de práctica jurídica especializados y (relativamente) autónomos, y en áreas tan diversas como el medio ambiente, el comercio internacional, los derechos humanos o el derecho comunitario. Consecuentemente, el inevitable </w:t>
      </w:r>
      <w:r w:rsidRPr="00E72B02">
        <w:lastRenderedPageBreak/>
        <w:t>conflicto y la superposición normativa entre subsistemas, tanto en el aspecto competencial, como en el aspecto sustantivo, ha generado la necesidad de consensuar un criterio o método de jerarquía normativa que permita una lectura comprensiva y sistemática del ordenamiento jurídico internacional.</w:t>
      </w:r>
    </w:p>
    <w:p w:rsidR="00485F4C" w:rsidRPr="00E72B02" w:rsidRDefault="00485F4C" w:rsidP="004551E9">
      <w:r w:rsidRPr="00E72B02">
        <w:t>Aunque son ya muy numerosos, los estudios sobre fragmentación suelen hacer hincapié en los cuatro subsistemas que más han evolucionado en los últimos años como verdaderas especializaciones del derecho internacional. Esto es, el derecho internacional del comercio (nucleado principalmente por la Organización Mundial del Comercio OMC), el derecho ambiental (con escasas fuentes vinculantes e instituciones formales), el derecho comunitario (en especial por su grado de evolución la Unión Europea), y el derecho internacional de los derechos humanos (que a su vez se distingue y relaciones íntimamente con el derecho internacional humanitario y con el derecho penal internacional).</w:t>
      </w:r>
    </w:p>
    <w:p w:rsidR="00485F4C" w:rsidRPr="00E72B02" w:rsidRDefault="00485F4C" w:rsidP="004551E9">
      <w:r w:rsidRPr="00E72B02">
        <w:t xml:space="preserve">Según la CDI, al aplicar el derecho internacional, muchas veces resulta necesario determinar la relación precisa entre dos o más normas o principios que son igualmente válidos y aplicables en relación con una situación. A dichos efectos, las relaciones emergentes pueden quedar comprendidas entre dos categorías generales: </w:t>
      </w:r>
    </w:p>
    <w:p w:rsidR="00485F4C" w:rsidRPr="00E72B02" w:rsidRDefault="00485F4C" w:rsidP="004551E9">
      <w:r w:rsidRPr="00E72B02">
        <w:rPr>
          <w:i/>
        </w:rPr>
        <w:t>Relaciones de interpretación:</w:t>
      </w:r>
      <w:r w:rsidRPr="00E72B02">
        <w:t xml:space="preserve"> Este es el caso donde una norma asista en la interpretación de otra norma, y ello ocurriría, por ejemplo,</w:t>
      </w:r>
      <w:r w:rsidR="00E970E8" w:rsidRPr="00E72B02">
        <w:t>cuando</w:t>
      </w:r>
      <w:r w:rsidRPr="00E72B02">
        <w:t xml:space="preserve"> la norma posterior permita la aplicación, clarificación, actualización, o modificación de la anterior. En dichos casos ambas normas se aplican de forma conjunta.</w:t>
      </w:r>
    </w:p>
    <w:p w:rsidR="00485F4C" w:rsidRPr="00E72B02" w:rsidRDefault="00485F4C" w:rsidP="004551E9">
      <w:r w:rsidRPr="00E72B02">
        <w:rPr>
          <w:i/>
        </w:rPr>
        <w:t>Relaciones de conflicto</w:t>
      </w:r>
      <w:r w:rsidRPr="00E72B02">
        <w:t>: Este es el caso donde dos normas son igualmente válidas y aplicables pero que apunta</w:t>
      </w:r>
      <w:r w:rsidR="00E970E8" w:rsidRPr="00E72B02">
        <w:t>n</w:t>
      </w:r>
      <w:r w:rsidRPr="00E72B02">
        <w:t xml:space="preserve"> hacia decisiones incompatibles, de modo tal, que es necesario escoger entre una o la otra. Las normas básicas </w:t>
      </w:r>
      <w:r w:rsidRPr="00E72B02">
        <w:lastRenderedPageBreak/>
        <w:t>concernientes a la resolución normativa de conflictos pueden encontrarse en la CVDT.</w:t>
      </w:r>
      <w:r w:rsidRPr="00E72B02">
        <w:rPr>
          <w:rStyle w:val="Refdenotaalpie"/>
          <w:lang w:val="es-ES"/>
        </w:rPr>
        <w:footnoteReference w:id="827"/>
      </w:r>
    </w:p>
    <w:p w:rsidR="00485F4C" w:rsidRPr="00E72B02" w:rsidRDefault="00485F4C" w:rsidP="004551E9">
      <w:r w:rsidRPr="00E72B02">
        <w:t>La coexistencia entre la CDPD y por ejemplo la CIAEFDPD o el COBDH hacen presuponer la existencia de relaciones de interpretación y relaciones de conflicto. En cuanto a lo primero, la mayoría de las disposiciones de la CIAEFDPD o del COBDH pueden ser complementadas y aplicadas a la luz de la CDPD, pero incluso algunas disposiciones de la CIAEFDPD o del COBDH pueden servir de base para ampliar la interpretación de la CDPD.</w:t>
      </w:r>
      <w:r w:rsidRPr="00E72B02">
        <w:rPr>
          <w:rStyle w:val="Refdenotaalpie"/>
          <w:lang w:val="es-ES"/>
        </w:rPr>
        <w:footnoteReference w:id="828"/>
      </w:r>
      <w:r w:rsidRPr="00E72B02">
        <w:t xml:space="preserve"> En cuanto a las relaciones de conflicto, como se ha señalado más arriba, existe</w:t>
      </w:r>
      <w:r w:rsidR="00104EED">
        <w:t>n</w:t>
      </w:r>
      <w:r w:rsidRPr="00E72B02">
        <w:t xml:space="preserve"> disposiciones tanto de la CIAEFDPD como del COBDH que resultan en conflicto con lo señalado por la CDPD. Y como señala la CDI, “</w:t>
      </w:r>
      <w:r w:rsidRPr="00E72B02">
        <w:rPr>
          <w:i/>
        </w:rPr>
        <w:t>existe conflicto si para una parte en los tratados sólo resulta posible cumplir con una norma dejando de cumplir con otra norma</w:t>
      </w:r>
      <w:r w:rsidRPr="00E72B02">
        <w:t>”. Claramente las obligaciones impuestas por el artículo 12 de la CDPD y aquellas impuestas por el artículo 1(2) de la CIAEFDPD o los artículos 6, 7 y 8 del COBDH, solo pueden cumplirse si se deja de lado alguna de ellas. Por ello, la pregunta clave es ¿Cómo resolver esta relación de conflicto?</w:t>
      </w:r>
    </w:p>
    <w:p w:rsidR="00485F4C" w:rsidRPr="00E72B02" w:rsidRDefault="00485F4C" w:rsidP="004551E9"/>
    <w:p w:rsidR="00485F4C" w:rsidRPr="00A10C11" w:rsidRDefault="00485F4C" w:rsidP="00D579F5">
      <w:pPr>
        <w:pStyle w:val="Ttulo130"/>
        <w:rPr>
          <w:b/>
        </w:rPr>
      </w:pPr>
      <w:r w:rsidRPr="00A10C11">
        <w:rPr>
          <w:b/>
        </w:rPr>
        <w:t xml:space="preserve">6.2.4.1 Criterio de </w:t>
      </w:r>
      <w:r w:rsidRPr="00A10C11">
        <w:rPr>
          <w:b/>
          <w:i/>
        </w:rPr>
        <w:t>lex superior</w:t>
      </w:r>
    </w:p>
    <w:p w:rsidR="00485F4C" w:rsidRPr="00E72B02" w:rsidRDefault="00485F4C" w:rsidP="004551E9"/>
    <w:p w:rsidR="00485F4C" w:rsidRPr="00E72B02" w:rsidRDefault="00485F4C" w:rsidP="004551E9">
      <w:r w:rsidRPr="00E72B02">
        <w:t xml:space="preserve">A diferencia de lo que ocurre en los ordenamientos jurídicos internos, en los cuales se suelen establecer rangos de jerarquía muy claros, y donde incluso </w:t>
      </w:r>
      <w:r w:rsidRPr="00E72B02">
        <w:lastRenderedPageBreak/>
        <w:t xml:space="preserve">existen mecanismos específicos de control de dicha jerarquía (generalmente denominado “control de constitucionalidad”), en el derecho internacional, el criterio de </w:t>
      </w:r>
      <w:r w:rsidRPr="00E72B02">
        <w:rPr>
          <w:i/>
        </w:rPr>
        <w:t>lex superior</w:t>
      </w:r>
      <w:r w:rsidRPr="00E72B02">
        <w:t xml:space="preserve"> raramente sirve para resolver conflictos entre normas vinculantes. Ello no supone que no existan criterios de jerarquización de las normas internacionales, pero los mismos se deducen solamente a dos, esto es, el carácter </w:t>
      </w:r>
      <w:r w:rsidRPr="00E72B02">
        <w:rPr>
          <w:i/>
        </w:rPr>
        <w:t>jus cogens</w:t>
      </w:r>
      <w:r w:rsidRPr="00E72B02">
        <w:t xml:space="preserve"> de ciertas normas internacionales, y el criterio establecido por el artículo 103 de la Carta de la ONU.</w:t>
      </w:r>
      <w:r w:rsidRPr="00E72B02">
        <w:rPr>
          <w:rStyle w:val="Refdenotaalpie"/>
          <w:lang w:val="es-ES"/>
        </w:rPr>
        <w:t xml:space="preserve"> </w:t>
      </w:r>
      <w:r w:rsidRPr="00E72B02">
        <w:rPr>
          <w:rStyle w:val="Refdenotaalpie"/>
        </w:rPr>
        <w:footnoteReference w:id="829"/>
      </w:r>
      <w:r w:rsidRPr="00E72B02">
        <w:t xml:space="preserve"> En el caso bajo análisis, este criterio no permite resolver el aparente conflicto, en tanto que ninguna de las normas señaladas pueden ser caracterizadas como de </w:t>
      </w:r>
      <w:r w:rsidRPr="00E72B02">
        <w:rPr>
          <w:i/>
        </w:rPr>
        <w:t>jus cogens</w:t>
      </w:r>
      <w:r w:rsidRPr="00E72B02">
        <w:t xml:space="preserve">, o de formar parte de las obligaciones asumidas por los miembros de la comunidad internacional en virtud de la Carta de la ONU. Tampoco el carácter regional o universal de las normas en conflicto parece ser un elemento relevante para establecer un criterio de jerarquía normativa entre las mismas. </w:t>
      </w:r>
    </w:p>
    <w:p w:rsidR="00485F4C" w:rsidRPr="00A10C11" w:rsidRDefault="00485F4C" w:rsidP="004551E9">
      <w:pPr>
        <w:rPr>
          <w:b/>
        </w:rPr>
      </w:pPr>
    </w:p>
    <w:p w:rsidR="00485F4C" w:rsidRPr="00A10C11" w:rsidRDefault="00485F4C" w:rsidP="00D579F5">
      <w:pPr>
        <w:pStyle w:val="Ttulo130"/>
        <w:rPr>
          <w:b/>
          <w:i/>
          <w:iCs/>
        </w:rPr>
      </w:pPr>
      <w:r w:rsidRPr="00A10C11">
        <w:rPr>
          <w:b/>
          <w:i/>
          <w:iCs/>
        </w:rPr>
        <w:t>6.2.4.2 Criterio de lex specialis</w:t>
      </w:r>
    </w:p>
    <w:p w:rsidR="00485F4C" w:rsidRPr="00E72B02" w:rsidRDefault="00485F4C" w:rsidP="004551E9"/>
    <w:p w:rsidR="00485F4C" w:rsidRPr="00E72B02" w:rsidRDefault="00485F4C" w:rsidP="004551E9">
      <w:r w:rsidRPr="00E72B02">
        <w:t>El principio de que la ley especial deroga la ley general es una norma ampliamente aceptada de interpretación jurídica y técnica para la solución de los conflictos normativos. Su significado es que si una materia está regulada por una norma general y por una norma más específica, esta última debe prevalecer sobre la primera.</w:t>
      </w:r>
      <w:r w:rsidRPr="00E72B02">
        <w:rPr>
          <w:rStyle w:val="Refdenotaalpie"/>
        </w:rPr>
        <w:footnoteReference w:id="830"/>
      </w:r>
      <w:r w:rsidRPr="00E72B02">
        <w:t xml:space="preserve"> A su vez, la especialidad puede venir dada por la materia o por los sujetos destinatarios. </w:t>
      </w:r>
    </w:p>
    <w:p w:rsidR="00485F4C" w:rsidRPr="00E72B02" w:rsidRDefault="00485F4C" w:rsidP="004551E9">
      <w:r w:rsidRPr="00E72B02">
        <w:t xml:space="preserve">En el caso específico bajo análisis, el criterio de </w:t>
      </w:r>
      <w:r w:rsidRPr="00E72B02">
        <w:rPr>
          <w:i/>
        </w:rPr>
        <w:t>lex specialis</w:t>
      </w:r>
      <w:r w:rsidRPr="00E72B02">
        <w:t xml:space="preserve"> no brinda, </w:t>
      </w:r>
      <w:r w:rsidRPr="00E72B02">
        <w:rPr>
          <w:i/>
        </w:rPr>
        <w:t>prima facie</w:t>
      </w:r>
      <w:r w:rsidRPr="00E72B02">
        <w:t xml:space="preserve">, respuestas satisfactorias en cuando a cómo resolver las </w:t>
      </w:r>
      <w:r w:rsidRPr="00E72B02">
        <w:lastRenderedPageBreak/>
        <w:t>relaciones de conflicto normativo. Y ello en tanto que dichas normas, forman parte de un mismo subsistema</w:t>
      </w:r>
      <w:r w:rsidRPr="00E72B02">
        <w:rPr>
          <w:rStyle w:val="Refdenotaalpie"/>
          <w:lang w:val="es-ES"/>
        </w:rPr>
        <w:footnoteReference w:id="831"/>
      </w:r>
      <w:r w:rsidRPr="00E72B02">
        <w:t xml:space="preserve"> (el derecho internacional de los derechos humanos), y tienen como destinatarios a los mismos sujetos (personas con discapacidad). Con lo cual, en rigor, las relaciones de conflicto entre la CDPD y la CIEFDPD y el COBDH no se podrían enmarcar en una relación de ley general, versus ley especial. Adicionalmente, no pareciera correcto atribuir un carácter general a una norma de aplicación universal, o un carácter especial a una norma de aplicación regional. Y por último, tampoco nos encontramos ante un conflicto de normas cuya especialidad pueda diferenciarse por su carácter de norma primaria o secundaria, ya que todas ellas, pertenecer a la primera categoría. </w:t>
      </w:r>
    </w:p>
    <w:p w:rsidR="00485F4C" w:rsidRPr="00E72B02" w:rsidRDefault="00485F4C" w:rsidP="004551E9"/>
    <w:p w:rsidR="00485F4C" w:rsidRPr="00C624E8" w:rsidRDefault="00485F4C" w:rsidP="00D579F5">
      <w:pPr>
        <w:pStyle w:val="Ttulo130"/>
        <w:rPr>
          <w:b/>
          <w:i/>
          <w:iCs/>
        </w:rPr>
      </w:pPr>
      <w:r w:rsidRPr="00C624E8">
        <w:rPr>
          <w:b/>
          <w:i/>
          <w:iCs/>
        </w:rPr>
        <w:t xml:space="preserve">6.2.4.3 El criterio de lex posterior </w:t>
      </w:r>
    </w:p>
    <w:p w:rsidR="00485F4C" w:rsidRPr="00E72B02" w:rsidRDefault="00485F4C" w:rsidP="004551E9"/>
    <w:p w:rsidR="00485F4C" w:rsidRPr="00E72B02" w:rsidRDefault="00485F4C" w:rsidP="004551E9">
      <w:r w:rsidRPr="00E72B02">
        <w:t xml:space="preserve">El criterio de </w:t>
      </w:r>
      <w:r w:rsidRPr="00E72B02">
        <w:rPr>
          <w:i/>
        </w:rPr>
        <w:t>lex posterior derogat priori</w:t>
      </w:r>
      <w:r w:rsidRPr="00E72B02">
        <w:rPr>
          <w:rStyle w:val="Refdenotaalpie"/>
        </w:rPr>
        <w:footnoteReference w:id="832"/>
      </w:r>
      <w:r w:rsidRPr="00E72B02">
        <w:t xml:space="preserve"> también se encuentra plenamente arraigado en los ordenamientos jurídicos nacionales. A pesar de ello, y que se su naturaleza pareciera indicar una suerte de función de derogación automática de normas </w:t>
      </w:r>
      <w:r w:rsidRPr="00E72B02">
        <w:rPr>
          <w:i/>
        </w:rPr>
        <w:t>ipso facto</w:t>
      </w:r>
      <w:r w:rsidRPr="00E72B02">
        <w:t xml:space="preserve"> mediante la entrada en vigor de una nueva norma, lo cierto es que, la práctica legislativa doméstica suele utilizar el recurso de la derogación expresa. Es decir, las normas sucesivas suelen indicar con un cierto grado de certeza aquellas normas que quedan automáticamente derogadas por la vigencia de una nueva. Y ello debido a </w:t>
      </w:r>
      <w:r w:rsidRPr="00E72B02">
        <w:lastRenderedPageBreak/>
        <w:t xml:space="preserve">que no siempre es sencillo determinar cuándo una nueva norma resulta aplicable sobre los mismos supuestos jurídicos que la anterior.  </w:t>
      </w:r>
    </w:p>
    <w:p w:rsidR="00485F4C" w:rsidRPr="00E72B02" w:rsidRDefault="00485F4C" w:rsidP="004551E9">
      <w:r w:rsidRPr="00E72B02">
        <w:t xml:space="preserve">En el ámbito del derecho internacional, la aplicación del criterio de </w:t>
      </w:r>
      <w:r w:rsidRPr="00E72B02">
        <w:rPr>
          <w:i/>
        </w:rPr>
        <w:t>lex posterior</w:t>
      </w:r>
      <w:r w:rsidR="009515E5" w:rsidRPr="00E72B02">
        <w:t xml:space="preserve"> resulta mucho más complejo</w:t>
      </w:r>
      <w:r w:rsidRPr="00E72B02">
        <w:t xml:space="preserve"> que en el derecho interno, dado que, al no existir un órgano legislativo centra</w:t>
      </w:r>
      <w:r w:rsidR="009515E5" w:rsidRPr="00E72B02">
        <w:t>l</w:t>
      </w:r>
      <w:r w:rsidRPr="00E72B02">
        <w:t xml:space="preserve">, y regirse a cambio por el </w:t>
      </w:r>
      <w:proofErr w:type="spellStart"/>
      <w:r w:rsidRPr="00E72B02">
        <w:rPr>
          <w:i/>
        </w:rPr>
        <w:t>jus</w:t>
      </w:r>
      <w:proofErr w:type="spellEnd"/>
      <w:r w:rsidRPr="00E72B02">
        <w:rPr>
          <w:i/>
        </w:rPr>
        <w:t xml:space="preserve"> </w:t>
      </w:r>
      <w:proofErr w:type="spellStart"/>
      <w:r w:rsidRPr="00E72B02">
        <w:rPr>
          <w:i/>
        </w:rPr>
        <w:t>dispositivum</w:t>
      </w:r>
      <w:proofErr w:type="spellEnd"/>
      <w:r w:rsidRPr="00E72B02">
        <w:t xml:space="preserve">, una norma solo puede quedar expresamente </w:t>
      </w:r>
      <w:proofErr w:type="gramStart"/>
      <w:r w:rsidRPr="00E72B02">
        <w:t>derogada</w:t>
      </w:r>
      <w:proofErr w:type="gramEnd"/>
      <w:r w:rsidRPr="00E72B02">
        <w:t xml:space="preserve"> por la misma voluntad que la ha creado, algo que raramente ocurre. Así la derogación de normas de derecho internacional, es por lo general, una cuestión a determinar frente a un asunto concreto.  </w:t>
      </w:r>
    </w:p>
    <w:p w:rsidR="00485F4C" w:rsidRPr="00E72B02" w:rsidRDefault="00485F4C" w:rsidP="004551E9">
      <w:r w:rsidRPr="00E72B02">
        <w:t xml:space="preserve">Aunque el criterio de </w:t>
      </w:r>
      <w:r w:rsidRPr="00E72B02">
        <w:rPr>
          <w:i/>
        </w:rPr>
        <w:t>lex posterior</w:t>
      </w:r>
      <w:r w:rsidRPr="00E72B02">
        <w:t xml:space="preserve"> resulta aplicable respecto de todo tipo de fuentes normativas, en el presente caso, el derecho internacional nos aporta ciertas pautas precisas sobre cómo resolver los conflictos entre lo que se denomina como “tratados sucesivos”, por imperio de lo establecido en </w:t>
      </w:r>
      <w:r w:rsidR="00104EED">
        <w:t xml:space="preserve">el artículo 30 de </w:t>
      </w:r>
      <w:r w:rsidRPr="00E72B02">
        <w:t>la CVDT.</w:t>
      </w:r>
      <w:r w:rsidR="00104EED">
        <w:rPr>
          <w:rStyle w:val="Refdenotaalpie"/>
          <w:lang w:val="es-ES"/>
        </w:rPr>
        <w:footnoteReference w:id="833"/>
      </w:r>
      <w:r w:rsidRPr="00E72B02">
        <w:t xml:space="preserve">    </w:t>
      </w:r>
    </w:p>
    <w:p w:rsidR="00485F4C" w:rsidRPr="004344AF" w:rsidRDefault="00485F4C" w:rsidP="004551E9">
      <w:r w:rsidRPr="004344AF">
        <w:t xml:space="preserve">Aunque la regla del artículo 30 de la CVDT está pensada para reglar las relaciones entre </w:t>
      </w:r>
      <w:r w:rsidR="004344AF" w:rsidRPr="004344AF">
        <w:t xml:space="preserve">convenios que vinculan simultáneamente a </w:t>
      </w:r>
      <w:r w:rsidRPr="004344AF">
        <w:t xml:space="preserve">dos o más </w:t>
      </w:r>
      <w:r w:rsidRPr="004344AF">
        <w:lastRenderedPageBreak/>
        <w:t xml:space="preserve">Estados de la comunidad internacional, también debería resultar aplicable en las relaciones de cada Estado frente a los individuos. Es decir, en este punto serían de aplicación las normas específicas de derecho internacional que gobiernan al subsistema de derechos humanos. De este modo, los conflictos normativos planteados, es decir, la manifiesta incompatibilidad entre la CDPD y la CIEFDPD o el COBDH en materia de capacidad jurídica, pueden analizarse tanto en relación con las obligaciones recíprocas entre Estados, como en relación con las obligaciones asumidas por cada Estado de forma autónoma frente a las personas bajo su jurisdicción y frente a la comunidad internacional en su conjunto. </w:t>
      </w:r>
    </w:p>
    <w:p w:rsidR="00485F4C" w:rsidRPr="004344AF" w:rsidRDefault="00485F4C" w:rsidP="004551E9">
      <w:r w:rsidRPr="004344AF">
        <w:t xml:space="preserve">En cuanto al primer nivel de análisis, es decir, resolver los conflictos normativos entre dos o más Estados respecto de la regulación de la capacidad jurídica de las personas con discapacidad, habrá que analizar si dichos Estados son Parte de ambos tratados en conflicto, y en caso positivo, la CDPD como tratado sucesivo sobre la misma materia, deben prevalecer por sobre el anterior. </w:t>
      </w:r>
    </w:p>
    <w:p w:rsidR="00485F4C" w:rsidRDefault="00485F4C" w:rsidP="004551E9">
      <w:r w:rsidRPr="004344AF">
        <w:t xml:space="preserve">En cuanto al segundo nivel de análisis, es decir, resolver los conflictos normativos emergentes para un Estado individual que ha suscripto ambos tratados, el criterio de </w:t>
      </w:r>
      <w:r w:rsidRPr="004344AF">
        <w:rPr>
          <w:i/>
        </w:rPr>
        <w:t>lex posterior</w:t>
      </w:r>
      <w:r w:rsidRPr="004344AF">
        <w:t xml:space="preserve"> resuelve claramente el conflicto en beneficio de la CDPD.</w:t>
      </w:r>
      <w:r w:rsidRPr="00E72B02">
        <w:t xml:space="preserve"> </w:t>
      </w:r>
    </w:p>
    <w:p w:rsidR="00CC551D" w:rsidRPr="00E72B02" w:rsidRDefault="00CC551D" w:rsidP="004551E9">
      <w:r>
        <w:t xml:space="preserve">Por último, es preciso señalar que la CDPD recoge una clausula especial en el artículo 4(4) que otorga </w:t>
      </w:r>
      <w:r w:rsidRPr="00CC551D">
        <w:t xml:space="preserve">prevalencia a las disposiciones de </w:t>
      </w:r>
      <w:r>
        <w:t xml:space="preserve">dicho </w:t>
      </w:r>
      <w:r w:rsidRPr="00CC551D">
        <w:t>sobre las de cualquier otro instrumento jurídico (interno o internacional) que sea más restrictivo</w:t>
      </w:r>
      <w:r>
        <w:t xml:space="preserve">. Con lo cual, en caso de adoptarse un tratado posterior, sea regional o universal, el criterio de </w:t>
      </w:r>
      <w:r w:rsidRPr="00CC551D">
        <w:rPr>
          <w:i/>
        </w:rPr>
        <w:t>lex posterior</w:t>
      </w:r>
      <w:r>
        <w:t xml:space="preserve"> pierde valor interpretativo en detrimento del criterio de pro-persona. </w:t>
      </w:r>
    </w:p>
    <w:p w:rsidR="00485F4C" w:rsidRPr="00E72B02" w:rsidRDefault="00485F4C" w:rsidP="004551E9"/>
    <w:p w:rsidR="00485F4C" w:rsidRPr="00C624E8" w:rsidRDefault="00485F4C" w:rsidP="00D579F5">
      <w:pPr>
        <w:pStyle w:val="Ttulo130"/>
        <w:rPr>
          <w:b/>
          <w:i/>
          <w:iCs/>
        </w:rPr>
      </w:pPr>
      <w:r w:rsidRPr="00C624E8">
        <w:rPr>
          <w:b/>
          <w:i/>
          <w:iCs/>
        </w:rPr>
        <w:t>6.2.4.4 El criterio de interpretación pro-persona</w:t>
      </w:r>
    </w:p>
    <w:p w:rsidR="00485F4C" w:rsidRPr="00E72B02" w:rsidRDefault="00485F4C" w:rsidP="004551E9"/>
    <w:p w:rsidR="00485F4C" w:rsidRPr="00E72B02" w:rsidRDefault="00485F4C" w:rsidP="004551E9">
      <w:r w:rsidRPr="00E72B02">
        <w:lastRenderedPageBreak/>
        <w:t>Aunque no se trata de una regla vigente del derecho internacional general, en el caso en cuestión, al encontrarnos en el marco de un subsistema de derecho internacional especial, es decir, el derecho internacional de los derechos humanos, es necesario traer a consideración la importancia para este ámbito de lo que se conoce como el principio de interpretación, pro-persona. En materia de derechos humanos, y ante el surgimiento de un conflicto de aplicación de normas, es preciso tener en cuenta que se debe siempre optar por aquella interpretación, o solución jurídica que garantice el mayor grado de protección de los derechos humanos del individuo. Como se ha señalado ya,</w:t>
      </w:r>
      <w:r w:rsidRPr="00E72B02">
        <w:rPr>
          <w:rStyle w:val="Refdenotaalpie"/>
          <w:lang w:val="es-ES"/>
        </w:rPr>
        <w:footnoteReference w:id="834"/>
      </w:r>
      <w:r w:rsidRPr="00E72B02">
        <w:t xml:space="preserve"> la propia CDPD en su artículo 4(4) parece introducir marginalmente este criterio de interpretación. </w:t>
      </w:r>
    </w:p>
    <w:p w:rsidR="00485F4C" w:rsidRPr="00E72B02" w:rsidRDefault="00485F4C" w:rsidP="004551E9">
      <w:r w:rsidRPr="00E72B02">
        <w:br w:type="page"/>
      </w:r>
    </w:p>
    <w:p w:rsidR="00485F4C" w:rsidRPr="00C624E8" w:rsidRDefault="00C624E8" w:rsidP="00C624E8">
      <w:pPr>
        <w:pStyle w:val="TITULO13"/>
        <w:jc w:val="both"/>
        <w:rPr>
          <w:sz w:val="24"/>
          <w:szCs w:val="24"/>
        </w:rPr>
      </w:pPr>
      <w:r w:rsidRPr="00C624E8">
        <w:rPr>
          <w:sz w:val="24"/>
          <w:szCs w:val="24"/>
        </w:rPr>
        <w:lastRenderedPageBreak/>
        <w:t xml:space="preserve">6.3 LAS RESERVAS Y DECLARACIONES EN RELACIÓN CON EL ARTÍCULO 12 </w:t>
      </w:r>
    </w:p>
    <w:p w:rsidR="00485F4C" w:rsidRPr="00E72B02" w:rsidRDefault="00485F4C" w:rsidP="004551E9">
      <w:pPr>
        <w:rPr>
          <w:lang w:val="es-ES_tradnl"/>
        </w:rPr>
      </w:pPr>
    </w:p>
    <w:p w:rsidR="00485F4C" w:rsidRPr="00E72B02" w:rsidRDefault="00485F4C" w:rsidP="004551E9">
      <w:pPr>
        <w:rPr>
          <w:lang w:val="es-ES_tradnl"/>
        </w:rPr>
      </w:pPr>
      <w:r w:rsidRPr="00E72B02">
        <w:rPr>
          <w:lang w:val="es-ES_tradnl"/>
        </w:rPr>
        <w:t>Las reservas en materia de tratados internacionales han sido definidas por la CVDT (artículo 2(1</w:t>
      </w:r>
      <w:r w:rsidR="009E4349" w:rsidRPr="00E72B02">
        <w:rPr>
          <w:lang w:val="es-ES_tradnl"/>
        </w:rPr>
        <w:t>) d</w:t>
      </w:r>
      <w:r w:rsidRPr="00E72B02">
        <w:rPr>
          <w:lang w:val="es-ES_tradnl"/>
        </w:rPr>
        <w:t>) como “una declaración unilateral, cualquiera que sea su enunciado o denominación, hecha por un Estado al firmar, ratificar, aceptar o aprobar un tratado o al adherirse a él, con objeto de excluir o modificar los efectos jurídicos de ciertas disposiciones del tratado en su aplicación a ese Estado”.</w:t>
      </w:r>
    </w:p>
    <w:p w:rsidR="00485F4C" w:rsidRPr="00E72B02" w:rsidRDefault="00485F4C" w:rsidP="004551E9">
      <w:pPr>
        <w:rPr>
          <w:lang w:val="es-ES_tradnl"/>
        </w:rPr>
      </w:pPr>
      <w:r w:rsidRPr="00E72B02">
        <w:rPr>
          <w:lang w:val="es-ES_tradnl"/>
        </w:rPr>
        <w:t>A pesar de que las reservas se la engloban dentro de los llamados actos unilaterales de los Estados, como bien señala MARIÑO, “una reserva no es un acto jurídico estricto sensu, porque no produce afectos autónomamente sino en relación con la aceptación u objeción de terceros y en un contexto convencional”.</w:t>
      </w:r>
      <w:r w:rsidRPr="00E72B02">
        <w:rPr>
          <w:rStyle w:val="Refdenotaalpie"/>
          <w:lang w:val="es-ES_tradnl"/>
        </w:rPr>
        <w:footnoteReference w:id="835"/>
      </w:r>
      <w:r w:rsidRPr="00E72B02">
        <w:rPr>
          <w:lang w:val="es-ES_tradnl"/>
        </w:rPr>
        <w:t xml:space="preserve"> Por ello, la formulación de una reserva por parte de un Estado puede generar una multiplicidad de efectos jurídicos diversos, dependiendo del comportamiento de los otros Estados contratantes, y además, del régimen jurídico que eventualmente el propio instrumentos prevea respecto de dichas reservas.  </w:t>
      </w:r>
    </w:p>
    <w:p w:rsidR="00485F4C" w:rsidRPr="00E72B02" w:rsidRDefault="00485F4C" w:rsidP="004551E9">
      <w:pPr>
        <w:rPr>
          <w:lang w:val="es-ES_tradnl"/>
        </w:rPr>
      </w:pPr>
      <w:r w:rsidRPr="00E72B02">
        <w:rPr>
          <w:lang w:val="es-ES_tradnl"/>
        </w:rPr>
        <w:t>Aunque la CVDT no se refiere a ello expresamente, la práctica de los Estados evidencia el uso de una modalidad de reserva que suele llevar el nombre de “</w:t>
      </w:r>
      <w:r w:rsidRPr="00E72B02">
        <w:rPr>
          <w:i/>
          <w:lang w:val="es-ES_tradnl"/>
        </w:rPr>
        <w:t>declaración interpretativa</w:t>
      </w:r>
      <w:r w:rsidRPr="00E72B02">
        <w:rPr>
          <w:lang w:val="es-ES_tradnl"/>
        </w:rPr>
        <w:t>”. Ello ha generado intensos debates en torno a si una declaración interpretativa puedo o no considerarse una reserva. Se asemeja a una reserva en tanto que se admite y utiliza en el marco formal y material aplicable a las reservas, es decir, “</w:t>
      </w:r>
      <w:r w:rsidRPr="00E72B02">
        <w:rPr>
          <w:i/>
          <w:lang w:val="es-ES_tradnl"/>
        </w:rPr>
        <w:t xml:space="preserve">al firmar, ratificar, confirmar formalmente, aceptar o aprobar un tratado o al adherirse a él, o cuando un Estado hace una notificación de sucesión en un </w:t>
      </w:r>
      <w:r w:rsidRPr="00E72B02">
        <w:rPr>
          <w:i/>
          <w:lang w:val="es-ES_tradnl"/>
        </w:rPr>
        <w:lastRenderedPageBreak/>
        <w:t>tratado</w:t>
      </w:r>
      <w:r w:rsidRPr="00E72B02">
        <w:rPr>
          <w:lang w:val="es-ES_tradnl"/>
        </w:rPr>
        <w:t>”, aunque, también se admiten con posterioridad a dicho momento. No obstante la CDI ha precisado el concepto de declaración interpretativa al señalar que a la misma como “</w:t>
      </w:r>
      <w:r w:rsidRPr="00E72B02">
        <w:rPr>
          <w:i/>
          <w:lang w:val="es-ES_tradnl"/>
        </w:rPr>
        <w:t>una declaración unilateral, cualquiera que sea su enunciado o denominación, hecha por un Estado o por una organización internacional con objeto de precisar o aclarar el sentido o el alcance de un tratado o de algunas de sus disposiciones</w:t>
      </w:r>
      <w:r w:rsidRPr="00E72B02">
        <w:rPr>
          <w:lang w:val="es-ES_tradnl"/>
        </w:rPr>
        <w:t>”.</w:t>
      </w:r>
      <w:r w:rsidRPr="00E72B02">
        <w:rPr>
          <w:rStyle w:val="Refdenotaalpie"/>
          <w:lang w:val="es-ES_tradnl"/>
        </w:rPr>
        <w:footnoteReference w:id="836"/>
      </w:r>
      <w:r w:rsidRPr="00E72B02">
        <w:rPr>
          <w:lang w:val="es-ES_tradnl"/>
        </w:rPr>
        <w:t xml:space="preserve"> De este modo, y sin perjuicio de que la práctica demuestra lo complejo que resulta distinguir entre una verdadera reserva y una declaración interpretativa,</w:t>
      </w:r>
      <w:r w:rsidRPr="00E72B02">
        <w:rPr>
          <w:rStyle w:val="Refdenotaalpie"/>
          <w:lang w:val="es-ES_tradnl"/>
        </w:rPr>
        <w:footnoteReference w:id="837"/>
      </w:r>
      <w:r w:rsidRPr="00E72B02">
        <w:rPr>
          <w:lang w:val="es-ES_tradnl"/>
        </w:rPr>
        <w:t xml:space="preserve"> es posible concluir que, la naturaleza jurídica no depende del modo o la denominación que el Estado emisor emplee, </w:t>
      </w:r>
      <w:r w:rsidR="00E970E8" w:rsidRPr="00E72B02">
        <w:rPr>
          <w:lang w:val="es-ES_tradnl"/>
        </w:rPr>
        <w:t xml:space="preserve">sino </w:t>
      </w:r>
      <w:r w:rsidRPr="00E72B02">
        <w:rPr>
          <w:lang w:val="es-ES_tradnl"/>
        </w:rPr>
        <w:t>que la diferencia radica principalmente en el objeto de la misma, la cual en el caso de una reserva pretende “</w:t>
      </w:r>
      <w:r w:rsidRPr="00E72B02">
        <w:rPr>
          <w:i/>
          <w:lang w:val="es-ES_tradnl"/>
        </w:rPr>
        <w:t>excluir o modificar los efectos jurídicos</w:t>
      </w:r>
      <w:r w:rsidRPr="00E72B02">
        <w:rPr>
          <w:lang w:val="es-ES_tradnl"/>
        </w:rPr>
        <w:t>”, y en el caso de una declaración interpretativa pretende “</w:t>
      </w:r>
      <w:r w:rsidRPr="00E72B02">
        <w:rPr>
          <w:i/>
          <w:lang w:val="es-ES_tradnl"/>
        </w:rPr>
        <w:t>precisar o aclarar el sentido o el alcance de un tratado o de algunas de sus disposiciones</w:t>
      </w:r>
      <w:r w:rsidRPr="00E72B02">
        <w:rPr>
          <w:lang w:val="es-ES_tradnl"/>
        </w:rPr>
        <w:t xml:space="preserve">”.    </w:t>
      </w:r>
    </w:p>
    <w:p w:rsidR="00485F4C" w:rsidRPr="00E72B02" w:rsidRDefault="00485F4C" w:rsidP="004551E9">
      <w:pPr>
        <w:rPr>
          <w:lang w:val="es-ES_tradnl"/>
        </w:rPr>
      </w:pPr>
      <w:r w:rsidRPr="00E72B02">
        <w:rPr>
          <w:lang w:val="es-ES_tradnl"/>
        </w:rPr>
        <w:t>Como cualquier tratado de derecho internacional, la CDPD admite reservas lo cual está previsto en el artículo 46. En una fórmula común a instrumentos de derechos humanos, el citado artículo 46 se limita a reiterar la regla de derecho internacional general del artículo 19(c) de la CVDT, esto es, que no “</w:t>
      </w:r>
      <w:r w:rsidRPr="00E72B02">
        <w:rPr>
          <w:i/>
          <w:lang w:val="es-ES_tradnl"/>
        </w:rPr>
        <w:t>se permitirán reservas incompatibles con el objeto y el propósito de la presente Convención</w:t>
      </w:r>
      <w:r w:rsidRPr="00E72B02">
        <w:rPr>
          <w:lang w:val="es-ES_tradnl"/>
        </w:rPr>
        <w:t xml:space="preserve">”, y que </w:t>
      </w:r>
      <w:r w:rsidR="00E970E8" w:rsidRPr="00E72B02">
        <w:rPr>
          <w:lang w:val="es-ES_tradnl"/>
        </w:rPr>
        <w:t xml:space="preserve">la </w:t>
      </w:r>
      <w:r w:rsidRPr="00E72B02">
        <w:rPr>
          <w:lang w:val="es-ES_tradnl"/>
        </w:rPr>
        <w:t>“</w:t>
      </w:r>
      <w:r w:rsidRPr="00E72B02">
        <w:rPr>
          <w:i/>
          <w:lang w:val="es-ES_tradnl"/>
        </w:rPr>
        <w:t>reservas podrán ser retiradas en cualquier momento</w:t>
      </w:r>
      <w:r w:rsidRPr="00E72B02">
        <w:rPr>
          <w:lang w:val="es-ES_tradnl"/>
        </w:rPr>
        <w:t>”.</w:t>
      </w:r>
    </w:p>
    <w:p w:rsidR="00485F4C" w:rsidRPr="00E72B02" w:rsidRDefault="00485F4C" w:rsidP="004551E9">
      <w:pPr>
        <w:rPr>
          <w:lang w:val="es-ES_tradnl"/>
        </w:rPr>
      </w:pPr>
    </w:p>
    <w:p w:rsidR="00485F4C" w:rsidRPr="00E72B02" w:rsidRDefault="00485F4C" w:rsidP="00D579F5">
      <w:pPr>
        <w:pStyle w:val="TTULO13"/>
      </w:pPr>
      <w:r w:rsidRPr="00E72B02">
        <w:lastRenderedPageBreak/>
        <w:t>6.3.1 El régimen jurídico de reservas previstos por la CDPD</w:t>
      </w:r>
    </w:p>
    <w:p w:rsidR="00485F4C" w:rsidRPr="00E72B02" w:rsidRDefault="00485F4C" w:rsidP="004551E9">
      <w:pPr>
        <w:rPr>
          <w:lang w:val="es-ES_tradnl"/>
        </w:rPr>
      </w:pPr>
    </w:p>
    <w:p w:rsidR="00485F4C" w:rsidRPr="00E72B02" w:rsidRDefault="00485F4C" w:rsidP="004551E9">
      <w:pPr>
        <w:rPr>
          <w:lang w:val="es-ES_tradnl"/>
        </w:rPr>
      </w:pPr>
      <w:r w:rsidRPr="00E72B02">
        <w:rPr>
          <w:lang w:val="es-ES_tradnl"/>
        </w:rPr>
        <w:t xml:space="preserve">Aunque las reglas y principios de derecho internacional prevén y permiten que los tratados internacionales incluyan reglas propias sobre el régimen de reservas aplicable a dicho instrumento, la CDPD se ha decantado por una fórmula genérica y restrictiva que no hace más que reiterar lo señalado por el derecho internacional general cuya aplicación resulta supletoria. </w:t>
      </w:r>
    </w:p>
    <w:p w:rsidR="00485F4C" w:rsidRPr="00E72B02" w:rsidRDefault="00485F4C" w:rsidP="004551E9">
      <w:pPr>
        <w:rPr>
          <w:lang w:val="es-ES_tradnl"/>
        </w:rPr>
      </w:pPr>
      <w:r w:rsidRPr="00E72B02">
        <w:rPr>
          <w:lang w:val="es-ES_tradnl"/>
        </w:rPr>
        <w:t xml:space="preserve">A pesar de lo escueto del artículo 46, es posible mediante interpretaciones extraer ciertas conclusiones. </w:t>
      </w:r>
    </w:p>
    <w:p w:rsidR="00485F4C" w:rsidRPr="00E72B02" w:rsidRDefault="00485F4C" w:rsidP="004551E9">
      <w:pPr>
        <w:rPr>
          <w:lang w:val="es-ES_tradnl"/>
        </w:rPr>
      </w:pPr>
      <w:r w:rsidRPr="00E72B02">
        <w:rPr>
          <w:lang w:val="es-ES_tradnl"/>
        </w:rPr>
        <w:t xml:space="preserve">En primer lugar, implícitamente el inciso 1 del artículo 46 está aceptando que se admiten reservas, o quizás lo correcto sería decir, que a </w:t>
      </w:r>
      <w:r w:rsidRPr="00E72B02">
        <w:rPr>
          <w:i/>
          <w:lang w:val="es-ES_tradnl"/>
        </w:rPr>
        <w:t>contrario sensu</w:t>
      </w:r>
      <w:r w:rsidRPr="00E72B02">
        <w:rPr>
          <w:lang w:val="es-ES_tradnl"/>
        </w:rPr>
        <w:t xml:space="preserve">, el artículo 46(1) no está prohibiendo las reservas como lo señala el artículo 19(a) de la CVDT. </w:t>
      </w:r>
    </w:p>
    <w:p w:rsidR="00485F4C" w:rsidRPr="00E72B02" w:rsidRDefault="00485F4C" w:rsidP="004551E9">
      <w:pPr>
        <w:rPr>
          <w:lang w:val="es-ES_tradnl"/>
        </w:rPr>
      </w:pPr>
      <w:r w:rsidRPr="00E72B02">
        <w:rPr>
          <w:lang w:val="es-ES_tradnl"/>
        </w:rPr>
        <w:t xml:space="preserve">En segundo lugar, que el silencio del artículo 46 debe interpretarse como que la CDPD no restringe el uso de las reservas, o quizás lo correcto sería decir, no establece que sólo se puedan hacer ciertos tipos de reservas como lo señala el artículo 19(b) de la CVDT. </w:t>
      </w:r>
    </w:p>
    <w:p w:rsidR="00485F4C" w:rsidRPr="00E72B02" w:rsidRDefault="00485F4C" w:rsidP="004551E9">
      <w:pPr>
        <w:rPr>
          <w:lang w:val="es-ES_tradnl"/>
        </w:rPr>
      </w:pPr>
      <w:r w:rsidRPr="00E72B02">
        <w:rPr>
          <w:lang w:val="es-ES_tradnl"/>
        </w:rPr>
        <w:t xml:space="preserve">En tercer lugar, el silencio del artículo 46 y de las demás disposiciones de la CDPD, permite inferir que la misma admite la formulación de declaraciones interpretativas, y que las mismas pueden formularse en cualquier momento. </w:t>
      </w:r>
    </w:p>
    <w:p w:rsidR="00485F4C" w:rsidRPr="00E72B02" w:rsidRDefault="00485F4C" w:rsidP="004551E9">
      <w:pPr>
        <w:rPr>
          <w:lang w:val="es-ES_tradnl"/>
        </w:rPr>
      </w:pPr>
      <w:r w:rsidRPr="00E72B02">
        <w:rPr>
          <w:lang w:val="es-ES_tradnl"/>
        </w:rPr>
        <w:t>En cuanto lugar, que por mención expresa del artículo 46(1) y por imperio supletorio de una regla de derecho internacional general, la CDPD no admite reservas que resulten “</w:t>
      </w:r>
      <w:r w:rsidRPr="00E72B02">
        <w:rPr>
          <w:i/>
          <w:lang w:val="es-ES_tradnl"/>
        </w:rPr>
        <w:t>incompatibles con el objeto y el propósito</w:t>
      </w:r>
      <w:r w:rsidRPr="00E72B02">
        <w:rPr>
          <w:lang w:val="es-ES_tradnl"/>
        </w:rPr>
        <w:t xml:space="preserve">” del tratado. </w:t>
      </w:r>
    </w:p>
    <w:p w:rsidR="00485F4C" w:rsidRPr="00E72B02" w:rsidRDefault="00485F4C" w:rsidP="004551E9">
      <w:pPr>
        <w:rPr>
          <w:lang w:val="es-ES_tradnl"/>
        </w:rPr>
      </w:pPr>
      <w:r w:rsidRPr="00E72B02">
        <w:rPr>
          <w:lang w:val="es-ES_tradnl"/>
        </w:rPr>
        <w:t xml:space="preserve">En quinto lugar, que por que por mención expresa del artículo 46(2) y por imperio supletorio de una regla de derecho internacional general, la CDPD </w:t>
      </w:r>
      <w:r w:rsidRPr="00E72B02">
        <w:rPr>
          <w:lang w:val="es-ES_tradnl"/>
        </w:rPr>
        <w:lastRenderedPageBreak/>
        <w:t>admite que los Estados reservantes retiren dichas reservan en “</w:t>
      </w:r>
      <w:r w:rsidRPr="00E72B02">
        <w:rPr>
          <w:i/>
          <w:lang w:val="es-ES_tradnl"/>
        </w:rPr>
        <w:t>cualquier momento</w:t>
      </w:r>
      <w:r w:rsidRPr="00E72B02">
        <w:rPr>
          <w:lang w:val="es-ES_tradnl"/>
        </w:rPr>
        <w:t xml:space="preserve">”. </w:t>
      </w:r>
    </w:p>
    <w:p w:rsidR="00485F4C" w:rsidRPr="00E72B02" w:rsidRDefault="00485F4C" w:rsidP="004551E9">
      <w:pPr>
        <w:rPr>
          <w:lang w:val="es-ES_tradnl"/>
        </w:rPr>
      </w:pPr>
      <w:r w:rsidRPr="00E72B02">
        <w:rPr>
          <w:lang w:val="es-ES_tradnl"/>
        </w:rPr>
        <w:t xml:space="preserve">En sexto lugar, que ante el silencio del artículo 46 y el resto de las disposiciones de la CDPD, el régimen jurídico aplicable supletoriamente a este tratado respecto de aceptación, objeción y efectos jurídicos de las reservas y/o declaraciones interpretativas, es el del derecho internacional general. </w:t>
      </w:r>
    </w:p>
    <w:p w:rsidR="00485F4C" w:rsidRPr="00E72B02" w:rsidRDefault="00485F4C" w:rsidP="004551E9">
      <w:pPr>
        <w:rPr>
          <w:lang w:val="es-ES_tradnl"/>
        </w:rPr>
      </w:pPr>
      <w:r w:rsidRPr="00E72B02">
        <w:rPr>
          <w:lang w:val="es-ES_tradnl"/>
        </w:rPr>
        <w:t>Finalmente, es preciso señalar que si bien no surge del propio texto de la CDPD, este instrumento forma parte del subsistema de derecho internacional de los derechos humanos, con lo cual el régimen jurídico de las reservas de la CDPD queda abarcado por las normas y principios aplicables a este régimen autónomo.</w:t>
      </w:r>
      <w:r w:rsidRPr="00E72B02">
        <w:rPr>
          <w:rStyle w:val="Refdenotaalpie"/>
          <w:lang w:val="es-ES_tradnl"/>
        </w:rPr>
        <w:footnoteReference w:id="838"/>
      </w:r>
      <w:r w:rsidRPr="00E72B02">
        <w:rPr>
          <w:lang w:val="es-ES_tradnl"/>
        </w:rPr>
        <w:t xml:space="preserve"> </w:t>
      </w:r>
    </w:p>
    <w:p w:rsidR="00485F4C" w:rsidRPr="00E72B02" w:rsidRDefault="00485F4C" w:rsidP="004551E9">
      <w:pPr>
        <w:rPr>
          <w:lang w:val="es-ES_tradnl"/>
        </w:rPr>
      </w:pPr>
    </w:p>
    <w:p w:rsidR="00485F4C" w:rsidRPr="00E72B02" w:rsidRDefault="00485F4C" w:rsidP="00D579F5">
      <w:pPr>
        <w:pStyle w:val="TTULO13"/>
      </w:pPr>
      <w:r w:rsidRPr="00E72B02">
        <w:t>6.3.2 reservas y declaraciones interpretativas formuladas respecto del artículo 12 de la CDPD</w:t>
      </w:r>
    </w:p>
    <w:p w:rsidR="00485F4C" w:rsidRPr="00E72B02" w:rsidRDefault="00485F4C" w:rsidP="004551E9">
      <w:pPr>
        <w:rPr>
          <w:lang w:val="es-ES_tradnl"/>
        </w:rPr>
      </w:pPr>
    </w:p>
    <w:p w:rsidR="00485F4C" w:rsidRPr="00E72B02" w:rsidRDefault="00485F4C" w:rsidP="004551E9">
      <w:pPr>
        <w:rPr>
          <w:lang w:val="es-ES_tradnl"/>
        </w:rPr>
      </w:pPr>
      <w:r w:rsidRPr="00E72B02">
        <w:rPr>
          <w:lang w:val="es-ES_tradnl"/>
        </w:rPr>
        <w:t>La intensidad de los debates en torno al artículo 12, y las objeciones planteadas por algunos Estados respecto del texto final de dicho artículo, hacían presagiar que algunos Estados emitieran reservas o declaraciones interpretativas al momento de ratificar la CDPD.</w:t>
      </w:r>
    </w:p>
    <w:p w:rsidR="00485F4C" w:rsidRPr="009E5B24" w:rsidRDefault="00485F4C" w:rsidP="004551E9">
      <w:pPr>
        <w:rPr>
          <w:b/>
          <w:lang w:val="es-ES_tradnl"/>
        </w:rPr>
      </w:pPr>
    </w:p>
    <w:p w:rsidR="00485F4C" w:rsidRPr="009E5B24" w:rsidRDefault="00E970E8" w:rsidP="00D579F5">
      <w:pPr>
        <w:pStyle w:val="Ttulo130"/>
        <w:rPr>
          <w:b/>
        </w:rPr>
      </w:pPr>
      <w:r w:rsidRPr="009E5B24">
        <w:rPr>
          <w:b/>
        </w:rPr>
        <w:t xml:space="preserve">6.3.2.1 Egipto, </w:t>
      </w:r>
      <w:r w:rsidR="00485F4C" w:rsidRPr="009E5B24">
        <w:rPr>
          <w:b/>
        </w:rPr>
        <w:t>Siria</w:t>
      </w:r>
      <w:r w:rsidRPr="009E5B24">
        <w:rPr>
          <w:b/>
        </w:rPr>
        <w:t xml:space="preserve"> y Kuwait </w:t>
      </w:r>
    </w:p>
    <w:p w:rsidR="00485F4C" w:rsidRPr="00E72B02" w:rsidRDefault="00485F4C" w:rsidP="004551E9">
      <w:pPr>
        <w:rPr>
          <w:lang w:val="es-ES_tradnl"/>
        </w:rPr>
      </w:pPr>
    </w:p>
    <w:p w:rsidR="00485F4C" w:rsidRPr="00E72B02" w:rsidRDefault="00485F4C" w:rsidP="004551E9">
      <w:pPr>
        <w:rPr>
          <w:lang w:val="es-ES_tradnl"/>
        </w:rPr>
      </w:pPr>
      <w:r w:rsidRPr="00E72B02">
        <w:rPr>
          <w:lang w:val="es-ES_tradnl"/>
        </w:rPr>
        <w:lastRenderedPageBreak/>
        <w:t xml:space="preserve">La República Árabe de Egipto declaró al momento de la firma de la CDPD que el concepto de capacidad jurídica inserto en el párrafo 2 del artículo 12, se interpretaba para dicho </w:t>
      </w:r>
      <w:r w:rsidR="0074119B" w:rsidRPr="00E72B02">
        <w:rPr>
          <w:lang w:val="es-ES_tradnl"/>
        </w:rPr>
        <w:t>Estado Parte</w:t>
      </w:r>
      <w:r w:rsidRPr="00E72B02">
        <w:rPr>
          <w:lang w:val="es-ES_tradnl"/>
        </w:rPr>
        <w:t xml:space="preserve"> como que las personas con discapacidad gozan de capacidad para adquirir derecho y contraer obligaciones ('ahliyyat al-wujub), pero no la capacidad de obrar ('ahliyyat al-'ada'), según el derecho nacional de Egipto.</w:t>
      </w:r>
      <w:r w:rsidRPr="00E72B02">
        <w:rPr>
          <w:rStyle w:val="Refdenotaalpie"/>
          <w:lang w:val="es-ES_tradnl"/>
        </w:rPr>
        <w:footnoteReference w:id="839"/>
      </w:r>
    </w:p>
    <w:p w:rsidR="00485F4C" w:rsidRPr="00E72B02" w:rsidRDefault="00485F4C" w:rsidP="004551E9">
      <w:pPr>
        <w:rPr>
          <w:lang w:val="es-ES_tradnl"/>
        </w:rPr>
      </w:pPr>
      <w:r w:rsidRPr="00E72B02">
        <w:rPr>
          <w:lang w:val="es-ES_tradnl"/>
        </w:rPr>
        <w:t>Por su parte la declaración de la República Árabe de Siria, simplemente se limita a reiterar la interpretación adoptada por el grupo árabe durante la negociación en relación con la interpretación del concepto de capacidad jurídica.</w:t>
      </w:r>
      <w:r w:rsidRPr="00E72B02">
        <w:rPr>
          <w:rStyle w:val="Refdenotaalpie"/>
          <w:lang w:val="es-ES_tradnl"/>
        </w:rPr>
        <w:footnoteReference w:id="840"/>
      </w:r>
      <w:r w:rsidRPr="00E72B02">
        <w:rPr>
          <w:lang w:val="es-ES_tradnl"/>
        </w:rPr>
        <w:t xml:space="preserve"> </w:t>
      </w:r>
    </w:p>
    <w:p w:rsidR="00E970E8" w:rsidRPr="00E72B02" w:rsidRDefault="00E970E8" w:rsidP="004551E9">
      <w:pPr>
        <w:rPr>
          <w:lang w:val="es-ES_tradnl"/>
        </w:rPr>
      </w:pPr>
      <w:r w:rsidRPr="00E72B02">
        <w:rPr>
          <w:lang w:val="es-ES_tradnl"/>
        </w:rPr>
        <w:t>Finalmente la reserva formulada por Kuwait al momento de ratificar por adhesión la CDPD señala que el reconocimiento de la capacidad jurídica del Artículo 12(2) estará sujeto a las condiciones de aplicabilidad del derecho interno kuwaití.</w:t>
      </w:r>
      <w:r w:rsidRPr="00E72B02">
        <w:rPr>
          <w:rStyle w:val="Refdenotaalpie"/>
          <w:lang w:val="es-ES_tradnl"/>
        </w:rPr>
        <w:footnoteReference w:id="841"/>
      </w:r>
    </w:p>
    <w:p w:rsidR="00485F4C" w:rsidRPr="00E72B02" w:rsidRDefault="00485F4C" w:rsidP="004551E9">
      <w:pPr>
        <w:rPr>
          <w:lang w:val="es-ES_tradnl"/>
        </w:rPr>
      </w:pPr>
      <w:r w:rsidRPr="00E72B02">
        <w:rPr>
          <w:lang w:val="es-ES_tradnl"/>
        </w:rPr>
        <w:t>Las declaraciones formuladas en igual sen</w:t>
      </w:r>
      <w:r w:rsidR="00E72B02" w:rsidRPr="00E72B02">
        <w:rPr>
          <w:lang w:val="es-ES_tradnl"/>
        </w:rPr>
        <w:t xml:space="preserve">tido por Egipto, </w:t>
      </w:r>
      <w:r w:rsidRPr="00E72B02">
        <w:rPr>
          <w:lang w:val="es-ES_tradnl"/>
        </w:rPr>
        <w:t xml:space="preserve">Siria </w:t>
      </w:r>
      <w:r w:rsidR="00E72B02" w:rsidRPr="00E72B02">
        <w:rPr>
          <w:lang w:val="es-ES_tradnl"/>
        </w:rPr>
        <w:t xml:space="preserve">y Kuwait </w:t>
      </w:r>
      <w:r w:rsidRPr="00E72B02">
        <w:rPr>
          <w:lang w:val="es-ES_tradnl"/>
        </w:rPr>
        <w:t xml:space="preserve">resultan consistentes con la carta que un grupo importante de países árabes </w:t>
      </w:r>
      <w:r w:rsidRPr="00E72B02">
        <w:rPr>
          <w:lang w:val="es-ES_tradnl"/>
        </w:rPr>
        <w:lastRenderedPageBreak/>
        <w:t>enviaron el presidente del Comité Especial en ocasión de la octava sesión, en la cual se solicitaba la inclusión en el informe final de la posición de consenso de las delegaciones de Iraq, Arabia Saudita, Argelia, Bahrein, las Comoras, Djibouti, Egipto, los Emiratos Árabes Unidos, la Jamahiriya Árabe Libia, Kuwait, el Líbano, Marruecos, Mauritania, Omán, Palestina, Qatar, la República Árabe Siria, Somalia, el Sudán, Túnez y el Yemen, en el sentido de que para dichos estados el concepto de capacidad jurídica del artículo 12(2) debía interpretarse como el reconocimiento de la capacidad de derechos, pero no la capacidad de obrar.</w:t>
      </w:r>
      <w:r w:rsidRPr="00E72B02">
        <w:rPr>
          <w:rStyle w:val="Refdenotaalpie"/>
          <w:lang w:val="es-ES_tradnl"/>
        </w:rPr>
        <w:footnoteReference w:id="842"/>
      </w:r>
    </w:p>
    <w:p w:rsidR="00485F4C" w:rsidRPr="00E72B02" w:rsidRDefault="00485F4C" w:rsidP="004551E9">
      <w:pPr>
        <w:rPr>
          <w:lang w:val="es-ES_tradnl"/>
        </w:rPr>
      </w:pPr>
      <w:r w:rsidRPr="00E72B02">
        <w:rPr>
          <w:lang w:val="es-ES_tradnl"/>
        </w:rPr>
        <w:t>Estas declaraciones merecen algunas conclusiones. En primer lugar, constituyen y ejemplo cabal de lo complejo que resulta en la práctica distinguir entre una declaración interpretativa y una reserva. Si bien las mismas están planteadas como declaraciones interpretativas, lo cierto es que la interpretación que proponen supone dejar sin efecto el cambio de paradigma planteado por el artículo 12 y la inmensa mayoría de los efectos jurídicos planteados en el presente trabajo. Incluso se podría alegar que las mismas podrían afectar el objeto y fin del tratado.</w:t>
      </w:r>
      <w:r w:rsidRPr="00E72B02">
        <w:rPr>
          <w:rStyle w:val="Refdenotaalpie"/>
          <w:lang w:val="es-ES_tradnl"/>
        </w:rPr>
        <w:footnoteReference w:id="843"/>
      </w:r>
      <w:r w:rsidRPr="00E72B02">
        <w:rPr>
          <w:lang w:val="es-ES_tradnl"/>
        </w:rPr>
        <w:t xml:space="preserve"> En segundo lugar, y sin perjuicio de lo señalado, es necesario destacar que la posición expuesta por Egipto y Siria resulta consistente con lo planteado por dichos Estados </w:t>
      </w:r>
      <w:r w:rsidRPr="00E72B02">
        <w:rPr>
          <w:lang w:val="es-ES_tradnl"/>
        </w:rPr>
        <w:lastRenderedPageBreak/>
        <w:t>durante el proc</w:t>
      </w:r>
      <w:r w:rsidR="00E970E8" w:rsidRPr="00E72B02">
        <w:rPr>
          <w:lang w:val="es-ES_tradnl"/>
        </w:rPr>
        <w:t xml:space="preserve">eso de negociación. Con lo cual, </w:t>
      </w:r>
      <w:r w:rsidRPr="00E72B02">
        <w:rPr>
          <w:lang w:val="es-ES_tradnl"/>
        </w:rPr>
        <w:t xml:space="preserve">como se ha señalado ya, </w:t>
      </w:r>
      <w:r w:rsidR="00E970E8" w:rsidRPr="00E72B02">
        <w:rPr>
          <w:lang w:val="es-ES_tradnl"/>
        </w:rPr>
        <w:t xml:space="preserve">si </w:t>
      </w:r>
      <w:r w:rsidRPr="00E72B02">
        <w:rPr>
          <w:lang w:val="es-ES_tradnl"/>
        </w:rPr>
        <w:t>el artículo 12 debe considerarse como una norma convencional emergente que contraviene la práctica existente hasta el momento, es entendible que dichos Estados puedan legítimamente declarar unilateralmente que no desean adherir a esta clausula convencional. Asimismo es necesario señalar que ninguna de las dos declaraciones fueron objeto de impugnación por el resto de los Estados Partes. Finalmente, y al hilo de lo señalado anteriormente, es preciso notar que algunos de los Estados que suscribieron la carta enviada al presidente del Comité Especial en 2006, luego no formularon reservas o declaraciones interpretativas al momento de ratificar la CDPD.</w:t>
      </w:r>
      <w:r w:rsidRPr="00E72B02">
        <w:rPr>
          <w:rStyle w:val="Refdenotaalpie"/>
          <w:lang w:val="es-ES_tradnl"/>
        </w:rPr>
        <w:footnoteReference w:id="844"/>
      </w:r>
      <w:r w:rsidRPr="00E72B02">
        <w:rPr>
          <w:lang w:val="es-ES_tradnl"/>
        </w:rPr>
        <w:t xml:space="preserve">  </w:t>
      </w:r>
    </w:p>
    <w:p w:rsidR="00485F4C" w:rsidRPr="00E72B02" w:rsidRDefault="00485F4C" w:rsidP="004551E9">
      <w:pPr>
        <w:rPr>
          <w:lang w:val="es-ES_tradnl"/>
        </w:rPr>
      </w:pPr>
      <w:r w:rsidRPr="00E72B02">
        <w:rPr>
          <w:lang w:val="es-ES_tradnl"/>
        </w:rPr>
        <w:t xml:space="preserve"> </w:t>
      </w:r>
    </w:p>
    <w:p w:rsidR="00485F4C" w:rsidRPr="009E5B24" w:rsidRDefault="00485F4C" w:rsidP="00D579F5">
      <w:pPr>
        <w:pStyle w:val="Ttulo130"/>
        <w:rPr>
          <w:b/>
        </w:rPr>
      </w:pPr>
      <w:r w:rsidRPr="009E5B24">
        <w:rPr>
          <w:b/>
          <w:lang w:val="es-ES_tradnl"/>
        </w:rPr>
        <w:t xml:space="preserve">6.3.2.2 </w:t>
      </w:r>
      <w:r w:rsidRPr="009E5B24">
        <w:rPr>
          <w:b/>
        </w:rPr>
        <w:t xml:space="preserve">Australia </w:t>
      </w:r>
    </w:p>
    <w:p w:rsidR="00485F4C" w:rsidRPr="00E72B02" w:rsidRDefault="00485F4C" w:rsidP="004551E9"/>
    <w:p w:rsidR="00485F4C" w:rsidRPr="00E72B02" w:rsidRDefault="00485F4C" w:rsidP="004551E9">
      <w:r w:rsidRPr="00E72B02">
        <w:t xml:space="preserve">Al momento de ratifica la CDPD Australia emitió la siguiente declaración: </w:t>
      </w:r>
    </w:p>
    <w:p w:rsidR="00485F4C" w:rsidRPr="00E72B02" w:rsidRDefault="00485F4C" w:rsidP="004551E9">
      <w:r w:rsidRPr="00E72B02">
        <w:t xml:space="preserve">“Australia reconoce que las personas con discapacidad gozan de capacidad jurídica en igualdad con otros en todos los aspectos de la vida. Australia reconoce que la Convención permite la plena implementación de sistemas de apoyo en la toma de decisiones, que permiten que decisiones puedan ser tomadas en representación de una persona, sólo cuando dichas medidas resultan necesarias, como último recurso y sujeto a salvaguardias. Australia reconoce que toda persona con discapacidad tiene el derecho al respecto de su integridad física y mental en igualdad de condiciones con los demás. Australia declara que, a su entender, la Convención permite la asistencia o el tratamiento involuntario de personas, lo que incluye medidas adoptadas </w:t>
      </w:r>
      <w:r w:rsidRPr="00E72B02">
        <w:lastRenderedPageBreak/>
        <w:t>para el tratamiento mental de la discapacidad, cuando dicho tratamiento resulta necesario, como último recurso y sujeto a salvaguardias</w:t>
      </w:r>
      <w:r w:rsidR="00E970E8" w:rsidRPr="00E72B02">
        <w:t>”</w:t>
      </w:r>
      <w:r w:rsidRPr="00E72B02">
        <w:t>.</w:t>
      </w:r>
      <w:r w:rsidRPr="00E72B02">
        <w:rPr>
          <w:rStyle w:val="Refdenotaalpie"/>
          <w:lang w:val="es-ES"/>
        </w:rPr>
        <w:footnoteReference w:id="845"/>
      </w:r>
    </w:p>
    <w:p w:rsidR="00485F4C" w:rsidRPr="00E72B02" w:rsidRDefault="00485F4C" w:rsidP="004551E9">
      <w:r w:rsidRPr="00E72B02">
        <w:t>La declaración  de Australia, constituye un segundo modelo de oposición con el cambio de paradigma planteado por el artículo 12 aunque se ajusta a la posición adoptada por dicho Estado durante el proceso de negociación.</w:t>
      </w:r>
      <w:r w:rsidRPr="00E72B02">
        <w:rPr>
          <w:rStyle w:val="Refdenotaalpie"/>
          <w:lang w:val="es-ES"/>
        </w:rPr>
        <w:footnoteReference w:id="846"/>
      </w:r>
      <w:r w:rsidRPr="00E72B02">
        <w:t xml:space="preserve"> A diferencia de lo planteado por el grupo árabe, la postura de Australia resulta mucho más flexible y permeable a permitir un impacto real del artículo 12 en la legislación doméstica, ya que no desconoce que el concepto de capacidad jurídica se refiere a la capacidad de obrar. Tampoco desconoce la obligación de brindar apoyos al ejercicio de la capacidad jurídico de conformidad con lo señalado en el artículo 12(3) e inclusive lo plantea como la opción principal para abordar la capacidad jurídica de las personas con discapacidad. Pero a juicio de Australia, el artículo 12 da a lugar a la implementación de medidas de protección que supongan en casos excepcionales la designación de un representante legal, o incluso, el sometimiento de una persona con discapacidad a tratamientos involuntarios en el marco de la salud mental. Por ello, la declaración de Australia, aunque no lo menciones expresamente, también hace alusión a los artículos 14, 15 y 17. En este sentido, la declaración de Australia resulta mucho más compleja </w:t>
      </w:r>
      <w:r w:rsidRPr="00E72B02">
        <w:lastRenderedPageBreak/>
        <w:t>de ser atacada desde un análisis de objeto y fin del tratado, y podría dar lugar a una interpretación restrictiva del artículo 12 de la CDPD.</w:t>
      </w:r>
      <w:r w:rsidR="00E970E8" w:rsidRPr="00E72B02">
        <w:rPr>
          <w:rStyle w:val="Refdenotaalpie"/>
          <w:lang w:val="es-ES"/>
        </w:rPr>
        <w:footnoteReference w:id="847"/>
      </w:r>
      <w:r w:rsidRPr="00E72B02">
        <w:t xml:space="preserve"> </w:t>
      </w:r>
    </w:p>
    <w:p w:rsidR="00485F4C" w:rsidRPr="00E72B02" w:rsidRDefault="00485F4C" w:rsidP="004551E9"/>
    <w:p w:rsidR="00485F4C" w:rsidRPr="009E5B24" w:rsidRDefault="00485F4C" w:rsidP="00D579F5">
      <w:pPr>
        <w:pStyle w:val="Ttulo130"/>
        <w:rPr>
          <w:b/>
          <w:lang w:val="es-ES"/>
        </w:rPr>
      </w:pPr>
      <w:r w:rsidRPr="009E5B24">
        <w:rPr>
          <w:b/>
        </w:rPr>
        <w:t xml:space="preserve">6.3.2.3 </w:t>
      </w:r>
      <w:r w:rsidRPr="009E5B24">
        <w:rPr>
          <w:b/>
          <w:lang w:val="es-ES"/>
        </w:rPr>
        <w:t>Canadá</w:t>
      </w:r>
    </w:p>
    <w:p w:rsidR="00485F4C" w:rsidRPr="00E72B02" w:rsidRDefault="00485F4C" w:rsidP="004551E9"/>
    <w:p w:rsidR="00485F4C" w:rsidRPr="00E72B02" w:rsidRDefault="00485F4C" w:rsidP="004551E9">
      <w:r w:rsidRPr="00E72B02">
        <w:t xml:space="preserve">Al momento de ratifica la CDPD Canadá emitió la siguiente declaración y reserva: </w:t>
      </w:r>
    </w:p>
    <w:p w:rsidR="00485F4C" w:rsidRPr="00E72B02" w:rsidRDefault="00485F4C" w:rsidP="004551E9">
      <w:r w:rsidRPr="00E72B02">
        <w:t>“Canadá reconoce que se debe presumir que las personas con discapacidad tienen capacidad jurídica en igualdad de condiciones con los demás en todos los aspectos de la vida. Canadá declara que, a su entender, el artículo 12 permite medidas de apoyo y de sustitución en la toma de decisiones en las circunstancias apropiadas y de conformidad que el derecho vigente. En la medida que el artículo 12 se deba interpretar como que requiere de la eliminación de toda medida de sustitución en la toma de decisiones, Canadá se reserva el derecho de continuar su uso en circunstancias apropiadas y sujetas a salvaguardias efectivas y adecuadas. En relación con el artículo 12(4) Canadá se reserva el derecho de no sujetar todas dichas medidas a un control periódico por parte de una autoridad independiente, cuando dichas medidas ya son sujetas a revisión o apelación”.</w:t>
      </w:r>
      <w:r w:rsidRPr="00E72B02">
        <w:rPr>
          <w:rStyle w:val="Refdenotaalpie"/>
          <w:lang w:val="es-ES"/>
        </w:rPr>
        <w:footnoteReference w:id="848"/>
      </w:r>
      <w:r w:rsidRPr="00E72B02">
        <w:t xml:space="preserve"> </w:t>
      </w:r>
    </w:p>
    <w:p w:rsidR="00485F4C" w:rsidRPr="00E72B02" w:rsidRDefault="00485F4C" w:rsidP="004551E9">
      <w:r w:rsidRPr="00E72B02">
        <w:lastRenderedPageBreak/>
        <w:t xml:space="preserve">La posición adoptada por Canadá es prácticamente idéntica a la de Australia. A diferencia de esta última, el instrumento depositado por Canadá hace mención expresa a los artículos pertinentes de la CDPD, y además, establece más claramente cuándo formula una declaración interpretativa, y cuándo formula una reserva. A pesar de la claridad de los términos de la declaración y reserva de Canadá, el modo en la cual está redactada hace presumir que se trata de una manifestación de tipo temporal, en el sentido de que Canadá no rechaza las implicaciones del artículo 12, sino más bien, prefiere reservar su aplicación hasta el momento que el derecho interno pueda cumplir plenamente con lo requerido por el artículo 12. </w:t>
      </w:r>
    </w:p>
    <w:p w:rsidR="00485F4C" w:rsidRPr="00E72B02" w:rsidRDefault="00485F4C" w:rsidP="004551E9"/>
    <w:p w:rsidR="00485F4C" w:rsidRPr="009E5B24" w:rsidRDefault="00485F4C" w:rsidP="00D579F5">
      <w:pPr>
        <w:pStyle w:val="Ttulo130"/>
        <w:rPr>
          <w:b/>
          <w:lang w:val="es-ES"/>
        </w:rPr>
      </w:pPr>
      <w:r w:rsidRPr="009E5B24">
        <w:rPr>
          <w:b/>
        </w:rPr>
        <w:t xml:space="preserve">6.3.2.4 </w:t>
      </w:r>
      <w:r w:rsidRPr="009E5B24">
        <w:rPr>
          <w:b/>
          <w:lang w:val="es-ES"/>
        </w:rPr>
        <w:t>Estonia</w:t>
      </w:r>
    </w:p>
    <w:p w:rsidR="00485F4C" w:rsidRPr="00E72B02" w:rsidRDefault="00485F4C" w:rsidP="004551E9"/>
    <w:p w:rsidR="00485F4C" w:rsidRPr="00E72B02" w:rsidRDefault="00485F4C" w:rsidP="004551E9">
      <w:r w:rsidRPr="00E72B02">
        <w:t>Al momento de ratifica la CDPD Estonia emitió la siguiente declaración:</w:t>
      </w:r>
    </w:p>
    <w:p w:rsidR="00485F4C" w:rsidRPr="00E72B02" w:rsidRDefault="00485F4C" w:rsidP="004551E9">
      <w:r w:rsidRPr="00E72B02">
        <w:t>“La República de Estonia interpreta el artículo 12 de la Convención como que no prohíbe la restricción de la capacidad jurídica activa de una persona, cuando resulta necesaria a virtud de la capacidad de una persona de comprender o dirigir sus acciones. Al restringir el derecho de las personas con capacidad jurídica activa limitada, la Republica de Estonia actúa de conformidad con su derecho interno”.</w:t>
      </w:r>
      <w:r w:rsidRPr="00E72B02">
        <w:rPr>
          <w:rStyle w:val="Refdenotaalpie"/>
          <w:lang w:val="es-ES"/>
        </w:rPr>
        <w:footnoteReference w:id="849"/>
      </w:r>
    </w:p>
    <w:p w:rsidR="00485F4C" w:rsidRPr="00E72B02" w:rsidRDefault="00485F4C" w:rsidP="004551E9">
      <w:r w:rsidRPr="00E72B02">
        <w:t xml:space="preserve">Aunque la declaración de Estonia no aclara si se refiere exclusivamente a la restricción de la capacidad jurídica de personas con discapacidad, el hecho de relacionar dicha restricción a la capacidad de comprensión y de dirigir </w:t>
      </w:r>
      <w:r w:rsidRPr="00E72B02">
        <w:lastRenderedPageBreak/>
        <w:t xml:space="preserve">sus acciones, hace presumir que se trata de una medida exclusivamente destinada a personas con discapacidad. Por ello, esta declaración tendría como efecto dejar sin contenido ni valor jurídico al artículo 12, lo que podría ser objetado desde un análisis de objeto y fin del tratado. Fuera de ello, la declaración de Estonia se podría enmarcar dentro del modelo más restrictivo como el adoptado por Siria y Egipto. </w:t>
      </w:r>
    </w:p>
    <w:p w:rsidR="00485F4C" w:rsidRPr="00E72B02" w:rsidRDefault="00485F4C" w:rsidP="004551E9">
      <w:r w:rsidRPr="00E72B02">
        <w:t xml:space="preserve">  </w:t>
      </w:r>
    </w:p>
    <w:p w:rsidR="00485F4C" w:rsidRPr="009E5B24" w:rsidRDefault="00485F4C" w:rsidP="00D579F5">
      <w:pPr>
        <w:pStyle w:val="Ttulo130"/>
        <w:rPr>
          <w:b/>
          <w:lang w:val="es-ES"/>
        </w:rPr>
      </w:pPr>
      <w:r w:rsidRPr="009E5B24">
        <w:rPr>
          <w:b/>
        </w:rPr>
        <w:t xml:space="preserve">6.3.2.5 </w:t>
      </w:r>
      <w:r w:rsidRPr="009E5B24">
        <w:rPr>
          <w:b/>
          <w:lang w:val="es-ES"/>
        </w:rPr>
        <w:t>Noruega</w:t>
      </w:r>
    </w:p>
    <w:p w:rsidR="00485F4C" w:rsidRPr="00E72B02" w:rsidRDefault="00485F4C" w:rsidP="004551E9"/>
    <w:p w:rsidR="00485F4C" w:rsidRPr="00E72B02" w:rsidRDefault="00485F4C" w:rsidP="004551E9">
      <w:r w:rsidRPr="00E72B02">
        <w:t>Al momento de ratifica la CDPD Noruega emitió la siguiente declaración:</w:t>
      </w:r>
    </w:p>
    <w:p w:rsidR="00485F4C" w:rsidRPr="00E72B02" w:rsidRDefault="00485F4C" w:rsidP="004551E9">
      <w:r w:rsidRPr="00E72B02">
        <w:t xml:space="preserve">“Artículo 12. Noruega reconoce que las personas con discapacidad tienen de capacidad jurídica en igualdad de condiciones con los demás en todos los aspectos de la vida. Noruega también reconoce sus obligaciones de adoptar medidas adecuadas para proporcionar acceso a las personas con discapacidad al apoyo que puedan necesitar en el ejercicio de su capacidad jurídica. Asimismo, Noruega declara, que a su entender, la Convención permite la retirada de la capacidad jurídica, o de apoyos en el ejercicio de la capacidad jurídica, y/o la tutela obligatoria, en casos donde dichas medidas resultan necesarias, como último recurso y sujetas a salvaguardias. </w:t>
      </w:r>
    </w:p>
    <w:p w:rsidR="00485F4C" w:rsidRPr="00E72B02" w:rsidRDefault="00485F4C" w:rsidP="004551E9">
      <w:r w:rsidRPr="00E72B02">
        <w:t xml:space="preserve">Artículos 14 y 25. Noruega reconoce que todas las personas con discapacidad tienen derecho a la libertad y seguridad personal, y derecho al respecto a la integridad física y mental en igualdad de condiciones con los demás. Asimismo, Noruega declara, que a su entender, la Convención permite los tratamientos involuntarios de cuidados a las personas, lo que incluye medidas para el tratamiento de enfermedades mentales, cuando las circunstancias hacen necesario un tratamiento de este tipo, como último </w:t>
      </w:r>
      <w:r w:rsidRPr="00E72B02">
        <w:lastRenderedPageBreak/>
        <w:t>recurso y cuando el tratamiento se encuentra sujeto a salvaguardias legales”.</w:t>
      </w:r>
      <w:r w:rsidRPr="00E72B02">
        <w:rPr>
          <w:rStyle w:val="Refdenotaalpie"/>
          <w:lang w:val="es-ES"/>
        </w:rPr>
        <w:footnoteReference w:id="850"/>
      </w:r>
    </w:p>
    <w:p w:rsidR="00485F4C" w:rsidRPr="00E72B02" w:rsidRDefault="00485F4C" w:rsidP="004551E9">
      <w:r w:rsidRPr="00E72B02">
        <w:t xml:space="preserve">La declaración de Noruega es muy similar en cuanto al lenguaje y en cuanto al contenido a las efectuadas por Canadá y Australia. Se podría enmarcar dentro de una posición menos restrictiva del artículo 12 y 14, pero igualmente plantea o da lugar para la sustitución en la toma de decisiones y el internamiento o tratamiento involuntario de personas con discapacidad.    </w:t>
      </w:r>
    </w:p>
    <w:p w:rsidR="00485F4C" w:rsidRPr="00E72B02" w:rsidRDefault="00485F4C" w:rsidP="00D579F5">
      <w:pPr>
        <w:pStyle w:val="Ttulo130"/>
      </w:pPr>
    </w:p>
    <w:p w:rsidR="00485F4C" w:rsidRPr="009E5B24" w:rsidRDefault="00485F4C" w:rsidP="00D579F5">
      <w:pPr>
        <w:pStyle w:val="Ttulo130"/>
        <w:rPr>
          <w:b/>
          <w:lang w:val="es-ES"/>
        </w:rPr>
      </w:pPr>
      <w:r w:rsidRPr="009E5B24">
        <w:rPr>
          <w:b/>
        </w:rPr>
        <w:t xml:space="preserve">6.3.2.6 </w:t>
      </w:r>
      <w:r w:rsidRPr="009E5B24">
        <w:rPr>
          <w:b/>
          <w:lang w:val="es-ES"/>
        </w:rPr>
        <w:t>Polonia</w:t>
      </w:r>
    </w:p>
    <w:p w:rsidR="00485F4C" w:rsidRPr="00E72B02" w:rsidRDefault="00485F4C" w:rsidP="004551E9"/>
    <w:p w:rsidR="00485F4C" w:rsidRPr="00E72B02" w:rsidRDefault="00485F4C" w:rsidP="004551E9">
      <w:r w:rsidRPr="00E72B02">
        <w:t>Al momento de ratifica la CDPD Polonia emitió la siguiente reserva:</w:t>
      </w:r>
    </w:p>
    <w:p w:rsidR="00485F4C" w:rsidRPr="00E72B02" w:rsidRDefault="00485F4C" w:rsidP="004551E9">
      <w:r w:rsidRPr="00E72B02">
        <w:t>“La República de Polonia declara que interpreta el artículo 12 de la Convención de un modo que permita la aplicación de la incapacitación, en las circunstancia y del modo establecido por el derecho doméstico, como un tipo de medida indicada en el Artículo 12(4) cuando se trata de una persona incapaz de controlar su conducta por causa de una enfermedad mental, discapacidad mental, u otra alteración mental”.</w:t>
      </w:r>
      <w:r w:rsidRPr="00E72B02">
        <w:rPr>
          <w:rStyle w:val="Refdenotaalpie"/>
          <w:lang w:val="es-ES"/>
        </w:rPr>
        <w:footnoteReference w:id="851"/>
      </w:r>
      <w:r w:rsidRPr="00E72B02">
        <w:t xml:space="preserve"> </w:t>
      </w:r>
    </w:p>
    <w:p w:rsidR="00485F4C" w:rsidRPr="00E72B02" w:rsidRDefault="00485F4C" w:rsidP="004551E9">
      <w:r w:rsidRPr="00E72B02">
        <w:lastRenderedPageBreak/>
        <w:t xml:space="preserve">La declaración de Polonia se enmarca dentro de la modalidad de interpretación más restrictiva del artículo 12, ya que expresamente señala la legitimidad de la incapacitación como medida legal de protección de las personas con discapacidad, y sin considerar necesario reformar la legislación doméstica en este sentido. Lo particular de la declaración de Polonia es la referencia al artículo 12(4), donde según este Estado, la CDPD habilita o dar lugar para la existencia de la incapacitación de personas con discapacidad como medida consistente con lo planteado por el artículo 12. </w:t>
      </w:r>
    </w:p>
    <w:p w:rsidR="00485F4C" w:rsidRDefault="00485F4C" w:rsidP="00D579F5">
      <w:pPr>
        <w:pStyle w:val="Ttulo130"/>
      </w:pPr>
    </w:p>
    <w:p w:rsidR="00E72B02" w:rsidRPr="009E5B24" w:rsidRDefault="00B50ED1" w:rsidP="00D579F5">
      <w:pPr>
        <w:pStyle w:val="Ttulo130"/>
        <w:rPr>
          <w:b/>
        </w:rPr>
      </w:pPr>
      <w:r w:rsidRPr="009E5B24">
        <w:rPr>
          <w:b/>
          <w:lang w:val="es-ES_tradnl"/>
        </w:rPr>
        <w:t xml:space="preserve">6.3.2.7 </w:t>
      </w:r>
      <w:r w:rsidR="00E72B02" w:rsidRPr="009E5B24">
        <w:rPr>
          <w:b/>
        </w:rPr>
        <w:t xml:space="preserve">Singapur </w:t>
      </w:r>
    </w:p>
    <w:p w:rsidR="00B50ED1" w:rsidRDefault="00B50ED1" w:rsidP="004551E9"/>
    <w:p w:rsidR="00E72B02" w:rsidRDefault="00E72B02" w:rsidP="004551E9">
      <w:r w:rsidRPr="00E72B02">
        <w:t xml:space="preserve">Al momento de ratifica la CDPD </w:t>
      </w:r>
      <w:r>
        <w:t>Si</w:t>
      </w:r>
      <w:r w:rsidR="00F625FF">
        <w:t>n</w:t>
      </w:r>
      <w:r>
        <w:t>gapur</w:t>
      </w:r>
      <w:r w:rsidRPr="00E72B02">
        <w:t xml:space="preserve"> emitió la siguiente reserva:</w:t>
      </w:r>
    </w:p>
    <w:p w:rsidR="00E72B02" w:rsidRDefault="00F625FF" w:rsidP="004551E9">
      <w:r>
        <w:t>“</w:t>
      </w:r>
      <w:r w:rsidRPr="004617DE">
        <w:t>El actual marco jurídico de la República de Singapur garantiza, como salvaguardia efectiva y apropiada, la supervisión y control de las medidas relativas al ejercicio de la capacidad jurídica por parte de autoridades u órganos judiciales independientes e imparciales, ya sea cuando se acude a las mismas o cuando se actúa de oficio en casos apropiados. La República de Singapur se reserva el derecho de continuar aplicando su ordenamiento jurídico vigente en lugar de las revisiones regulares contempladas en el Artículo 12, párrafo 4 de la Convención</w:t>
      </w:r>
      <w:r>
        <w:t>”.</w:t>
      </w:r>
      <w:r>
        <w:rPr>
          <w:rStyle w:val="Refdenotaalpie"/>
          <w:lang w:val="es-ES"/>
        </w:rPr>
        <w:footnoteReference w:id="852"/>
      </w:r>
    </w:p>
    <w:p w:rsidR="00E72B02" w:rsidRPr="000D0A1A" w:rsidRDefault="004617DE" w:rsidP="004551E9">
      <w:r>
        <w:t xml:space="preserve">El lenguaje de esta reserva resulta confuso en cuanto al alcance de la misma. Aunque la misma parece referirse exclusivamente al párrafo 4 del Artículo </w:t>
      </w:r>
      <w:r>
        <w:lastRenderedPageBreak/>
        <w:t xml:space="preserve">12, alude genéricamente a “las medidas relativas al ejercicio de la capacidad jurídica”, lo que podría dar a entender que para el Estado Parte, su derecho interno resulta compatible con lo estipulado con el Artículo 12 y, por ende, no requiere revisión alguna. Con lo cual, dicha reserva abre un gran interrogante que sólo podrá ser clarificado al momento que el CteCDPD analice el informe inicial que dicho estado presente en virtud del artículo 35 de la CDPD. </w:t>
      </w:r>
    </w:p>
    <w:p w:rsidR="004617DE" w:rsidRDefault="004617DE" w:rsidP="004551E9"/>
    <w:p w:rsidR="004617DE" w:rsidRPr="009E5B24" w:rsidRDefault="00B50ED1" w:rsidP="00D579F5">
      <w:pPr>
        <w:pStyle w:val="Ttulo130"/>
        <w:rPr>
          <w:b/>
        </w:rPr>
      </w:pPr>
      <w:r w:rsidRPr="009E5B24">
        <w:rPr>
          <w:b/>
          <w:lang w:val="es-ES_tradnl"/>
        </w:rPr>
        <w:t xml:space="preserve">6.3.2.8 </w:t>
      </w:r>
      <w:r w:rsidR="004617DE" w:rsidRPr="009E5B24">
        <w:rPr>
          <w:b/>
        </w:rPr>
        <w:t>Venezuela</w:t>
      </w:r>
    </w:p>
    <w:p w:rsidR="00B50ED1" w:rsidRDefault="00B50ED1" w:rsidP="004551E9"/>
    <w:p w:rsidR="004617DE" w:rsidRDefault="004617DE" w:rsidP="004551E9">
      <w:r w:rsidRPr="00E72B02">
        <w:t xml:space="preserve">Al momento de ratifica la CDPD </w:t>
      </w:r>
      <w:r>
        <w:t>Venezuela</w:t>
      </w:r>
      <w:r w:rsidRPr="00E72B02">
        <w:t xml:space="preserve"> emitió la siguiente </w:t>
      </w:r>
      <w:r w:rsidR="00AA5BD1">
        <w:t>declaración</w:t>
      </w:r>
      <w:r w:rsidRPr="00E72B02">
        <w:t>:</w:t>
      </w:r>
    </w:p>
    <w:p w:rsidR="004617DE" w:rsidRDefault="00AA5BD1" w:rsidP="004551E9">
      <w:r>
        <w:t>“</w:t>
      </w:r>
      <w:r w:rsidRPr="00B50ED1">
        <w:t>La República Bolivariana de Venezuela reafirma su absoluta determinación de garantizar los derechos y la protección de la dignidad de las personas con discapacidad. Consecuentemente, declara que interpreta el párrafo 2 del Artículo 12 de la Convención de modo tal que, en caso de conflicto entre dicho párrafo y cualquier disposición del derecho venezolano, las disposiciones que garanticen la mayor protección legal a las personas con discapacidad, en tanto que aseguren su bienestar y desarrollo integral sin discriminación, deberán prevalecer</w:t>
      </w:r>
      <w:r w:rsidRPr="00AA5BD1">
        <w:t>.</w:t>
      </w:r>
      <w:r>
        <w:t>”</w:t>
      </w:r>
      <w:r>
        <w:rPr>
          <w:rStyle w:val="Refdenotaalpie"/>
          <w:lang w:val="es-ES"/>
        </w:rPr>
        <w:footnoteReference w:id="853"/>
      </w:r>
    </w:p>
    <w:p w:rsidR="004617DE" w:rsidRDefault="00AA5BD1" w:rsidP="004551E9">
      <w:r>
        <w:t xml:space="preserve">Esta declaración contiene un lenguaje muy similar a la efectuada, y luego retirada por México. Se trata de una declaración que claramente encubre la intención del Estado de no aplicar el Artículo 12 a nivel local dado que, o bien se trata de una declaración redundante o innecesaria (de conformidad </w:t>
      </w:r>
      <w:r>
        <w:lastRenderedPageBreak/>
        <w:t>con lo señalado por el Artículo 4(4</w:t>
      </w:r>
      <w:r w:rsidR="00B50ED1">
        <w:t>)), o bien se trata de un modo de reservar la aplicación del Artículo 12(2) so pretexto de considerar al derecho interno como más protector que la propia CDPD.</w:t>
      </w:r>
      <w:r w:rsidR="00B50ED1">
        <w:rPr>
          <w:rStyle w:val="Refdenotaalpie"/>
          <w:lang w:val="es-ES"/>
        </w:rPr>
        <w:footnoteReference w:id="854"/>
      </w:r>
      <w:r w:rsidR="00B50ED1">
        <w:t xml:space="preserve"> </w:t>
      </w:r>
    </w:p>
    <w:p w:rsidR="00AA5BD1" w:rsidRDefault="00AA5BD1" w:rsidP="004551E9"/>
    <w:p w:rsidR="00AA5BD1" w:rsidRPr="00E72B02" w:rsidRDefault="00AA5BD1" w:rsidP="004551E9"/>
    <w:p w:rsidR="00485F4C" w:rsidRPr="009E5B24" w:rsidRDefault="00485F4C" w:rsidP="00D579F5">
      <w:pPr>
        <w:pStyle w:val="Ttulo130"/>
        <w:rPr>
          <w:b/>
        </w:rPr>
      </w:pPr>
      <w:r w:rsidRPr="009E5B24">
        <w:rPr>
          <w:b/>
          <w:lang w:val="es-ES_tradnl"/>
        </w:rPr>
        <w:t>6.3.2.</w:t>
      </w:r>
      <w:r w:rsidR="005A7797" w:rsidRPr="009E5B24">
        <w:rPr>
          <w:b/>
          <w:lang w:val="es-ES_tradnl"/>
        </w:rPr>
        <w:t>9</w:t>
      </w:r>
      <w:r w:rsidRPr="009E5B24">
        <w:rPr>
          <w:b/>
          <w:lang w:val="es-ES_tradnl"/>
        </w:rPr>
        <w:t xml:space="preserve"> </w:t>
      </w:r>
      <w:r w:rsidRPr="009E5B24">
        <w:rPr>
          <w:b/>
        </w:rPr>
        <w:t>Países Bajos, y Francia</w:t>
      </w:r>
    </w:p>
    <w:p w:rsidR="00485F4C" w:rsidRPr="00E72B02" w:rsidRDefault="00485F4C" w:rsidP="004551E9"/>
    <w:p w:rsidR="00485F4C" w:rsidRPr="00E72B02" w:rsidRDefault="00485F4C" w:rsidP="004551E9">
      <w:r w:rsidRPr="00E72B02">
        <w:t xml:space="preserve">Aunque no fueran formuladas en el marco del artículo 12, resulta necesario analizar las declaraciones formuladas por los Países Bajos y Francia en relación con el artículo 15, el cual se encuentra intrínsecamente relacionado con el artículo 12. </w:t>
      </w:r>
    </w:p>
    <w:p w:rsidR="00485F4C" w:rsidRPr="00E72B02" w:rsidRDefault="00485F4C" w:rsidP="004551E9">
      <w:r w:rsidRPr="00E72B02">
        <w:t xml:space="preserve">En primer lugar los Países Bajos declararon, al momento de la firma de la CDPD, que interpretarían el término “consentimiento” del artículo 15 de conformidad con los instrumentos internacionales, como la Convención Europea en Biomedicina y Derechos Humanos y el Protocolo Adicional relativo a la Investigación Biomédica, y con la legislación nacional que se encuentra en línea con estos instrumentos. Ello supone que, en lo que respecta al consentimiento para la investigación biomédica, el término “consentimiento” se aplica en las siguientes dos situaciones: 1. Consentimiento dado por una persona que está capacitada para consentir, y 2. En los casos de personas con que pueden dar su consentimiento, el consentimiento dado por su representante legal o cualquier autoridad u órgano previsto por el derecho. Los Países Bajos consideran importante que las personas que no pueden dar su consentimiento libre e informado reciban especial protección. Adicionalmente, a la autorización planteado en el punto </w:t>
      </w:r>
      <w:r w:rsidRPr="00E72B02">
        <w:lastRenderedPageBreak/>
        <w:t>2, otras medidas de protección incluidas en los citados instrumentos internacionales se consideran parte de dicha protección.”</w:t>
      </w:r>
      <w:r w:rsidRPr="00E72B02">
        <w:rPr>
          <w:rStyle w:val="Refdenotaalpie"/>
          <w:lang w:val="es-ES"/>
        </w:rPr>
        <w:footnoteReference w:id="855"/>
      </w:r>
      <w:r w:rsidRPr="00E72B02">
        <w:t xml:space="preserve"> </w:t>
      </w:r>
    </w:p>
    <w:p w:rsidR="00485F4C" w:rsidRPr="00E72B02" w:rsidRDefault="00485F4C" w:rsidP="004551E9">
      <w:r w:rsidRPr="00E72B02">
        <w:t>Por su parte la declaración de Francia, en lo que respecta al artículo 15, es prácticamente idéntica a la planteada por los Países Bajos, aunque fue formulada al momento de la ratificación de la CDPD.</w:t>
      </w:r>
      <w:r w:rsidRPr="00E72B02">
        <w:rPr>
          <w:rStyle w:val="Refdenotaalpie"/>
          <w:lang w:val="es-ES"/>
        </w:rPr>
        <w:footnoteReference w:id="856"/>
      </w:r>
      <w:r w:rsidRPr="00E72B02">
        <w:t xml:space="preserve"> </w:t>
      </w:r>
    </w:p>
    <w:p w:rsidR="00485F4C" w:rsidRPr="00E72B02" w:rsidRDefault="00485F4C" w:rsidP="004551E9">
      <w:r w:rsidRPr="00E72B02">
        <w:t xml:space="preserve">Estas declaraciones interpretativas formuladas por Francia y los Países Bajos respecto del artículo 15, parecen indicar que en materia de consentimiento informado en el marco de la investigación biomédica, la sustitución en la toma de decisiones de personas con discapacidad, sería posible. Ahora bien, ninguno de estos dos Estados han formulado declaración o reserva respecto del artículo 12, con lo cual, en la medida que se concluya que dicho artículo 12 prohíbe la sustitución en la toma decisiones de personas con discapacidad, en todos los aspectos de la vida, </w:t>
      </w:r>
      <w:r w:rsidRPr="00E72B02">
        <w:lastRenderedPageBreak/>
        <w:t>entonces, ello pondría en tela de juicio la validez de las declaraciones formuladas por estos Estados. Sin perjuicio de ello, resulta necesario destacar que ambos Estados declaran como norma aplicable a los casos planteados por el artículo 15 instrumentos internacionales previos a la CDPD, y que como se ha mencionado anteriormente, podrían encontrarse en contraposición con lo señalado por el artículo 12.</w:t>
      </w:r>
      <w:r w:rsidRPr="00E72B02">
        <w:rPr>
          <w:rStyle w:val="Refdenotaalpie"/>
          <w:lang w:val="es-ES"/>
        </w:rPr>
        <w:footnoteReference w:id="857"/>
      </w:r>
      <w:r w:rsidRPr="00E72B02">
        <w:t xml:space="preserve"> </w:t>
      </w:r>
    </w:p>
    <w:p w:rsidR="00485F4C" w:rsidRPr="009E5B24" w:rsidRDefault="00485F4C" w:rsidP="00D579F5">
      <w:pPr>
        <w:pStyle w:val="Ttulo130"/>
        <w:rPr>
          <w:b/>
        </w:rPr>
      </w:pPr>
    </w:p>
    <w:p w:rsidR="00485F4C" w:rsidRPr="009E5B24" w:rsidRDefault="00B50ED1" w:rsidP="00D579F5">
      <w:pPr>
        <w:pStyle w:val="Ttulo130"/>
        <w:rPr>
          <w:b/>
        </w:rPr>
      </w:pPr>
      <w:r w:rsidRPr="009E5B24">
        <w:rPr>
          <w:b/>
          <w:lang w:val="es-ES_tradnl"/>
        </w:rPr>
        <w:t>6.3.2.</w:t>
      </w:r>
      <w:r w:rsidR="005A7797" w:rsidRPr="009E5B24">
        <w:rPr>
          <w:b/>
          <w:lang w:val="es-ES_tradnl"/>
        </w:rPr>
        <w:t>10</w:t>
      </w:r>
      <w:r w:rsidR="00485F4C" w:rsidRPr="009E5B24">
        <w:rPr>
          <w:b/>
          <w:lang w:val="es-ES_tradnl"/>
        </w:rPr>
        <w:t xml:space="preserve"> </w:t>
      </w:r>
      <w:r w:rsidR="00485F4C" w:rsidRPr="009E5B24">
        <w:rPr>
          <w:b/>
        </w:rPr>
        <w:t>México y Reino Unido</w:t>
      </w:r>
    </w:p>
    <w:p w:rsidR="00485F4C" w:rsidRPr="00E72B02" w:rsidRDefault="00485F4C" w:rsidP="004551E9"/>
    <w:p w:rsidR="00485F4C" w:rsidRPr="00E72B02" w:rsidRDefault="00485F4C" w:rsidP="004551E9">
      <w:r w:rsidRPr="00E72B02">
        <w:t xml:space="preserve">Las reservas formuladas por México y Reino Unido en relación con el artículo 12 merecen un comentario particular por el motivo que dichas reservas fueron retiradas luego de haberse depositado con el instrumento de ratificación. </w:t>
      </w:r>
    </w:p>
    <w:p w:rsidR="00485F4C" w:rsidRPr="00E72B02" w:rsidRDefault="00485F4C" w:rsidP="004551E9">
      <w:r w:rsidRPr="00E72B02">
        <w:t xml:space="preserve">En primer lugar México, uno de los principales impulsores de la CDPD, formuló una muy polémica declaración interpretativa al momento de ratificar la CDPD el 17 de diciembre de 2007. La misma señalaba: </w:t>
      </w:r>
    </w:p>
    <w:p w:rsidR="00485F4C" w:rsidRPr="00E72B02" w:rsidRDefault="00485F4C" w:rsidP="004551E9">
      <w:r w:rsidRPr="00E72B02">
        <w:t>“Con la absoluta determinación de proteger los derechos y la dignidad de las personas con discapacidad, los Estados Unidos Mexicanos interpretan el párrafo 2 del artículo 12 de la Convención, en el sentido de que en caso de conflicto entre dicho párrafo y la legislación nacional habrá de aplicarse –en estricto apego al principio pro homine- la norma que confiera mayor protección legal, salvaguarde la dignidad y asegure la integridad física, psicológica, emocional y patrimonial de las personas”.</w:t>
      </w:r>
    </w:p>
    <w:p w:rsidR="00485F4C" w:rsidRPr="00E72B02" w:rsidRDefault="00485F4C" w:rsidP="004551E9">
      <w:r w:rsidRPr="00E72B02">
        <w:t xml:space="preserve">Esta declaración generó una gran oposición de la sociedad civil mexicana, ya que podía interpretarse de dos formas posibles. La primera, que México pretendía dejar a salvo la posibilidad de aplicar el derecho doméstico más beneficioso, lo cual resultaba innecesario porque más allá de encontrarse </w:t>
      </w:r>
      <w:r w:rsidRPr="00E72B02">
        <w:lastRenderedPageBreak/>
        <w:t>implícito en la naturaleza jurídica de las normas internacionales de derechos humanos, la propia CDPD lo planteaba expresamente en el artículo 4(4).</w:t>
      </w:r>
      <w:r w:rsidRPr="00E72B02">
        <w:rPr>
          <w:rStyle w:val="Refdenotaalpie"/>
          <w:lang w:val="es-ES"/>
        </w:rPr>
        <w:footnoteReference w:id="858"/>
      </w:r>
      <w:r w:rsidRPr="00E72B02">
        <w:t xml:space="preserve"> La segunda, quizás la que más temores despertaba, era que México quisiera con ello arrogarse la potestad de considerar que su derecho interno, era al momento de ratificar la CDPD, más beneficioso y más protector de los derechos de las personas con discapacidad. Esta última opción se contradice que la misma esencia del artículo 12 que justamente pretende generar un cambio de los modelos vigentes en las diferentes legislaciones estatales de los Estados Unidos Mexicanos. </w:t>
      </w:r>
    </w:p>
    <w:p w:rsidR="00485F4C" w:rsidRPr="00E72B02" w:rsidRDefault="00485F4C" w:rsidP="004551E9">
      <w:r w:rsidRPr="00E72B02">
        <w:t>Finalmente, esta declaración fue retirada el 3 de enero de 2012,</w:t>
      </w:r>
      <w:r w:rsidRPr="00E72B02">
        <w:rPr>
          <w:rStyle w:val="Refdenotaalpie"/>
          <w:lang w:val="es-ES"/>
        </w:rPr>
        <w:footnoteReference w:id="859"/>
      </w:r>
      <w:r w:rsidRPr="00E72B02">
        <w:t xml:space="preserve"> tras la presión hecha por organizaciones de la sociedad civil, ya que sostenían que ésta permitía que el Estado decidiera en qué momento se aplicarían las disposiciones de la CDPD y en cuáles el marco jurídico nacional. Esto estaba causado por la consideración falsa de que “la interdicción y la tutela son medidas de apoyo y protección de la personas con alguna discapacidad intelectual o mental.</w:t>
      </w:r>
      <w:r w:rsidRPr="00E72B02">
        <w:rPr>
          <w:rStyle w:val="Refdenotaalpie"/>
        </w:rPr>
        <w:footnoteReference w:id="860"/>
      </w:r>
    </w:p>
    <w:p w:rsidR="00485F4C" w:rsidRPr="00E72B02" w:rsidRDefault="00485F4C" w:rsidP="004551E9">
      <w:r w:rsidRPr="00E72B02">
        <w:t xml:space="preserve">Por su parte el Reino Unido, había formulado una declaración interpretativa al momento de ratificar la CDPD que establecía: </w:t>
      </w:r>
    </w:p>
    <w:p w:rsidR="00485F4C" w:rsidRPr="00E72B02" w:rsidRDefault="00485F4C" w:rsidP="004551E9">
      <w:r w:rsidRPr="00E72B02">
        <w:lastRenderedPageBreak/>
        <w:t>“Las medidas vigentes en el Reino Unidos donde el Secretario de Estado puede designar una persona para ejercer derechos en relación con reclamaciones a la seguridad social y el pago en representación de un individuo que se encuentra momentáneamente incapacitado de actuar, no se encuentran por el momento sujetas a salvaguardias o revisión periódica, según lo establece el artículo 12(4) de la Convención, y el Reino Unido se reserva el derecho de aplicar dichas mediadas. El Reino Unido se encuentra trabajando para implementar un sistema de revisión apropiado”.</w:t>
      </w:r>
      <w:r w:rsidRPr="00E72B02">
        <w:rPr>
          <w:rStyle w:val="Refdenotaalpie"/>
          <w:lang w:val="es-ES"/>
        </w:rPr>
        <w:footnoteReference w:id="861"/>
      </w:r>
      <w:r w:rsidRPr="00E72B02">
        <w:t xml:space="preserve"> </w:t>
      </w:r>
    </w:p>
    <w:p w:rsidR="00485F4C" w:rsidRPr="00E72B02" w:rsidRDefault="00485F4C" w:rsidP="004551E9">
      <w:r w:rsidRPr="00E72B02">
        <w:t>Finalmente el 21 de diciembre de 2011, el Reino Unido retiró esta declaración particular sobre el artículo 12(4), aunque como destacan TROMMEL y DEVANDAS, no parece haber intención por parte de este Estado de “sustituir el modelo de sustitución en la capacidad de actuar por un sistema de apoyo”.</w:t>
      </w:r>
      <w:r w:rsidRPr="00E72B02">
        <w:rPr>
          <w:rStyle w:val="Refdenotaalpie"/>
          <w:lang w:val="es-ES"/>
        </w:rPr>
        <w:footnoteReference w:id="862"/>
      </w:r>
      <w:r w:rsidRPr="00E72B02">
        <w:t xml:space="preserve"> </w:t>
      </w:r>
    </w:p>
    <w:p w:rsidR="00485F4C" w:rsidRPr="00E72B02" w:rsidRDefault="00485F4C" w:rsidP="00D579F5">
      <w:pPr>
        <w:pStyle w:val="TTULO13"/>
      </w:pPr>
    </w:p>
    <w:p w:rsidR="00485F4C" w:rsidRPr="00E72B02" w:rsidRDefault="00485F4C" w:rsidP="00D579F5">
      <w:pPr>
        <w:pStyle w:val="TTULO13"/>
      </w:pPr>
      <w:r w:rsidRPr="00E72B02">
        <w:t xml:space="preserve">6.3.3 ANALISIS DE LAS DECLARACIONES Y RESERVAS </w:t>
      </w:r>
    </w:p>
    <w:p w:rsidR="00485F4C" w:rsidRPr="00E72B02" w:rsidRDefault="00485F4C" w:rsidP="004551E9"/>
    <w:p w:rsidR="00485F4C" w:rsidRPr="00E72B02" w:rsidRDefault="00485F4C" w:rsidP="004551E9">
      <w:r w:rsidRPr="00E72B02">
        <w:t xml:space="preserve">Teniendo presente el régimen jurídico de reservas establecido por la propia CDPD, y la aplicación supletoria del derecho internacional general, es posible establecer algunas conclusiones generales sobre el valor jurídico de </w:t>
      </w:r>
      <w:r w:rsidRPr="00E72B02">
        <w:lastRenderedPageBreak/>
        <w:t xml:space="preserve">las reservas y declaraciones formuladas hasta la fecha en relación con el artículo 12. </w:t>
      </w:r>
    </w:p>
    <w:p w:rsidR="00485F4C" w:rsidRPr="00E72B02" w:rsidRDefault="00485F4C" w:rsidP="004551E9"/>
    <w:p w:rsidR="00485F4C" w:rsidRPr="009E5B24" w:rsidRDefault="00485F4C" w:rsidP="00D579F5">
      <w:pPr>
        <w:pStyle w:val="Ttulo130"/>
        <w:rPr>
          <w:b/>
        </w:rPr>
      </w:pPr>
      <w:r w:rsidRPr="009E5B24">
        <w:rPr>
          <w:b/>
        </w:rPr>
        <w:t>6.3.3.1 Los modelos de reservas y declaraciones</w:t>
      </w:r>
    </w:p>
    <w:p w:rsidR="00485F4C" w:rsidRPr="00E72B02" w:rsidRDefault="00485F4C" w:rsidP="004551E9"/>
    <w:p w:rsidR="00485F4C" w:rsidRPr="00E72B02" w:rsidRDefault="00485F4C" w:rsidP="004551E9">
      <w:r w:rsidRPr="00E72B02">
        <w:t xml:space="preserve">De las reservas y declaraciones formuladas hasta la fecha en el contexto de la CDPD, es posible identificar al menos tres modelos diferentes. </w:t>
      </w:r>
    </w:p>
    <w:p w:rsidR="00485F4C" w:rsidRPr="00E72B02" w:rsidRDefault="00485F4C" w:rsidP="004551E9">
      <w:r w:rsidRPr="00E72B02">
        <w:t xml:space="preserve">Un primer modelo que podríamos denominar como restringido, en el que los Estados ponen de manifiesto su oposición frontal a interpretar el concepto de capacidad jurídica, como que comprende el de la capacidad de obrar. Con ello, dichos Estados pretenden oponerse a que el artículo 12 de la CDPD genere efectos jurídicos sobre el derecho interno en lo que respecta al modo de abordar y regular jurídicamente las restricciones o limitaciones a la capacidad de obrar de las personas con discapacidad. Tal es el caso de las reservas y declaraciones de Siria, Egipto, </w:t>
      </w:r>
      <w:r w:rsidR="00B50ED1">
        <w:t xml:space="preserve">Kuwait, </w:t>
      </w:r>
      <w:r w:rsidRPr="00E72B02">
        <w:t>Polonia</w:t>
      </w:r>
      <w:r w:rsidR="00B50ED1">
        <w:t xml:space="preserve">, </w:t>
      </w:r>
      <w:r w:rsidRPr="00E72B02">
        <w:t>Estonia</w:t>
      </w:r>
      <w:r w:rsidR="00B50ED1">
        <w:t xml:space="preserve"> o Venezuela</w:t>
      </w:r>
      <w:r w:rsidRPr="00E72B02">
        <w:t xml:space="preserve">. </w:t>
      </w:r>
    </w:p>
    <w:p w:rsidR="00485F4C" w:rsidRPr="00E72B02" w:rsidRDefault="00485F4C" w:rsidP="004551E9">
      <w:r w:rsidRPr="00E72B02">
        <w:t xml:space="preserve">Este modelo de reserva o declaración, sin perjuicio de cómo se lo denomine, conlleva a dejar sin efecto jurídico el cambio de paradigma que propone el artículo 12, al limitar dicho artículo simplemente al aspecto estático de la capacidad jurídica, esto es, la capacidad de ser titular de derecho, pero dejando al ámbito doméstico la regulación de el aspecto dinámica de la capacidad jurídica, esto es, la capacidad de obrar, o de tomar decisiones en nombre propio. Con lo cual, la primera conclusión que se podría señalar es que en rigor no encontramos ante una verdadera reserva al artículo 12 y no simplemente ante una declaración interpretativa. De este modo, los efectos jurídicos de estas reservas deberán ser analizados respecto de su compatibilidad con el objeto y fin del tratado. </w:t>
      </w:r>
    </w:p>
    <w:p w:rsidR="00485F4C" w:rsidRPr="00E72B02" w:rsidRDefault="00485F4C" w:rsidP="004551E9">
      <w:r w:rsidRPr="00E72B02">
        <w:t>Un segundo modelo que podríamos denominar como moderado, en el que</w:t>
      </w:r>
      <w:r w:rsidR="00B50ED1">
        <w:t xml:space="preserve"> los Estados ponen de manifiesto</w:t>
      </w:r>
      <w:r w:rsidRPr="00E72B02">
        <w:t xml:space="preserve"> su aprobación al cambio de paradigma </w:t>
      </w:r>
      <w:r w:rsidRPr="00E72B02">
        <w:lastRenderedPageBreak/>
        <w:t xml:space="preserve">planteado por el artículo 12 pero dejando en claro que existen situaciones excepcionales previstas por el lenguaje del propio artículo 12 donde es posible que el Estado pueda mantener ciertas medidas jurídicas que supongan una limitación de la capacidad jurídica de las personas con discapacidad y el nombramiento de un representante legal que adoptará decisiones en nombre de la persona con discapacidad. Tal es el caso de las reservas formuladas por Australia, Canadá o Noruega. </w:t>
      </w:r>
    </w:p>
    <w:p w:rsidR="00485F4C" w:rsidRPr="00E72B02" w:rsidRDefault="00485F4C" w:rsidP="004551E9">
      <w:r w:rsidRPr="00E72B02">
        <w:t xml:space="preserve">A diferencia del primer modelo, este modelo reconoce que el artículo 12 se proyecta sobre el reconocimiento y la regulación del aspecto dinámico de la capacidad jurídica, es decir, la capacidad de obrar, y además reconoce que el modelo de apoyos en el ejercicio de la capacidad jurídica debe ser el principio que inspire al derecho doméstico. Con lo cual, este modelo no niega los efectos jurídicos del artículo 12 sobre el derecho interno de los Estados, y asume en cambio, la necesidad de reformar la legislación en dicho sentido. Ahora bien, el modelo moderado de reservas y declaraciones, claramente plantea que la garantía de igualdad en el ejercicio de la capacidad jurídica de las personas con discapacidad no es absoluta, y por tanto, puede ser objeto de restricciones. </w:t>
      </w:r>
    </w:p>
    <w:p w:rsidR="00485F4C" w:rsidRPr="00E72B02" w:rsidRDefault="00485F4C" w:rsidP="004551E9">
      <w:r w:rsidRPr="00E72B02">
        <w:t xml:space="preserve">Si tenemos en cuenta los debates que se generaron en torno al artículo 12 durante el proceso de negociación, sumado a que lo planteado por el modelo moderado aun es objeto de intensas discusiones en la doctrina y expertos en la materia, entonces pareciera legítimo indicar que nos encontramos ante un modelo de declaración o reserva que, </w:t>
      </w:r>
      <w:r w:rsidRPr="00E72B02">
        <w:rPr>
          <w:i/>
        </w:rPr>
        <w:t>prima facie</w:t>
      </w:r>
      <w:r w:rsidRPr="00E72B02">
        <w:t xml:space="preserve">, no se opone frontalmente al objeto y fin del tratado. Ello no quiere decir que el artículo 12 deba ser interpretado como que genera los efectos jurídicos del modelo moderado en relación con todos los Estados Parte de la CDPD, sino simplemente, que nos podríamos encontrar ante un tipo de declaración o reserva permitido por la propia CDPD y por las reglas generales del derecho internacional general. </w:t>
      </w:r>
    </w:p>
    <w:p w:rsidR="00485F4C" w:rsidRPr="00E72B02" w:rsidRDefault="00485F4C" w:rsidP="004551E9">
      <w:r w:rsidRPr="00E72B02">
        <w:t xml:space="preserve">Finalmente, un tercer modelo que podríamos denominar como de efectos indirectos, en el que los Estados manifiestan su oposición a disposiciones de </w:t>
      </w:r>
      <w:r w:rsidRPr="00E72B02">
        <w:lastRenderedPageBreak/>
        <w:t>la CDPD que indirectamente se relacionan con el cambio de paradigma planteado por el artículo 12. Tal es el caso de las declaraciones y reservas al artículo 14, 15, 23 o 29. Y el efecto indirecto se genera en tanto que las declaraciones y reservas tienen como propósito o efecto dejar sin efecto el derecho de todas las personas con discapacidad al ejercicio de su capacidad jurídica y a la provisión de apoyo en todos los aspectos de la vida. Estos son los casos de las declaraciones o reservas formuladas por Franci</w:t>
      </w:r>
      <w:r w:rsidR="00B50ED1">
        <w:t xml:space="preserve">a, los Países Bajos, Noruega, </w:t>
      </w:r>
      <w:r w:rsidRPr="00E72B02">
        <w:t>Australia</w:t>
      </w:r>
      <w:r w:rsidR="00B50ED1">
        <w:t>, o Singapur</w:t>
      </w:r>
      <w:r w:rsidRPr="00E72B02">
        <w:t xml:space="preserve">. </w:t>
      </w:r>
    </w:p>
    <w:p w:rsidR="00485F4C" w:rsidRPr="00E72B02" w:rsidRDefault="00485F4C" w:rsidP="004551E9">
      <w:r w:rsidRPr="00E72B02">
        <w:t xml:space="preserve">Este tipo de declaraciones y reservas deben ser analizadas en cada caso particular. Por ejemplo las declaraciones de Francia y los Países Bajos respecto del artículo 15 pretenden dejar de manifiesta la posición de dichos Estados sobre el régimen jurídico en materia de investigaciones biomédicas donde consideran aplicable lo señalado por la COBDH, el cual como hemos vistos, se podría encontrar en contraposición con lo señalado por el artículo 12. Las declaraciones de Noruega y Australia en relación con el artículo 14 y 15 podrían enmarcase donde del modelo moderado, es decir, no rechazan frontalmente lo señalado por dichos artículos, sino que se reservan el derecho de establecer excepciones. </w:t>
      </w:r>
    </w:p>
    <w:p w:rsidR="00485F4C" w:rsidRPr="00E72B02" w:rsidRDefault="00485F4C" w:rsidP="004551E9">
      <w:r w:rsidRPr="00E72B02">
        <w:t xml:space="preserve">  </w:t>
      </w:r>
    </w:p>
    <w:p w:rsidR="00485F4C" w:rsidRPr="009E5B24" w:rsidRDefault="00485F4C" w:rsidP="00D579F5">
      <w:pPr>
        <w:pStyle w:val="Ttulo130"/>
        <w:rPr>
          <w:b/>
        </w:rPr>
      </w:pPr>
      <w:r w:rsidRPr="009E5B24">
        <w:rPr>
          <w:b/>
        </w:rPr>
        <w:t>6.3.3.2 El valor jurídico de las reservas y declaraciones</w:t>
      </w:r>
    </w:p>
    <w:p w:rsidR="00485F4C" w:rsidRPr="00E72B02" w:rsidRDefault="00485F4C" w:rsidP="004551E9"/>
    <w:p w:rsidR="00485F4C" w:rsidRPr="00E72B02" w:rsidRDefault="00485F4C" w:rsidP="004551E9">
      <w:r w:rsidRPr="00E72B02">
        <w:t xml:space="preserve">Como se ha dicha ya, las reservas generan una multiplicidad de efectos jurídicos dependiendo de diferentes factores previstos por las normas del derecho internacional general. A grades rasgos podríamos dividir dichos efectos en efectos </w:t>
      </w:r>
      <w:r w:rsidRPr="00E72B02">
        <w:rPr>
          <w:i/>
        </w:rPr>
        <w:t>inter-partes</w:t>
      </w:r>
      <w:r w:rsidRPr="00E72B02">
        <w:t xml:space="preserve"> y efectos </w:t>
      </w:r>
      <w:r w:rsidRPr="00E72B02">
        <w:rPr>
          <w:i/>
        </w:rPr>
        <w:t>erga-omnes</w:t>
      </w:r>
      <w:r w:rsidRPr="00E72B02">
        <w:t xml:space="preserve">. </w:t>
      </w:r>
    </w:p>
    <w:p w:rsidR="00485F4C" w:rsidRPr="00E72B02" w:rsidRDefault="00485F4C" w:rsidP="004551E9">
      <w:r w:rsidRPr="00E72B02">
        <w:t xml:space="preserve">En cuanto a los efectos </w:t>
      </w:r>
      <w:r w:rsidRPr="00E72B02">
        <w:rPr>
          <w:i/>
        </w:rPr>
        <w:t>inter-partes</w:t>
      </w:r>
      <w:r w:rsidRPr="00E72B02">
        <w:t xml:space="preserve">, las declaraciones y reservas formuladas en relación con el artículo 12, no han sido objeto de objeciones, pero tampoco de aceptaciones expresas. Con lo cual, y sin perjuicio de que todas las reservas y declaraciones deban ser analizadas en virtud del test de compatibilidad con el objeto y fin del tratado, por imperio de lo señalado </w:t>
      </w:r>
      <w:r w:rsidRPr="00E72B02">
        <w:lastRenderedPageBreak/>
        <w:t>por el artículo 20(5) de la CVDT “</w:t>
      </w:r>
      <w:r w:rsidRPr="00B50ED1">
        <w:rPr>
          <w:i/>
        </w:rPr>
        <w:t>se considerara que una reserva ha sido aceptada por un Estado cuando este no ha formulado ninguna objeción a la reserva dentro de los doce meses siguientes a la fecha en que hayan recibido la notificación de la reserva o en la fecha en que haya manifestado su consentimiento en obligarse por el tratado si esta última es posterior</w:t>
      </w:r>
      <w:r w:rsidRPr="00E72B02">
        <w:t>”. Consecuentemente, en la medida que las declaraciones y reservas se puedan considerar como efectivas, como señala el artículo 21(1</w:t>
      </w:r>
      <w:r w:rsidR="009E4349" w:rsidRPr="00E72B02">
        <w:t>) (</w:t>
      </w:r>
      <w:r w:rsidRPr="00E72B02">
        <w:t>a) de la CVDT, la declaración o reserva “</w:t>
      </w:r>
      <w:r w:rsidRPr="00B50ED1">
        <w:rPr>
          <w:i/>
        </w:rPr>
        <w:t>modificara con respecto al Estado autor de la reserva en sus relaciones con esa otra parte las disposiciones del tratado a que se refiera la reserva en la medida determinada por la misma</w:t>
      </w:r>
      <w:r w:rsidRPr="00E72B02">
        <w:t xml:space="preserve">”. </w:t>
      </w:r>
    </w:p>
    <w:p w:rsidR="00485F4C" w:rsidRPr="00E72B02" w:rsidRDefault="00485F4C" w:rsidP="004551E9">
      <w:r w:rsidRPr="00E72B02">
        <w:t xml:space="preserve">En cuanto a los efectos </w:t>
      </w:r>
      <w:r w:rsidRPr="00B50ED1">
        <w:rPr>
          <w:i/>
        </w:rPr>
        <w:t>erga-omnes</w:t>
      </w:r>
      <w:r w:rsidRPr="00E72B02">
        <w:t xml:space="preserve">, corresponde analizar si las reservas y declaraciones formuladas respecto del artículo 12 de la CDDP podrían contribuir a generar una </w:t>
      </w:r>
      <w:r w:rsidRPr="00E72B02">
        <w:rPr>
          <w:i/>
        </w:rPr>
        <w:t>opinio juris</w:t>
      </w:r>
      <w:r w:rsidRPr="00E72B02">
        <w:t xml:space="preserve"> de una norma consuetudinaria, o si podrían constituir un elemento válido de interpretación en dicho sentido. </w:t>
      </w:r>
    </w:p>
    <w:p w:rsidR="00485F4C" w:rsidRPr="00E72B02" w:rsidRDefault="00485F4C" w:rsidP="004551E9">
      <w:r w:rsidRPr="00E72B02">
        <w:t xml:space="preserve">En cuanto a la primera de las cuestiones señaladas, esto es si las declaraciones y reservas pueden ser indicativas de </w:t>
      </w:r>
      <w:r w:rsidRPr="00E72B02">
        <w:rPr>
          <w:i/>
        </w:rPr>
        <w:t>opinio juris</w:t>
      </w:r>
      <w:r w:rsidRPr="00E72B02">
        <w:t xml:space="preserve"> sobre la conformación de una norma de derecho consuetudinario contraria a lo señalado por el artículo 12 de la CDPD, no pareciera como señala la jurisprudencia del TIJ que nos encontremos ante una práctica constante que “</w:t>
      </w:r>
      <w:r w:rsidRPr="00B50ED1">
        <w:rPr>
          <w:i/>
        </w:rPr>
        <w:t>se ha hecho obligatoria por la existencia de una regla jurídica</w:t>
      </w:r>
      <w:r w:rsidRPr="00E72B02">
        <w:t>”.</w:t>
      </w:r>
      <w:r w:rsidRPr="00E72B02">
        <w:rPr>
          <w:rStyle w:val="Refdenotaalpie"/>
          <w:lang w:val="es-ES"/>
        </w:rPr>
        <w:footnoteReference w:id="863"/>
      </w:r>
      <w:r w:rsidRPr="00E72B02">
        <w:t xml:space="preserve"> </w:t>
      </w:r>
    </w:p>
    <w:p w:rsidR="00485F4C" w:rsidRDefault="00485F4C" w:rsidP="004551E9">
      <w:r w:rsidRPr="00E72B02">
        <w:t xml:space="preserve">En cuanto a los efectos de las reservas y declaraciones para la interpretación del artículo 12 de la CDPD, es preciso distinguir entre la interpretación del artículo 12 en relación con el propio Estado autor de la reserva o declaración, y la interpretación del artículo 12 para el resto de los Estados Parte. En relación con el propio Estado, en la medida que la reserva se considere efectiva, evidentemente generará para dicho Estado una pauta de interpretación propia que eventualmente podría eximirlo de ciertos efectos </w:t>
      </w:r>
      <w:r w:rsidRPr="00E72B02">
        <w:lastRenderedPageBreak/>
        <w:t xml:space="preserve">jurídicos. En este sentido, </w:t>
      </w:r>
      <w:r w:rsidR="00B72639">
        <w:t>el CteCDPD se ha pronunciado en sentido negativo de las reservas efectuadas por Australia y El Salvador, aunque se ha limitado a alentar a dichos Estados a que retiren las reservas o declaraciones formuladas, sin entrar a considerar la validez de las mismas a la luz del objeto y fin del tratado.</w:t>
      </w:r>
      <w:r w:rsidR="00B72639">
        <w:rPr>
          <w:rStyle w:val="Refdenotaalpie"/>
          <w:lang w:val="es-ES"/>
        </w:rPr>
        <w:footnoteReference w:id="864"/>
      </w:r>
      <w:r w:rsidR="00B72639">
        <w:t xml:space="preserve">  </w:t>
      </w:r>
      <w:r w:rsidRPr="00E72B02">
        <w:t xml:space="preserve">En relación con el resto de los Estados Parte, las declaraciones y reservas efectuadas por otros Estados no constituyen un elemento de interpretación suficiente para restarle los efectos jurídicos que dicha disposición trae consigo. </w:t>
      </w:r>
    </w:p>
    <w:p w:rsidR="00485F4C" w:rsidRPr="009E5B24" w:rsidRDefault="00485F4C" w:rsidP="004551E9">
      <w:pPr>
        <w:rPr>
          <w:b/>
        </w:rPr>
      </w:pPr>
    </w:p>
    <w:p w:rsidR="00485F4C" w:rsidRPr="009E5B24" w:rsidRDefault="00485F4C" w:rsidP="00D579F5">
      <w:pPr>
        <w:pStyle w:val="Ttulo130"/>
        <w:rPr>
          <w:b/>
        </w:rPr>
      </w:pPr>
      <w:r w:rsidRPr="009E5B24">
        <w:rPr>
          <w:b/>
        </w:rPr>
        <w:t>6.3.3.3 El test de compatibilidad de las reservas y declaraciones</w:t>
      </w:r>
    </w:p>
    <w:p w:rsidR="00485F4C" w:rsidRPr="009E5B24" w:rsidRDefault="00485F4C" w:rsidP="004551E9">
      <w:pPr>
        <w:rPr>
          <w:b/>
        </w:rPr>
      </w:pPr>
    </w:p>
    <w:p w:rsidR="00485F4C" w:rsidRPr="00E72B02" w:rsidRDefault="00485F4C" w:rsidP="004551E9">
      <w:r w:rsidRPr="00E72B02">
        <w:t>Como bien señala MARIÑO, el objeto y fin del tratado es un elemento normativo de interpretación de enorme importancia, como se pone también de manifiesto por la función específica que juego en el régimen de la celebración, reservas, modificación, suspensión o terminación de un tratado.</w:t>
      </w:r>
      <w:r w:rsidRPr="00E72B02">
        <w:rPr>
          <w:rStyle w:val="Refdenotaalpie"/>
          <w:lang w:val="es-ES"/>
        </w:rPr>
        <w:footnoteReference w:id="865"/>
      </w:r>
      <w:r w:rsidRPr="00E72B02">
        <w:t xml:space="preserve"> </w:t>
      </w:r>
    </w:p>
    <w:p w:rsidR="00485F4C" w:rsidRPr="00E72B02" w:rsidRDefault="00485F4C" w:rsidP="004551E9">
      <w:r w:rsidRPr="00E72B02">
        <w:t>El propio artículo 46(1) de la CDPD establece que “</w:t>
      </w:r>
      <w:r w:rsidRPr="00B50ED1">
        <w:t>no se permitirán reservas incompatibles con el objeto y el propósito de la presente Convención</w:t>
      </w:r>
      <w:r w:rsidRPr="00E72B02">
        <w:t>”. Afortunadamente, la CDPD establece expresamente en su artículo 1 que el “</w:t>
      </w:r>
      <w:r w:rsidRPr="00B50ED1">
        <w:t>propósito de la presente Convención es promover, proteger y asegurar el goce pleno y en condiciones de igualdad de todos los derechos humanos y libertades fundamentales por todas las personas con discapacidad, y promover el respeto de su dignidad inherente</w:t>
      </w:r>
      <w:r w:rsidRPr="00E72B02">
        <w:t xml:space="preserve">”. </w:t>
      </w:r>
    </w:p>
    <w:p w:rsidR="00485F4C" w:rsidRPr="00E72B02" w:rsidRDefault="00485F4C" w:rsidP="004551E9">
      <w:r w:rsidRPr="00E72B02">
        <w:t xml:space="preserve">Adicionalmente, es preciso señalar dos cuestiones de suma importancia para evaluar el test de compatibilidad de las reservas y declaraciones a la CDPD. </w:t>
      </w:r>
    </w:p>
    <w:p w:rsidR="00485F4C" w:rsidRPr="00E72B02" w:rsidRDefault="00485F4C" w:rsidP="004551E9">
      <w:r w:rsidRPr="00E72B02">
        <w:lastRenderedPageBreak/>
        <w:t>La primera cuestión se desprende de la regla fundamental de derecho internacional general recogido en el artículo 27 de la CVDT que señala que una “</w:t>
      </w:r>
      <w:r w:rsidRPr="00B50ED1">
        <w:rPr>
          <w:i/>
        </w:rPr>
        <w:t>parte no podrá invocar las disposiciones de su derecho interno como justificación del incumplimiento de un tratado</w:t>
      </w:r>
      <w:r w:rsidRPr="00E72B02">
        <w:t>”. Ahora bien, si perjuicio de la importancia de la regla del artículo 27, es necesario señalar que, en cierto sentido, el objeto de las reservas y declaraciones es justamente permitir a ciertos Estados manifestar su consentimiento en obligarse dejando a resguardo algunas disposiciones del derecho interno que pudieran encontrarse en contraposición con disposiciones del tratado en cuestión. Por ello, la regla del artículo 27 no debe ser utilizada siempre como argumento de objeción de una reserva o declaración, a menos que dicha reserva o declaración sea manifiestamente contraria a lo estipulado por este principio.</w:t>
      </w:r>
      <w:r w:rsidRPr="00E72B02">
        <w:rPr>
          <w:rStyle w:val="Refdenotaalpie"/>
          <w:lang w:val="es-ES"/>
        </w:rPr>
        <w:footnoteReference w:id="866"/>
      </w:r>
      <w:r w:rsidRPr="00E72B02">
        <w:t xml:space="preserve"> </w:t>
      </w:r>
    </w:p>
    <w:p w:rsidR="00485F4C" w:rsidRPr="00E72B02" w:rsidRDefault="00485F4C" w:rsidP="004551E9">
      <w:r w:rsidRPr="00E72B02">
        <w:t xml:space="preserve">La segunda cuestión se relaciona con el carácter de la CDPD, es decir, como un tratado multilateral de derechos humanos. Hoy día, existe consenso en la doctrina y la jurisprudencia internacional que los tratados de derechos humanos se encuentran afectados por un régimen de reservas particular. </w:t>
      </w:r>
    </w:p>
    <w:p w:rsidR="00485F4C" w:rsidRPr="00E72B02" w:rsidRDefault="00485F4C" w:rsidP="004551E9">
      <w:r w:rsidRPr="00E72B02">
        <w:t>En la opinión consultiva sobre reservas a la Convención contra el Genocidio, el TIJ al responder a la pregunta sobre cuál es el carácter de las reservas que pueden formularse señaló que la “</w:t>
      </w:r>
      <w:r w:rsidRPr="00B50ED1">
        <w:rPr>
          <w:i/>
        </w:rPr>
        <w:t xml:space="preserve">solución hay que buscarla en las características particulares de la Convención sobre el Genocidio. Los principios en que se basa son reconocidos por las naciones civilizadas como obligatorios para todos los Estados, incluso sin ninguna relación </w:t>
      </w:r>
      <w:r w:rsidRPr="00B50ED1">
        <w:rPr>
          <w:i/>
        </w:rPr>
        <w:lastRenderedPageBreak/>
        <w:t>convencional; se ha querido que sea una convención de alcance universal; su finalidad es puramente humanitaria y civilizadora; los Estados contratantes no obtienen ninguna ventaja o desventaja, ni tienen intereses propios, sino un interés común. De todo ello puede concluirse que el objeto y el fin de la Convención implican por parte de la Asamblea General y de los Estados que la aprobaron la intención de reunir al mayor número posible de participantes</w:t>
      </w:r>
      <w:r w:rsidRPr="00E72B02">
        <w:t>”.</w:t>
      </w:r>
      <w:r w:rsidRPr="00E72B02">
        <w:rPr>
          <w:rStyle w:val="Refdenotaalpie"/>
          <w:lang w:val="es-ES"/>
        </w:rPr>
        <w:footnoteReference w:id="867"/>
      </w:r>
    </w:p>
    <w:p w:rsidR="00485F4C" w:rsidRPr="00E72B02" w:rsidRDefault="00485F4C" w:rsidP="004551E9">
      <w:r w:rsidRPr="00E72B02">
        <w:t xml:space="preserve">Por su parte el Comité de Derechos Humanos en su observación general 24 ha abordado la cuestión relativa a las reservas del PIDCP, cuyas conclusiones podrían ser aplicadas al resto de los tratados de derechos humanos. </w:t>
      </w:r>
    </w:p>
    <w:p w:rsidR="00485F4C" w:rsidRPr="00E72B02" w:rsidRDefault="00485F4C" w:rsidP="004551E9">
      <w:r w:rsidRPr="00E72B02">
        <w:t>En primer lugar el Comité señala que “</w:t>
      </w:r>
      <w:r w:rsidRPr="00B50ED1">
        <w:t>Las reservas contrarias a normas perentorias no serían compatibles con el objeto y fin del Pacto. Aunque los tratados constituyen un simple intercambio de obligaciones entre los Estados que les permite reservarse inter se la aplicación de normas de derecho internacional general, otra cosa son los tratados de derechos humanos, cuyo objeto es beneficiar a las personas que se encuentran en su jurisdicción. En consecuencia, las disposiciones del Pacto que son de derecho internacional consuetudinario (y a fortiori cuando tienen el carácter de normas perentorias) no pueden ser objeto de reservas</w:t>
      </w:r>
      <w:r w:rsidRPr="00E72B02">
        <w:t>”.</w:t>
      </w:r>
      <w:r w:rsidRPr="00E72B02">
        <w:rPr>
          <w:rStyle w:val="Refdenotaalpie"/>
          <w:lang w:val="es-ES"/>
        </w:rPr>
        <w:footnoteReference w:id="868"/>
      </w:r>
      <w:r w:rsidRPr="00E72B02">
        <w:t xml:space="preserve"> </w:t>
      </w:r>
    </w:p>
    <w:p w:rsidR="00485F4C" w:rsidRPr="00E72B02" w:rsidRDefault="00485F4C" w:rsidP="004551E9">
      <w:r w:rsidRPr="00E72B02">
        <w:t>En segundo lugar, el Comité manifiesta que “</w:t>
      </w:r>
      <w:r w:rsidRPr="00B50ED1">
        <w:t xml:space="preserve">ha examinado también si algunas categorías de reservas pueden ser contrarias a la prueba del "objeto </w:t>
      </w:r>
      <w:r w:rsidRPr="00B50ED1">
        <w:lastRenderedPageBreak/>
        <w:t>y fin". En particular, ha examinado si las reservas a las disposiciones inderogables del Pacto son compatibles con su objeto y fin. Aun cuando no existe una jerarquía de importancia entre los derechos en el Pacto, no cabe suspender la aplicación de algunos de ellos ni siquiera en momentos de emergencia nacional</w:t>
      </w:r>
      <w:r w:rsidRPr="00E72B02">
        <w:t>”.</w:t>
      </w:r>
      <w:r w:rsidRPr="00E72B02">
        <w:rPr>
          <w:rStyle w:val="Refdenotaalpie"/>
          <w:lang w:val="es-ES"/>
        </w:rPr>
        <w:footnoteReference w:id="869"/>
      </w:r>
      <w:r w:rsidRPr="00E72B02">
        <w:t xml:space="preserve"> </w:t>
      </w:r>
    </w:p>
    <w:p w:rsidR="00485F4C" w:rsidRPr="00E72B02" w:rsidRDefault="00485F4C" w:rsidP="004551E9">
      <w:r w:rsidRPr="00E72B02">
        <w:t>Finalmente el Comité destaca que “</w:t>
      </w:r>
      <w:r w:rsidRPr="00B50ED1">
        <w:t xml:space="preserve">es en la Convención de Viena sobre el Derecho de los Tratados donde se definen las reservas y también donde se prevé la aplicación de la prueba del objeto y fin a falta de otras disposiciones concretas. Pero el Comité considera que las disposiciones de la Convención relativas a la función de las objeciones de los Estados en relación con las reservas no son adecuadas para abordar el problema de las reservas a los tratados de derechos humanos. Esos tratados, y concretamente el Pacto, no son una red de intercambios de obligaciones entre los Estados. Se refieren a la otorgación de derechos a las personas. No ha lugar al principio de la reciprocidad entre los Estados, salvo tal vez en el limitado contexto de las reservas formuladas a las declaraciones sobre la competencia del Comité en virtud del artículo 41. Y, dado que la aplicación de las normas clásicas sobre las reservas es tan inadecuada para el Pacto, los Estados no han considerado con frecuencia interesante o necesario desde el punto de vista jurídico oponerse a las reservas. No cabe deducir del hecho de que los Estados no formulen una protesta que una reserva sea compatible o incompatible con el objeto y fin del Pacto. Se han formulado objeciones ocasionalmente, unos Estados sí, pero no otros, y no siempre se han especificado los motivos; cuando se hace una objeción, no se suele especificar una consecuencia jurídica y, en ocasiones, incluso se indica que la Parte que hace la objeción no considera que el Pacto no esté en vigor entre las Partes interesadas. En pocas palabras, la situación es tan poco clara </w:t>
      </w:r>
      <w:r w:rsidRPr="00B50ED1">
        <w:lastRenderedPageBreak/>
        <w:t>que no cabe suponer que, por el hecho de no hacer objeciones, un Estado considere que una determinada reserva sea aceptable. El Comité opina que, debido a las características especiales del Pacto en su calidad de tratado de derechos humanos, es debatible qué efecto surten las objeciones entre los Estados inter se. Sin embargo, la objeción a una reserva formulada por los Estados puede ofrecer cierta orientación al Comité para interpretar su compatibilidad con el objeto y fin del Pacto</w:t>
      </w:r>
      <w:r w:rsidRPr="00E72B02">
        <w:t>”.</w:t>
      </w:r>
      <w:r w:rsidRPr="00E72B02">
        <w:rPr>
          <w:rStyle w:val="Refdenotaalpie"/>
          <w:lang w:val="es-ES"/>
        </w:rPr>
        <w:footnoteReference w:id="870"/>
      </w:r>
    </w:p>
    <w:p w:rsidR="00485F4C" w:rsidRPr="00E72B02" w:rsidRDefault="00485F4C" w:rsidP="004551E9">
      <w:r w:rsidRPr="00E72B02">
        <w:t xml:space="preserve">En lo que respecto a la CDPD, el Comité de seguimiento del tratado </w:t>
      </w:r>
      <w:r w:rsidR="009139ED">
        <w:t>se ha pronunciado en sentido negativo de las reservas efectuadas por Australia y El Salvador, aunque se ha limitado a alentar a dichos Estados a que retiren las reservas o declaraciones formuladas, sin entrar a considerar la validez de las mismas a la luz del objeto y fin del tratado.</w:t>
      </w:r>
      <w:r w:rsidR="009139ED">
        <w:rPr>
          <w:rStyle w:val="Refdenotaalpie"/>
          <w:lang w:val="es-ES"/>
        </w:rPr>
        <w:footnoteReference w:id="871"/>
      </w:r>
      <w:r w:rsidR="009139ED">
        <w:t xml:space="preserve">  </w:t>
      </w:r>
    </w:p>
    <w:p w:rsidR="00485F4C" w:rsidRPr="00E72B02" w:rsidRDefault="00485F4C" w:rsidP="004551E9">
      <w:r w:rsidRPr="00E72B02">
        <w:t>Ahora bien, como señala SIM</w:t>
      </w:r>
      <w:r w:rsidR="004344AF">
        <w:t>M</w:t>
      </w:r>
      <w:r w:rsidRPr="00E72B02">
        <w:t>A, en ausencia de un órgano colegiado designado para dichos efectos, o una determinación vinculante de un tercero, la evaluación de una reserva como contraria el objeto y fin de un tratado particular estará condicionada desde una perspectiva subjetiva y bilateral.</w:t>
      </w:r>
      <w:r w:rsidRPr="00E72B02">
        <w:rPr>
          <w:rStyle w:val="Refdenotaalpie"/>
          <w:lang w:val="es-ES"/>
        </w:rPr>
        <w:footnoteReference w:id="872"/>
      </w:r>
      <w:r w:rsidRPr="00E72B02">
        <w:t xml:space="preserve"> Con lo cual resulta complejo evaluar </w:t>
      </w:r>
      <w:r w:rsidRPr="006137C2">
        <w:rPr>
          <w:i/>
        </w:rPr>
        <w:t>in abstracto</w:t>
      </w:r>
      <w:r w:rsidRPr="00E72B02">
        <w:t xml:space="preserve"> la compatibilidad de las reservas o declaraciones formuladas en relación con el artículo 12. No obstante, es posible identificar algunos aspectos generales que podrían influir eventualmente sobre un pronunciamiento formal de alguna de las reservas o declaraciones señaladas. </w:t>
      </w:r>
    </w:p>
    <w:p w:rsidR="00485F4C" w:rsidRPr="00E72B02" w:rsidRDefault="00485F4C" w:rsidP="004551E9">
      <w:r w:rsidRPr="00E72B02">
        <w:t xml:space="preserve">En primer lugar es preciso señalar que aunque la mayoría de las manifestaciones expresadas por los Estados respecto del artículo 12 se han </w:t>
      </w:r>
      <w:r w:rsidRPr="00E72B02">
        <w:lastRenderedPageBreak/>
        <w:t>planteado como “</w:t>
      </w:r>
      <w:r w:rsidRPr="006137C2">
        <w:rPr>
          <w:i/>
        </w:rPr>
        <w:t>declaraciones interpretativas</w:t>
      </w:r>
      <w:r w:rsidRPr="00E72B02">
        <w:t>”, las mismas tienen como efecto dejar sin efecto el cambio de paradigma planteado por el artículo 12, y por ello deberían considerarse como verdaderas “</w:t>
      </w:r>
      <w:r w:rsidRPr="006137C2">
        <w:rPr>
          <w:i/>
        </w:rPr>
        <w:t>reservas</w:t>
      </w:r>
      <w:r w:rsidRPr="00E72B02">
        <w:t xml:space="preserve">”. </w:t>
      </w:r>
    </w:p>
    <w:p w:rsidR="00485F4C" w:rsidRPr="00E72B02" w:rsidRDefault="00485F4C" w:rsidP="004551E9">
      <w:r w:rsidRPr="00E72B02">
        <w:t xml:space="preserve">En segundo lugar, que como ha señalado el </w:t>
      </w:r>
      <w:r w:rsidR="009139ED">
        <w:t>CteDH</w:t>
      </w:r>
      <w:r w:rsidRPr="00E72B02">
        <w:t xml:space="preserve">, la CDPD como tratado de derechos humanos debe inspirar a que los Estados se abstengan de formular declaraciones o reservas, o que las mismas tengan un claro efecto temporal hasta que el Estado en cuestión esté en condiciones de implementar las obligaciones que emanan del artículo 12. </w:t>
      </w:r>
    </w:p>
    <w:p w:rsidR="00485F4C" w:rsidRPr="00E72B02" w:rsidRDefault="00485F4C" w:rsidP="004551E9">
      <w:r w:rsidRPr="00E72B02">
        <w:t xml:space="preserve">En tercer lugar, que el artículo 12, al igual que la mayoría de los derechos amparados por la CDPD, tiene una clara perspectiva de no discriminación, y dado que este principio está considerado como norma de </w:t>
      </w:r>
      <w:r w:rsidRPr="00E72B02">
        <w:rPr>
          <w:i/>
        </w:rPr>
        <w:t>jus cogens</w:t>
      </w:r>
      <w:r w:rsidRPr="00E72B02">
        <w:t xml:space="preserve">, toda declaración o reserva que tenga por efecto denegar un trato igualitario a las personas con discapacidad en el ejercicio de su capacidad jurídica, debe considerarse como contrario al objeto y fin del tratado. </w:t>
      </w:r>
    </w:p>
    <w:p w:rsidR="00485F4C" w:rsidRDefault="00485F4C" w:rsidP="004551E9">
      <w:r w:rsidRPr="00E72B02">
        <w:t>Finalmente, si bien el artículo 12 se proyecta íntegramente desde una perspectiva de no discriminación, es posible identificar algunas disposiciones del mismo como los incisos 1 y 2, los cuales tienen un carácter de derechos inderogables, con lo cual, toda declaración o reserva que tenga por efecto denegar un trato igualitario a las personas con discapacidad en el ejercicio de su capacidad jurídica, debe considerarse como contrario al objeto y fin del tratado.</w:t>
      </w:r>
    </w:p>
    <w:p w:rsidR="0016491B" w:rsidRDefault="0016491B" w:rsidP="004551E9">
      <w:r>
        <w:t xml:space="preserve">Sin perjuicio de lo señalado, es preciso observar como manifiesta HERNÁNDEZ, que la jurisprudencia del TIJ no contiene una elaboración sobre las consecuencias de la incompatibilidad de las reservas contrarias a objeto y fin del tratado, y sólo ha proporcionado lineamientos marginales hacia otros órganos judiciales quienes han interpretado los mismos de forma </w:t>
      </w:r>
      <w:r>
        <w:lastRenderedPageBreak/>
        <w:t>diversa en sus respectivos pronunciamientos.</w:t>
      </w:r>
      <w:r w:rsidR="0087273C">
        <w:rPr>
          <w:rStyle w:val="Refdenotaalpie"/>
          <w:lang w:val="es-ES"/>
        </w:rPr>
        <w:footnoteReference w:id="873"/>
      </w:r>
      <w:r>
        <w:t xml:space="preserve"> Tampoco la Guía </w:t>
      </w:r>
      <w:r w:rsidR="0087273C" w:rsidRPr="0087273C">
        <w:t>de la Práctica sobre las Reservas a los Tratados</w:t>
      </w:r>
      <w:r w:rsidR="0087273C">
        <w:t xml:space="preserve"> elaborada por la CDI recoge pautas sobre la “separación” de las reservas incompatibles con el objeto y fin del tratado.</w:t>
      </w:r>
      <w:r w:rsidR="00AA17DD">
        <w:rPr>
          <w:rStyle w:val="Refdenotaalpie"/>
          <w:lang w:val="es-ES"/>
        </w:rPr>
        <w:footnoteReference w:id="874"/>
      </w:r>
      <w:r w:rsidR="0087273C">
        <w:t xml:space="preserve"> </w:t>
      </w:r>
    </w:p>
    <w:p w:rsidR="0016491B" w:rsidRDefault="0016491B" w:rsidP="004551E9"/>
    <w:p w:rsidR="00485F4C" w:rsidRPr="00E72B02" w:rsidRDefault="00485F4C" w:rsidP="004551E9"/>
    <w:p w:rsidR="00485F4C" w:rsidRPr="009E5B24" w:rsidRDefault="009E5B24" w:rsidP="00D579F5">
      <w:pPr>
        <w:pStyle w:val="TITULO13"/>
        <w:rPr>
          <w:sz w:val="24"/>
          <w:szCs w:val="24"/>
        </w:rPr>
      </w:pPr>
      <w:r w:rsidRPr="009E5B24">
        <w:rPr>
          <w:sz w:val="24"/>
          <w:szCs w:val="24"/>
        </w:rPr>
        <w:t>6.4 PAUTAS INTERPRETACIÓN EN TORNO AL ARTÍCULO 12</w:t>
      </w:r>
    </w:p>
    <w:p w:rsidR="00485F4C" w:rsidRPr="00E72B02" w:rsidRDefault="00485F4C" w:rsidP="004551E9">
      <w:pPr>
        <w:rPr>
          <w:lang w:val="es-ES_tradnl"/>
        </w:rPr>
      </w:pPr>
    </w:p>
    <w:p w:rsidR="00485F4C" w:rsidRPr="00E72B02" w:rsidRDefault="00485F4C" w:rsidP="004551E9">
      <w:pPr>
        <w:rPr>
          <w:lang w:val="es-ES_tradnl"/>
        </w:rPr>
      </w:pPr>
      <w:r w:rsidRPr="00E72B02">
        <w:rPr>
          <w:lang w:val="es-ES_tradnl"/>
        </w:rPr>
        <w:t>Debido a las características propias del orden jurídico internacional, así como a raíz de la usual ambigüedad en la que se suelen redactar las disposiciones de los tratados internacionales, la interpretación del derecho internacional cobra particular importancia al momento de evaluar el cumplimiento o la eventual responsabilidad de los Estados respecto de sus obligaciones internacionales.</w:t>
      </w:r>
    </w:p>
    <w:p w:rsidR="00485F4C" w:rsidRPr="00E72B02" w:rsidRDefault="00485F4C" w:rsidP="004551E9">
      <w:pPr>
        <w:rPr>
          <w:lang w:val="es-ES_tradnl"/>
        </w:rPr>
      </w:pPr>
      <w:r w:rsidRPr="00E72B02">
        <w:rPr>
          <w:lang w:val="es-ES_tradnl"/>
        </w:rPr>
        <w:t>El artículo 12 de la CDPD, como se ha señalado a lo largo de este trabajo, no está exento de ciertas ambigüedades que podrían torcer la balanza hacia un lado o hacia el otro según el modo en el cual se interpreten las obligaciones internacionales que dispone. Por ello, resulta procedente analizar en este punto las reglas y principios del derecho internacional general y autónomo en materia de interpretación de tratados internacionales.</w:t>
      </w:r>
    </w:p>
    <w:p w:rsidR="00485F4C" w:rsidRPr="00E72B02" w:rsidRDefault="00485F4C" w:rsidP="004551E9">
      <w:pPr>
        <w:rPr>
          <w:lang w:val="es-ES_tradnl"/>
        </w:rPr>
      </w:pPr>
      <w:r w:rsidRPr="00E72B02">
        <w:rPr>
          <w:lang w:val="es-ES_tradnl"/>
        </w:rPr>
        <w:t xml:space="preserve"> </w:t>
      </w:r>
    </w:p>
    <w:p w:rsidR="00485F4C" w:rsidRPr="00E72B02" w:rsidRDefault="00485F4C" w:rsidP="00D579F5">
      <w:pPr>
        <w:pStyle w:val="TTULO13"/>
      </w:pPr>
      <w:r w:rsidRPr="00E72B02">
        <w:lastRenderedPageBreak/>
        <w:t>6.4.1 Principios generales sobre interpretación de tratados</w:t>
      </w:r>
    </w:p>
    <w:p w:rsidR="00485F4C" w:rsidRPr="00E72B02" w:rsidRDefault="00485F4C" w:rsidP="004551E9">
      <w:pPr>
        <w:rPr>
          <w:lang w:val="es-ES_tradnl"/>
        </w:rPr>
      </w:pPr>
    </w:p>
    <w:p w:rsidR="00485F4C" w:rsidRPr="00E72B02" w:rsidRDefault="00485F4C" w:rsidP="004551E9">
      <w:r w:rsidRPr="00E72B02">
        <w:t xml:space="preserve">Si la tarea de interpretar el derecho ha sido generalmente catalogada de compleja y controvertida, en lo que respecta a la interpretación del derecho internacional, esa complejidad y controversia resultan aún considerablemente mayor. Las causas residen básicamente, en la dispersión de normas, el papel preponderante de la voluntad de los Estados y la falta de un órgano centralizado con funciones interpretativas obligatorias. </w:t>
      </w:r>
    </w:p>
    <w:p w:rsidR="00485F4C" w:rsidRPr="00E72B02" w:rsidRDefault="00485F4C" w:rsidP="004551E9">
      <w:r w:rsidRPr="00E72B02">
        <w:t>De este modo, la interpretación de las obligaciones internacionales por parte de los Estados queda en principio reservada a la voluntad de los mismos, como un atributo de su soberanía.</w:t>
      </w:r>
      <w:r w:rsidR="00B27A80">
        <w:rPr>
          <w:rStyle w:val="Refdenotaalpie"/>
          <w:lang w:val="es-ES"/>
        </w:rPr>
        <w:footnoteReference w:id="875"/>
      </w:r>
      <w:r w:rsidRPr="00E72B02">
        <w:t xml:space="preserve"> </w:t>
      </w:r>
    </w:p>
    <w:p w:rsidR="00485F4C" w:rsidRPr="00E72B02" w:rsidRDefault="00485F4C" w:rsidP="004551E9">
      <w:r w:rsidRPr="00E72B02">
        <w:t>Pese a la gran libertad y discrecionalidad que de hecho le reconoce el derecho internacional a los Estados en materia de interpretación, existen no obstante, ciertas reglas y principios. Al margen de las reglas contenidas en los artículos 31 a 33 de la CVDT, así como del art. 103 de la Carta de la ONU, el “</w:t>
      </w:r>
      <w:r w:rsidRPr="00E72B02">
        <w:rPr>
          <w:i/>
        </w:rPr>
        <w:t>principio de la buena fe</w:t>
      </w:r>
      <w:r w:rsidRPr="00E72B02">
        <w:t xml:space="preserve">” ocupa un papel fundamental en la interpretación de las normas internacionales. </w:t>
      </w:r>
    </w:p>
    <w:p w:rsidR="00485F4C" w:rsidRPr="00E72B02" w:rsidRDefault="00485F4C" w:rsidP="004551E9">
      <w:r w:rsidRPr="00E72B02">
        <w:rPr>
          <w:i/>
        </w:rPr>
        <w:t>La buena fe</w:t>
      </w:r>
      <w:r w:rsidRPr="00E72B02">
        <w:t xml:space="preserve"> es, ciertamente, un principio que domina el conjunto del derecho internacional y que gobierna las relaciones recíprocas de los Estados miembros de la comunidad internacional, y cuyo carácter jurídico ha sido reconocido tanto por la doctrina como por la jurisprudencia y la práctica de los Estados. Incluido en el artículo 2, párrafo 2 de la Carta de la </w:t>
      </w:r>
      <w:r w:rsidRPr="00E72B02">
        <w:lastRenderedPageBreak/>
        <w:t xml:space="preserve">ONU y en la CVDT, la buena fe es considerada como parte integrante de la regla </w:t>
      </w:r>
      <w:r w:rsidRPr="00E72B02">
        <w:rPr>
          <w:i/>
        </w:rPr>
        <w:t>pacta sunt servanda.</w:t>
      </w:r>
      <w:r w:rsidRPr="00E72B02">
        <w:rPr>
          <w:rStyle w:val="Refdenotaalpie"/>
        </w:rPr>
        <w:footnoteReference w:id="876"/>
      </w:r>
      <w:r w:rsidRPr="00E72B02">
        <w:t xml:space="preserve"> </w:t>
      </w:r>
    </w:p>
    <w:p w:rsidR="00485F4C" w:rsidRPr="00E72B02" w:rsidRDefault="00485F4C" w:rsidP="004551E9">
      <w:r w:rsidRPr="00E72B02">
        <w:rPr>
          <w:caps/>
          <w:lang w:val="es-ES"/>
        </w:rPr>
        <w:t>Fernández de Casadevante Romaní</w:t>
      </w:r>
      <w:r w:rsidRPr="00E72B02">
        <w:rPr>
          <w:lang w:val="es-ES"/>
        </w:rPr>
        <w:t xml:space="preserve">, expone los diferentes tipos y métodos de interpretación según la práctica internacional. </w:t>
      </w:r>
      <w:r w:rsidRPr="00E72B02">
        <w:t>Señala este autor que “</w:t>
      </w:r>
      <w:r w:rsidRPr="009139ED">
        <w:rPr>
          <w:i/>
        </w:rPr>
        <w:t xml:space="preserve">a partir del análisis de la práctica y de la doctrina internacional es posible elaborar una clasificación de los distintos tipos de interpretación en función de los siguientes criterios; el </w:t>
      </w:r>
      <w:r w:rsidR="009139ED" w:rsidRPr="009139ED">
        <w:rPr>
          <w:i/>
        </w:rPr>
        <w:t>intérprete</w:t>
      </w:r>
      <w:r w:rsidRPr="009139ED">
        <w:rPr>
          <w:i/>
        </w:rPr>
        <w:t>, el contenido de la interpretación y el alcance jurídico de la misma</w:t>
      </w:r>
      <w:r w:rsidRPr="00E72B02">
        <w:t>”</w:t>
      </w:r>
      <w:r w:rsidRPr="00E72B02">
        <w:rPr>
          <w:rStyle w:val="Refdenotaalpie"/>
        </w:rPr>
        <w:footnoteReference w:id="877"/>
      </w:r>
      <w:r w:rsidRPr="00E72B02">
        <w:t xml:space="preserve">. </w:t>
      </w:r>
    </w:p>
    <w:p w:rsidR="00485F4C" w:rsidRPr="00E72B02" w:rsidRDefault="00485F4C" w:rsidP="004551E9">
      <w:pPr>
        <w:rPr>
          <w:lang w:val="es-ES"/>
        </w:rPr>
      </w:pPr>
      <w:r w:rsidRPr="00E72B02">
        <w:t xml:space="preserve">Desde el punto de vista del </w:t>
      </w:r>
      <w:r w:rsidRPr="00E72B02">
        <w:rPr>
          <w:i/>
        </w:rPr>
        <w:t>intérprete</w:t>
      </w:r>
      <w:r w:rsidRPr="00E72B02">
        <w:t xml:space="preserve">, la interpretación puede proceder de los Estados, de Organizaciones Internacionales y de jurisdicciones internacionales, así como la interpretación que de las normas internacionales pueden hacer los órganos internos del Estado. Por el </w:t>
      </w:r>
      <w:r w:rsidRPr="00E72B02">
        <w:rPr>
          <w:i/>
        </w:rPr>
        <w:t>contenido</w:t>
      </w:r>
      <w:r w:rsidRPr="00E72B02">
        <w:t xml:space="preserve">, la interpretación puede ser general o abstracta y ello tanto respecto de una norma convencional como de una norma consuetudinaria. </w:t>
      </w:r>
      <w:r w:rsidRPr="00E72B02">
        <w:rPr>
          <w:lang w:val="es-ES"/>
        </w:rPr>
        <w:t xml:space="preserve">Finalmente, según el </w:t>
      </w:r>
      <w:r w:rsidRPr="00E72B02">
        <w:rPr>
          <w:i/>
          <w:lang w:val="es-ES"/>
        </w:rPr>
        <w:t>alcance jurídico</w:t>
      </w:r>
      <w:r w:rsidRPr="00E72B02">
        <w:rPr>
          <w:lang w:val="es-ES"/>
        </w:rPr>
        <w:t>, la interpretación puede ser: autentica, unilateral, colectiva, ejecutiva o institucional, jurisdiccional (ésta, a su vez, puede ser obligatoria o consultiva), siendo el último criterio el grado de libertad del intérprete.</w:t>
      </w:r>
      <w:r w:rsidRPr="00E72B02">
        <w:rPr>
          <w:rStyle w:val="Refdenotaalpie"/>
        </w:rPr>
        <w:footnoteReference w:id="878"/>
      </w:r>
      <w:r w:rsidRPr="00E72B02">
        <w:rPr>
          <w:lang w:val="es-ES"/>
        </w:rPr>
        <w:t xml:space="preserve"> </w:t>
      </w:r>
    </w:p>
    <w:p w:rsidR="00485F4C" w:rsidRPr="00E72B02" w:rsidRDefault="00485F4C" w:rsidP="004551E9">
      <w:r w:rsidRPr="00E72B02">
        <w:t xml:space="preserve">Respecto de los métodos, no existen reglas precisas en el derecho internacional y por lo general las mismas se supeditan en función de las reglas interpretativas empleadas por el intérprete. Entre los diferentes métodos podemos identificar: el gramatical, textual o objetivo que se basa en el texto del tratado como expresión auténtica de la voluntad de las partes, haciéndose hincapié en la primacía del mismo para la interpretación, el </w:t>
      </w:r>
      <w:r w:rsidRPr="00E72B02">
        <w:lastRenderedPageBreak/>
        <w:t>teleológico o funcional que atiende al objeto y fin del tratado, el subjetivo que atiende a la intención de las Partes, y el histórico evolutivo que tiene en cuenta el momento histórico en que el tratado se celebró y el significado que los términos tenían en aquel momento, así como la práctica subsiguiente al tratado.</w:t>
      </w:r>
      <w:r w:rsidRPr="00E72B02">
        <w:rPr>
          <w:rStyle w:val="Refdenotaalpie"/>
        </w:rPr>
        <w:footnoteReference w:id="879"/>
      </w:r>
    </w:p>
    <w:p w:rsidR="00485F4C" w:rsidRPr="00E72B02" w:rsidRDefault="00485F4C" w:rsidP="004551E9">
      <w:r w:rsidRPr="00E72B02">
        <w:t>La práctica internacional refleja la utilización de diferentes criterios de interpretación. Así por ejemplo los más utilizados han sido; el sentido natural y ordinario de los términos, el contexto, el objeto y fin del tratado, la práctica ulterior, los trabajos preparatorios, la intención de las partes, el principio del efecto útil, el espíritu del tratado, la equidad y el derecho intemporal.</w:t>
      </w:r>
      <w:r w:rsidRPr="00E72B02">
        <w:rPr>
          <w:rStyle w:val="Refdenotaalpie"/>
        </w:rPr>
        <w:footnoteReference w:id="880"/>
      </w:r>
      <w:r w:rsidRPr="00E72B02">
        <w:t xml:space="preserve"> </w:t>
      </w:r>
    </w:p>
    <w:p w:rsidR="00485F4C" w:rsidRPr="00E72B02" w:rsidRDefault="00485F4C" w:rsidP="004551E9">
      <w:r w:rsidRPr="00E72B02">
        <w:t>Recientemente la CDI ha propuesto la adopción de la siguiente conclusión general en materia de interpretación de tratados internacionales: “Regla general y medios de interpretación de los tratados. El artículo 31 de la Convención de Viena sobre el derecho de los tratados, como obligación convencional y como reflejo del derecho internacional consuetudinario, enuncia la regla general sobre la interpretación de los tratados. La interpretación de un tratado en un caso concreto podrá hacer que se dé una preferencia distinta a los diversos medios de interpretación que figuran en los artículos 31 y 32 de la Convención de Viena, especialmente al texto del tratado o a su objeto y fin, dependiendo del tratado o de las disposiciones convencionales en cuestión”.</w:t>
      </w:r>
      <w:r w:rsidRPr="00E72B02">
        <w:rPr>
          <w:rStyle w:val="Refdenotaalpie"/>
          <w:lang w:val="es-ES"/>
        </w:rPr>
        <w:footnoteReference w:id="881"/>
      </w:r>
    </w:p>
    <w:p w:rsidR="00485F4C" w:rsidRPr="00E72B02" w:rsidRDefault="00485F4C" w:rsidP="004551E9"/>
    <w:p w:rsidR="00485F4C" w:rsidRPr="00E72B02" w:rsidRDefault="00485F4C" w:rsidP="00D579F5">
      <w:pPr>
        <w:pStyle w:val="TTULO13"/>
      </w:pPr>
      <w:r w:rsidRPr="00E72B02">
        <w:lastRenderedPageBreak/>
        <w:t>6.4.2 La interpretación de tratados de derechos humanos</w:t>
      </w:r>
    </w:p>
    <w:p w:rsidR="00485F4C" w:rsidRPr="00E72B02" w:rsidRDefault="00485F4C" w:rsidP="004551E9">
      <w:pPr>
        <w:rPr>
          <w:lang w:val="es-ES_tradnl"/>
        </w:rPr>
      </w:pPr>
    </w:p>
    <w:p w:rsidR="00485F4C" w:rsidRPr="00E72B02" w:rsidRDefault="00485F4C" w:rsidP="004551E9">
      <w:pPr>
        <w:rPr>
          <w:noProof/>
          <w:lang w:val="es-ES_tradnl"/>
        </w:rPr>
      </w:pPr>
      <w:r w:rsidRPr="00E72B02">
        <w:rPr>
          <w:noProof/>
          <w:lang w:val="es-ES_tradnl"/>
        </w:rPr>
        <w:t>Al igual de lo que sucede en el derecho interno, en el orden jurídico internacional las normas relativas a los derechos humanos gozan de ciertas particularidades propias que se traducen en consecuencias jurídicas. De este modo, podríamos  afirmar que</w:t>
      </w:r>
      <w:r w:rsidR="006137C2">
        <w:rPr>
          <w:noProof/>
          <w:lang w:val="es-ES_tradnl"/>
        </w:rPr>
        <w:t>,</w:t>
      </w:r>
      <w:r w:rsidRPr="00E72B02">
        <w:rPr>
          <w:noProof/>
          <w:lang w:val="es-ES_tradnl"/>
        </w:rPr>
        <w:t xml:space="preserve"> a diferencia de lo que ocurre con las cuestiones generales de derecho internacional, en materia de derechos humanos</w:t>
      </w:r>
      <w:r w:rsidR="006137C2">
        <w:rPr>
          <w:noProof/>
          <w:lang w:val="es-ES_tradnl"/>
        </w:rPr>
        <w:t>,</w:t>
      </w:r>
      <w:r w:rsidRPr="00E72B02">
        <w:rPr>
          <w:noProof/>
          <w:lang w:val="es-ES_tradnl"/>
        </w:rPr>
        <w:t xml:space="preserve"> existen normas y principios propios entre los que se podría destacar los siguientes:</w:t>
      </w:r>
    </w:p>
    <w:p w:rsidR="00485F4C" w:rsidRPr="00E72B02" w:rsidRDefault="00485F4C" w:rsidP="004551E9">
      <w:pPr>
        <w:rPr>
          <w:noProof/>
          <w:lang w:val="es-ES_tradnl"/>
        </w:rPr>
      </w:pPr>
      <w:r w:rsidRPr="006137C2">
        <w:rPr>
          <w:bCs/>
          <w:i/>
          <w:noProof/>
          <w:lang w:val="es-ES_tradnl"/>
        </w:rPr>
        <w:t>Los Estados no son sujetos exclusivos de derechos</w:t>
      </w:r>
      <w:r w:rsidRPr="00E72B02">
        <w:rPr>
          <w:bCs/>
          <w:noProof/>
          <w:lang w:val="es-ES_tradnl"/>
        </w:rPr>
        <w:t>: T</w:t>
      </w:r>
      <w:r w:rsidRPr="00E72B02">
        <w:rPr>
          <w:noProof/>
          <w:lang w:val="es-ES_tradnl"/>
        </w:rPr>
        <w:t>oda persona humana goza hoy de un cierto estatuto jurídico de derecho internacional general, en cuanto que es titular de ciertos “</w:t>
      </w:r>
      <w:r w:rsidRPr="006137C2">
        <w:rPr>
          <w:i/>
          <w:noProof/>
          <w:lang w:val="es-ES_tradnl"/>
        </w:rPr>
        <w:t>derechos</w:t>
      </w:r>
      <w:r w:rsidRPr="00E72B02">
        <w:rPr>
          <w:noProof/>
          <w:lang w:val="es-ES_tradnl"/>
        </w:rPr>
        <w:t>” que todo sujeto de derecho internacional debe respetar, incluso al margen de tratados internacionales que le obliguen adicionalmente a ello.</w:t>
      </w:r>
      <w:r w:rsidRPr="00E72B02">
        <w:rPr>
          <w:rStyle w:val="Refdenotaalpie"/>
          <w:rFonts w:eastAsia="Calibri"/>
          <w:noProof/>
          <w:lang w:val="es-ES_tradnl"/>
        </w:rPr>
        <w:footnoteReference w:id="882"/>
      </w:r>
      <w:r w:rsidRPr="00E72B02">
        <w:rPr>
          <w:noProof/>
          <w:lang w:val="es-ES_tradnl"/>
        </w:rPr>
        <w:t xml:space="preserve"> </w:t>
      </w:r>
    </w:p>
    <w:p w:rsidR="00485F4C" w:rsidRPr="00E72B02" w:rsidRDefault="00485F4C" w:rsidP="004551E9">
      <w:pPr>
        <w:rPr>
          <w:noProof/>
          <w:lang w:val="es-ES_tradnl"/>
        </w:rPr>
      </w:pPr>
      <w:r w:rsidRPr="00E72B02">
        <w:rPr>
          <w:noProof/>
          <w:lang w:val="es-ES_tradnl"/>
        </w:rPr>
        <w:t xml:space="preserve">Los tratados y convenios sobre derechos humanos desbordan el ámbito de la reciprocidad “puesto que intentan regular intereses generales, de la comunidad internacional en su conjunto o de un grupo regional, y son por ello </w:t>
      </w:r>
      <w:r w:rsidRPr="00E72B02">
        <w:rPr>
          <w:i/>
          <w:noProof/>
          <w:lang w:val="es-ES_tradnl"/>
        </w:rPr>
        <w:t>tratados multilaterales normativos</w:t>
      </w:r>
      <w:r w:rsidRPr="00E72B02">
        <w:rPr>
          <w:noProof/>
          <w:lang w:val="es-ES_tradnl"/>
        </w:rPr>
        <w:t>”</w:t>
      </w:r>
      <w:r w:rsidRPr="00E72B02">
        <w:rPr>
          <w:rStyle w:val="Refdenotaalpie"/>
          <w:rFonts w:eastAsia="Calibri"/>
          <w:noProof/>
          <w:lang w:val="es-ES_tradnl"/>
        </w:rPr>
        <w:footnoteReference w:id="883"/>
      </w:r>
      <w:r w:rsidRPr="00E72B02">
        <w:rPr>
          <w:noProof/>
          <w:lang w:val="es-ES_tradnl"/>
        </w:rPr>
        <w:t xml:space="preserve">. </w:t>
      </w:r>
    </w:p>
    <w:p w:rsidR="00485F4C" w:rsidRPr="00E72B02" w:rsidRDefault="002F4491" w:rsidP="004551E9">
      <w:pPr>
        <w:rPr>
          <w:noProof/>
          <w:lang w:val="es-ES_tradnl"/>
        </w:rPr>
      </w:pPr>
      <w:r>
        <w:rPr>
          <w:noProof/>
          <w:lang w:val="es-ES_tradnl"/>
        </w:rPr>
        <w:lastRenderedPageBreak/>
        <w:t xml:space="preserve">Existe un núcleo duro de </w:t>
      </w:r>
      <w:r w:rsidR="00485F4C" w:rsidRPr="00E72B02">
        <w:rPr>
          <w:noProof/>
          <w:lang w:val="es-ES_tradnl"/>
        </w:rPr>
        <w:t xml:space="preserve">normas contenidas en la DUDH así como en los Pactos de 1966 y otros instrumentos específicos </w:t>
      </w:r>
      <w:r>
        <w:rPr>
          <w:noProof/>
          <w:lang w:val="es-ES_tradnl"/>
        </w:rPr>
        <w:t xml:space="preserve">que </w:t>
      </w:r>
      <w:r w:rsidR="00485F4C" w:rsidRPr="00E72B02">
        <w:rPr>
          <w:noProof/>
          <w:lang w:val="es-ES_tradnl"/>
        </w:rPr>
        <w:t xml:space="preserve">gozan del carácter de </w:t>
      </w:r>
      <w:r w:rsidR="00485F4C" w:rsidRPr="00E72B02">
        <w:rPr>
          <w:i/>
          <w:noProof/>
          <w:lang w:val="es-ES_tradnl"/>
        </w:rPr>
        <w:t>jus cogen</w:t>
      </w:r>
      <w:r w:rsidR="00485F4C" w:rsidRPr="00E72B02">
        <w:rPr>
          <w:noProof/>
          <w:lang w:val="es-ES_tradnl"/>
        </w:rPr>
        <w:t>, es decir, normas de derecho consuetudinario que no pueden ser dejadas de lado por medio de tratados o por aquiescencia, sólo a través de la formación de una regla consuetudinaria subsecuente que la contraríe</w:t>
      </w:r>
      <w:r w:rsidR="00485F4C" w:rsidRPr="00E72B02">
        <w:rPr>
          <w:rStyle w:val="Refdenotaalpie"/>
          <w:rFonts w:eastAsia="Calibri"/>
          <w:noProof/>
          <w:lang w:val="es-ES_tradnl"/>
        </w:rPr>
        <w:footnoteReference w:id="884"/>
      </w:r>
      <w:r w:rsidR="00485F4C" w:rsidRPr="00E72B02">
        <w:rPr>
          <w:noProof/>
          <w:lang w:val="es-ES_tradnl"/>
        </w:rPr>
        <w:t xml:space="preserve">. Asimismo, según lo indicó el TIJ en el caso </w:t>
      </w:r>
      <w:r w:rsidR="00485F4C" w:rsidRPr="00E72B02">
        <w:rPr>
          <w:i/>
          <w:noProof/>
          <w:lang w:val="es-ES_tradnl"/>
        </w:rPr>
        <w:t>Barcelona Traction</w:t>
      </w:r>
      <w:r w:rsidR="00485F4C" w:rsidRPr="00E72B02">
        <w:rPr>
          <w:noProof/>
          <w:lang w:val="es-ES_tradnl"/>
        </w:rPr>
        <w:t>, existen obligaciones cuyo cumplimiento es exigible por todo Estado, porque cada uno de ellos es titular de un derecho que es lesionado por la violación de principios y reglas relativas de los derechos básicos de la persona humana</w:t>
      </w:r>
      <w:r w:rsidR="00485F4C" w:rsidRPr="00E72B02">
        <w:rPr>
          <w:rStyle w:val="Refdenotaalpie"/>
          <w:rFonts w:eastAsia="Calibri"/>
          <w:noProof/>
          <w:lang w:val="es-ES_tradnl"/>
        </w:rPr>
        <w:footnoteReference w:id="885"/>
      </w:r>
      <w:r w:rsidR="00485F4C" w:rsidRPr="00E72B02">
        <w:rPr>
          <w:noProof/>
          <w:lang w:val="es-ES_tradnl"/>
        </w:rPr>
        <w:t xml:space="preserve">. Son, pues, normas generales </w:t>
      </w:r>
      <w:r w:rsidR="00485F4C" w:rsidRPr="00E72B02">
        <w:rPr>
          <w:i/>
          <w:noProof/>
          <w:lang w:val="es-ES_tradnl"/>
        </w:rPr>
        <w:t>erga onmes</w:t>
      </w:r>
      <w:r w:rsidR="00485F4C" w:rsidRPr="00E72B02">
        <w:rPr>
          <w:noProof/>
          <w:lang w:val="es-ES_tradnl"/>
        </w:rPr>
        <w:t xml:space="preserve"> que imponen obligaciones y atribuyen derechos </w:t>
      </w:r>
      <w:r w:rsidR="00485F4C" w:rsidRPr="00E72B02">
        <w:rPr>
          <w:i/>
          <w:noProof/>
          <w:lang w:val="es-ES_tradnl"/>
        </w:rPr>
        <w:t>erga omnes</w:t>
      </w:r>
      <w:r w:rsidR="00485F4C" w:rsidRPr="00E72B02">
        <w:rPr>
          <w:rStyle w:val="Refdenotaalpie"/>
          <w:rFonts w:eastAsia="Calibri"/>
          <w:i/>
          <w:noProof/>
          <w:lang w:val="es-ES_tradnl"/>
        </w:rPr>
        <w:footnoteReference w:id="886"/>
      </w:r>
      <w:r w:rsidR="00485F4C" w:rsidRPr="00E72B02">
        <w:rPr>
          <w:noProof/>
          <w:lang w:val="es-ES_tradnl"/>
        </w:rPr>
        <w:t xml:space="preserve">.  </w:t>
      </w:r>
    </w:p>
    <w:p w:rsidR="00485F4C" w:rsidRPr="00E72B02" w:rsidRDefault="00485F4C" w:rsidP="004551E9">
      <w:pPr>
        <w:rPr>
          <w:noProof/>
          <w:lang w:val="es-ES_tradnl"/>
        </w:rPr>
      </w:pPr>
      <w:r w:rsidRPr="00E72B02">
        <w:rPr>
          <w:noProof/>
          <w:lang w:val="es-ES_tradnl"/>
        </w:rPr>
        <w:t xml:space="preserve">Si bien el artículo 1.ii de la Carta de la ONU establece como principio la obligación de no intervenir en los asuntos internos que son jurisdicción interna de los Estados, es ya norma de derecho internacional consuetudinario que el respeto de los derechos humanos no puede considerarse como un asunto </w:t>
      </w:r>
      <w:r w:rsidRPr="00E72B02">
        <w:rPr>
          <w:i/>
          <w:noProof/>
          <w:lang w:val="es-ES_tradnl"/>
        </w:rPr>
        <w:t>esencialmente de jurisdicción interna</w:t>
      </w:r>
      <w:r w:rsidRPr="00E72B02">
        <w:rPr>
          <w:b/>
          <w:noProof/>
          <w:lang w:val="es-ES_tradnl"/>
        </w:rPr>
        <w:t xml:space="preserve"> </w:t>
      </w:r>
      <w:r w:rsidRPr="00E72B02">
        <w:rPr>
          <w:noProof/>
          <w:lang w:val="es-ES_tradnl"/>
        </w:rPr>
        <w:t>de los Estados.</w:t>
      </w:r>
    </w:p>
    <w:p w:rsidR="00485F4C" w:rsidRPr="00E72B02" w:rsidRDefault="00485F4C" w:rsidP="004551E9">
      <w:r w:rsidRPr="00E72B02">
        <w:t xml:space="preserve">Finalmente, a las reglas de interpretación de los tratados internacionales que consagran los dos CVDT se deben completar con el principio </w:t>
      </w:r>
      <w:r w:rsidRPr="00E72B02">
        <w:rPr>
          <w:i/>
        </w:rPr>
        <w:t>interpretatio pro homine</w:t>
      </w:r>
      <w:r w:rsidRPr="00E72B02">
        <w:t xml:space="preserve"> cuando se trate de los tratados de derechos humanos, pues éstos deben interpretarse siempre de la manera más favorable al individuo.</w:t>
      </w:r>
      <w:r w:rsidRPr="00E72B02">
        <w:rPr>
          <w:rStyle w:val="Refdenotaalpie"/>
          <w:lang w:val="es-ES_tradnl" w:eastAsia="es-ES_tradnl"/>
        </w:rPr>
        <w:footnoteReference w:id="887"/>
      </w:r>
    </w:p>
    <w:p w:rsidR="00485F4C" w:rsidRPr="00E72B02" w:rsidRDefault="00485F4C" w:rsidP="004551E9">
      <w:pPr>
        <w:rPr>
          <w:lang w:val="es-ES_tradnl" w:eastAsia="es-ES_tradnl"/>
        </w:rPr>
      </w:pPr>
      <w:r w:rsidRPr="00E72B02">
        <w:t xml:space="preserve">A pesar de lo señalado en los puntos anteriores, así como de la doctrina afianzada del TEDH en materia de interpretación de tratados de derechos </w:t>
      </w:r>
      <w:r w:rsidRPr="00E72B02">
        <w:lastRenderedPageBreak/>
        <w:t>humanos,</w:t>
      </w:r>
      <w:r w:rsidRPr="00E72B02">
        <w:rPr>
          <w:rStyle w:val="Refdenotaalpie"/>
        </w:rPr>
        <w:footnoteReference w:id="888"/>
      </w:r>
      <w:r w:rsidRPr="00E72B02">
        <w:t xml:space="preserve"> como destaca </w:t>
      </w:r>
      <w:r w:rsidRPr="00E72B02">
        <w:rPr>
          <w:caps/>
        </w:rPr>
        <w:t>Christoffersen</w:t>
      </w:r>
      <w:r w:rsidRPr="00E72B02">
        <w:t xml:space="preserve"> en un estudio sobre el impacto del derecho internacional de los derechos humanos en el derecho internacional general, no existe evidencia consistente que pueda afirmar que los principios de interpretación y aplicación de los tratados de derechos humanos sean de una naturaleza especial. Afirma este autor que la especialidad del derecho internacional de los derechos humanos no puede ser asumida, sino ser firmemente demostrada antes de poder alegar algún tipo de impacto particular.</w:t>
      </w:r>
      <w:r w:rsidRPr="00E72B02">
        <w:rPr>
          <w:rStyle w:val="Refdenotaalpie"/>
        </w:rPr>
        <w:footnoteReference w:id="889"/>
      </w:r>
      <w:r w:rsidRPr="00E72B02">
        <w:t xml:space="preserve">  </w:t>
      </w:r>
    </w:p>
    <w:p w:rsidR="00485F4C" w:rsidRPr="00E72B02" w:rsidRDefault="00485F4C" w:rsidP="004551E9">
      <w:pPr>
        <w:rPr>
          <w:lang w:val="es-ES_tradnl" w:eastAsia="es-ES_tradnl"/>
        </w:rPr>
      </w:pPr>
    </w:p>
    <w:p w:rsidR="00485F4C" w:rsidRPr="00E72B02" w:rsidRDefault="00485F4C" w:rsidP="00D579F5">
      <w:pPr>
        <w:pStyle w:val="TTULO13"/>
      </w:pPr>
      <w:r w:rsidRPr="00E72B02">
        <w:t>6.4.3 La interpretación del artículo 12 por órganos internacionales</w:t>
      </w:r>
    </w:p>
    <w:p w:rsidR="00485F4C" w:rsidRPr="00E72B02" w:rsidRDefault="00485F4C" w:rsidP="004551E9">
      <w:pPr>
        <w:rPr>
          <w:lang w:val="es-ES_tradnl"/>
        </w:rPr>
      </w:pPr>
    </w:p>
    <w:p w:rsidR="00485F4C" w:rsidRPr="00E72B02" w:rsidRDefault="00485F4C" w:rsidP="004551E9">
      <w:pPr>
        <w:rPr>
          <w:lang w:val="es-ES_tradnl"/>
        </w:rPr>
      </w:pPr>
      <w:r w:rsidRPr="00E72B02">
        <w:rPr>
          <w:lang w:val="es-ES_tradnl"/>
        </w:rPr>
        <w:t xml:space="preserve">Por su especificidad, así como por su reciente regulación, el artículo 12 ha sido escasamente tratado por la jurisprudencia internacional o por los órganos internacionales en materia de derechos humanos. Con lo cual, no resulta sencillo encontrar pronunciamientos oficiales de órganos internacionales que nos permitan identificar algunas pautas de interpretación de las obligaciones internacionales recogidos por dicha norma. </w:t>
      </w:r>
    </w:p>
    <w:p w:rsidR="00485F4C" w:rsidRPr="00E72B02" w:rsidRDefault="00485F4C" w:rsidP="004551E9">
      <w:pPr>
        <w:rPr>
          <w:lang w:val="es-ES_tradnl"/>
        </w:rPr>
      </w:pPr>
    </w:p>
    <w:p w:rsidR="00485F4C" w:rsidRPr="009E5B24" w:rsidRDefault="00485F4C" w:rsidP="004551E9">
      <w:pPr>
        <w:pStyle w:val="Ttulo4"/>
        <w:rPr>
          <w:b/>
        </w:rPr>
      </w:pPr>
      <w:r w:rsidRPr="009E5B24">
        <w:rPr>
          <w:b/>
        </w:rPr>
        <w:t>6.4.3.1 El Comité de la CDPD</w:t>
      </w:r>
    </w:p>
    <w:p w:rsidR="00485F4C" w:rsidRPr="00E72B02" w:rsidRDefault="00485F4C" w:rsidP="004551E9">
      <w:pPr>
        <w:rPr>
          <w:lang w:val="es-ES_tradnl"/>
        </w:rPr>
      </w:pPr>
    </w:p>
    <w:p w:rsidR="00485F4C" w:rsidRPr="00E72B02" w:rsidRDefault="003228E5" w:rsidP="004551E9">
      <w:pPr>
        <w:rPr>
          <w:lang w:val="es-ES_tradnl"/>
        </w:rPr>
      </w:pPr>
      <w:r>
        <w:rPr>
          <w:lang w:val="es-ES_tradnl"/>
        </w:rPr>
        <w:t xml:space="preserve">Como se ha mencionado a lo largo del presente trabajo, la labor llevada a cabo por el CteCDPD en relación con la interpretación del artículo 12 ha </w:t>
      </w:r>
      <w:r>
        <w:rPr>
          <w:lang w:val="es-ES_tradnl"/>
        </w:rPr>
        <w:lastRenderedPageBreak/>
        <w:t>sido intensa. Con lo cual</w:t>
      </w:r>
      <w:r w:rsidR="00485F4C" w:rsidRPr="00E72B02">
        <w:rPr>
          <w:lang w:val="es-ES_tradnl"/>
        </w:rPr>
        <w:t xml:space="preserve"> es posible identificar algunas pautas de interpretación de esta norma por parte del Comité de la CDPD a través de sus observaciones finales a los informes de los Estados</w:t>
      </w:r>
      <w:r>
        <w:rPr>
          <w:lang w:val="es-ES_tradnl"/>
        </w:rPr>
        <w:t>, así como a través de la Observación General nº1</w:t>
      </w:r>
      <w:r w:rsidR="00485F4C" w:rsidRPr="00E72B02">
        <w:rPr>
          <w:lang w:val="es-ES_tradnl"/>
        </w:rPr>
        <w:t xml:space="preserve">. </w:t>
      </w:r>
    </w:p>
    <w:p w:rsidR="00485F4C" w:rsidRPr="00E72B02" w:rsidRDefault="00485F4C" w:rsidP="004551E9">
      <w:pPr>
        <w:rPr>
          <w:lang w:val="es-ES"/>
        </w:rPr>
      </w:pPr>
      <w:r w:rsidRPr="00E72B02">
        <w:rPr>
          <w:lang w:val="es-ES_tradnl"/>
        </w:rPr>
        <w:t xml:space="preserve">La primera pauta de interpretación que se desprende claramente de las observaciones finales del Comité es que los Estados Partes de la CDPD deben, en virtud del Artículo 12, revisar y cambiar las legislaciones domésticas que están basadas en un régimen </w:t>
      </w:r>
      <w:r w:rsidRPr="00E72B02">
        <w:rPr>
          <w:lang w:val="es-ES"/>
        </w:rPr>
        <w:t>de sustitución en la adopción de decisiones en uno de asistencia para la adopción de decisiones.</w:t>
      </w:r>
      <w:r w:rsidRPr="00E72B02">
        <w:rPr>
          <w:rStyle w:val="Refdenotaalpie"/>
          <w:lang w:val="es-ES"/>
        </w:rPr>
        <w:footnoteReference w:id="890"/>
      </w:r>
    </w:p>
    <w:p w:rsidR="00485F4C" w:rsidRDefault="00485F4C" w:rsidP="004551E9">
      <w:r w:rsidRPr="00E72B02">
        <w:t>Aunque en un principio el Comité se decanta por una formulación genérica, en las sucesivas observaciones comienza a ser más específico identificando claramente lo que considera como “</w:t>
      </w:r>
      <w:r w:rsidRPr="0093454D">
        <w:rPr>
          <w:i/>
        </w:rPr>
        <w:t>régimen de sustitución en la toma de decisiones</w:t>
      </w:r>
      <w:r w:rsidRPr="00E72B02">
        <w:t>”. Así respecto de Perú recomienda al Estado que “</w:t>
      </w:r>
      <w:r w:rsidRPr="0093454D">
        <w:rPr>
          <w:i/>
        </w:rPr>
        <w:t>derogue la práctica de la interdicción judicial y revise las leyes que permiten la tutela y la curatela con objeto de garantizar su plena conformidad con el artículo 12 de la Convención</w:t>
      </w:r>
      <w:r w:rsidRPr="00E72B02">
        <w:t>”.</w:t>
      </w:r>
      <w:r w:rsidRPr="00E72B02">
        <w:rPr>
          <w:rStyle w:val="Refdenotaalpie"/>
          <w:lang w:val="es-ES"/>
        </w:rPr>
        <w:footnoteReference w:id="891"/>
      </w:r>
      <w:r w:rsidRPr="00E72B02">
        <w:t xml:space="preserve">  </w:t>
      </w:r>
    </w:p>
    <w:p w:rsidR="003228E5" w:rsidRDefault="003228E5" w:rsidP="004551E9">
      <w:r>
        <w:t>Esto ha sido claramente plasmado en la Observación General nº 1 cuando el CteCDPD afirma que “</w:t>
      </w:r>
      <w:r w:rsidRPr="003228E5">
        <w:t xml:space="preserve">Todas las personas con discapacidad, incluidas las que tienen deficiencias físicas, mentales, intelectuales o sensoriales, pueden verse afectadas por la negación de la capacidad jurídica y la sustitución en la adopción de decisiones. No obstante, los regímenes basados en la adopción de decisiones sustitutiva y la negación de la capacidad jurídica han afectado y siguen afectando de manera desproporcionada a las personas con discapacidad cognitiva o psicosocial. El Comité reafirma que el hecho de que una persona tenga una discapacidad o una deficiencia (incluidas las deficiencias físicas o sensoriales) no debe ser nunca motivo para negarle la </w:t>
      </w:r>
      <w:r w:rsidRPr="003228E5">
        <w:lastRenderedPageBreak/>
        <w:t>capacidad jurídica ni ninguno de los derechos establecidos en el artículo 12. Todas las prácticas cuyo propósito o efecto sea violar el artículo 12 deben ser abolidas, a fin de que las personas con discapacidad recobren la plena capacidad jurídica en igualdad de condiciones con las demás</w:t>
      </w:r>
      <w:r>
        <w:t>…”.</w:t>
      </w:r>
      <w:r>
        <w:rPr>
          <w:rStyle w:val="Refdenotaalpie"/>
          <w:lang w:val="es-ES"/>
        </w:rPr>
        <w:footnoteReference w:id="892"/>
      </w:r>
      <w:r>
        <w:t xml:space="preserve"> </w:t>
      </w:r>
    </w:p>
    <w:p w:rsidR="00485F4C" w:rsidRPr="00E72B02" w:rsidRDefault="00485F4C" w:rsidP="004551E9">
      <w:pPr>
        <w:rPr>
          <w:lang w:val="es-ES"/>
        </w:rPr>
      </w:pPr>
      <w:r w:rsidRPr="00E72B02">
        <w:rPr>
          <w:lang w:val="es-ES"/>
        </w:rPr>
        <w:t xml:space="preserve">La segunda pauta de interpretación </w:t>
      </w:r>
      <w:r w:rsidRPr="00E72B02">
        <w:rPr>
          <w:lang w:val="es-ES_tradnl"/>
        </w:rPr>
        <w:t xml:space="preserve">que se desprende claramente de las observaciones finales del Comité es que el Artículo 12 garantiza el ejercicio de derechos específicos tales como: i) la libertad prohibiendo </w:t>
      </w:r>
      <w:r w:rsidRPr="00E72B02">
        <w:rPr>
          <w:lang w:val="es-ES"/>
        </w:rPr>
        <w:t>el internamiento forzoso a causa de una incapacidad manifiesta o diagnosticada,</w:t>
      </w:r>
      <w:r w:rsidRPr="00E72B02">
        <w:rPr>
          <w:rStyle w:val="Refdenotaalpie"/>
          <w:lang w:val="es-ES"/>
        </w:rPr>
        <w:footnoteReference w:id="893"/>
      </w:r>
      <w:r w:rsidRPr="00E72B02">
        <w:rPr>
          <w:lang w:val="es-ES"/>
        </w:rPr>
        <w:t xml:space="preserve"> y garantizando el derecho a elegir el lugar de residencia,</w:t>
      </w:r>
      <w:r w:rsidRPr="00E72B02">
        <w:rPr>
          <w:rStyle w:val="Refdenotaalpie"/>
          <w:lang w:val="es-ES"/>
        </w:rPr>
        <w:footnoteReference w:id="894"/>
      </w:r>
      <w:r w:rsidRPr="00E72B02">
        <w:rPr>
          <w:lang w:val="es-ES"/>
        </w:rPr>
        <w:t xml:space="preserve"> ii) la integridad física y psíquica prohibiendo la esterilización forzosa,</w:t>
      </w:r>
      <w:r w:rsidRPr="00E72B02">
        <w:rPr>
          <w:rStyle w:val="Refdenotaalpie"/>
          <w:lang w:val="es-ES"/>
        </w:rPr>
        <w:footnoteReference w:id="895"/>
      </w:r>
      <w:r w:rsidRPr="00E72B02">
        <w:rPr>
          <w:lang w:val="es-ES"/>
        </w:rPr>
        <w:t xml:space="preserve"> o el sometimiento a tratamientos médicos sin consentimiento informado,</w:t>
      </w:r>
      <w:r w:rsidRPr="00E72B02">
        <w:rPr>
          <w:rStyle w:val="Refdenotaalpie"/>
          <w:lang w:val="es-ES"/>
        </w:rPr>
        <w:footnoteReference w:id="896"/>
      </w:r>
      <w:r w:rsidRPr="00E72B02">
        <w:rPr>
          <w:lang w:val="es-ES"/>
        </w:rPr>
        <w:t xml:space="preserve"> ii) derechos políticos prohibiendo la denegación del derecho al voto por motivo de incapacidad,</w:t>
      </w:r>
      <w:r w:rsidRPr="00E72B02">
        <w:rPr>
          <w:rStyle w:val="Refdenotaalpie"/>
          <w:lang w:val="es-ES"/>
        </w:rPr>
        <w:footnoteReference w:id="897"/>
      </w:r>
      <w:r w:rsidRPr="00E72B02">
        <w:rPr>
          <w:lang w:val="es-ES"/>
        </w:rPr>
        <w:t xml:space="preserve"> iv) derechos de familia, prohibiendo la denegación del derecho al matrimonio,</w:t>
      </w:r>
      <w:r w:rsidRPr="00E72B02">
        <w:rPr>
          <w:rStyle w:val="Refdenotaalpie"/>
          <w:lang w:val="es-ES"/>
        </w:rPr>
        <w:footnoteReference w:id="898"/>
      </w:r>
      <w:r w:rsidRPr="00E72B02">
        <w:rPr>
          <w:lang w:val="es-ES"/>
        </w:rPr>
        <w:t xml:space="preserve"> v) derecho de acceso a la justicia, garantizando que las personas declaradas incapaces tengan legitimación procesal y real para reclamar ante las autoridades judiciales,</w:t>
      </w:r>
      <w:r w:rsidRPr="00E72B02">
        <w:rPr>
          <w:rStyle w:val="Refdenotaalpie"/>
          <w:lang w:val="es-ES"/>
        </w:rPr>
        <w:footnoteReference w:id="899"/>
      </w:r>
      <w:r w:rsidRPr="00E72B02">
        <w:rPr>
          <w:lang w:val="es-ES"/>
        </w:rPr>
        <w:t xml:space="preserve"> vi) derechos patrimoniales, prohibiendo que las personas declaradas incapaces se le prive del derecho de administrar y disponer de su patrimonio.</w:t>
      </w:r>
      <w:r w:rsidRPr="00E72B02">
        <w:rPr>
          <w:rStyle w:val="Refdenotaalpie"/>
          <w:lang w:val="es-ES"/>
        </w:rPr>
        <w:footnoteReference w:id="900"/>
      </w:r>
      <w:r w:rsidRPr="00E72B02">
        <w:rPr>
          <w:lang w:val="es-ES"/>
        </w:rPr>
        <w:t xml:space="preserve"> </w:t>
      </w:r>
    </w:p>
    <w:p w:rsidR="00485F4C" w:rsidRPr="00E72B02" w:rsidRDefault="00485F4C" w:rsidP="004551E9">
      <w:pPr>
        <w:rPr>
          <w:lang w:val="es-ES"/>
        </w:rPr>
      </w:pPr>
      <w:r w:rsidRPr="00E72B02">
        <w:rPr>
          <w:lang w:val="es-ES"/>
        </w:rPr>
        <w:lastRenderedPageBreak/>
        <w:t xml:space="preserve">La tercera pauta de </w:t>
      </w:r>
      <w:r w:rsidRPr="00E72B02">
        <w:rPr>
          <w:lang w:val="es-ES_tradnl"/>
        </w:rPr>
        <w:t xml:space="preserve">interpretación que se desprende claramente de las observaciones finales del Comité es que los Estados Partes de la CDPD deben, en virtud del Artículo 12, </w:t>
      </w:r>
      <w:r w:rsidRPr="00E72B02">
        <w:rPr>
          <w:lang w:val="es-ES"/>
        </w:rPr>
        <w:t>implementar un sistema que sirva de complemento de la capacidad de obrar que incluya lo siguiente: a) Reconocimiento de la capacidad de obrar de todas las personas y del derecho a ejercerla; b) Ajustes y mecanismos de acceso en apoyo, en caso necesario, del ejercicio de la capacidad de obrar; c) Normas que garanticen que el complemento de la capacidad de obrar respete la autonomía, la voluntad y las preferencias de la persona y establecimiento de mecanismos de información para asegurarse de que ese complemento satisfaga las necesidades de la persona; d) Arreglos para la promoción y el establecimiento de sistemas de complemento de la capacidad de obrar.</w:t>
      </w:r>
      <w:r w:rsidRPr="00E72B02">
        <w:rPr>
          <w:rStyle w:val="Refdenotaalpie"/>
          <w:lang w:val="es-ES"/>
        </w:rPr>
        <w:footnoteReference w:id="901"/>
      </w:r>
    </w:p>
    <w:p w:rsidR="00485F4C" w:rsidRPr="00E72B02" w:rsidRDefault="00485F4C" w:rsidP="004551E9">
      <w:r w:rsidRPr="00E72B02">
        <w:lastRenderedPageBreak/>
        <w:t>En resumidas cuentas, la doctrina del Comité sostiene una interpretación de las obligaciones contenidas en el artículo 12 que supone: En primer lugar que la noción de “capacidad jurídica” incluye lo que comúnmente se entiende como “capacidad de obrar” o capacidad de tomar decisiones en nombre propio.</w:t>
      </w:r>
      <w:r w:rsidR="00B208E1">
        <w:rPr>
          <w:rStyle w:val="Refdenotaalpie"/>
          <w:lang w:val="es-ES"/>
        </w:rPr>
        <w:footnoteReference w:id="902"/>
      </w:r>
      <w:r w:rsidRPr="00E72B02">
        <w:t xml:space="preserve"> En segundo lugar, que los Estados Parte están obligados a revisar las leyes y prácticas que deniegan el ejercicio de la capacidad de obrar a la personas con discapacidad, tengan el nombre de tutela, curatela, </w:t>
      </w:r>
      <w:r w:rsidRPr="00E72B02">
        <w:lastRenderedPageBreak/>
        <w:t>incapacitación o inhabilitación.</w:t>
      </w:r>
      <w:r w:rsidR="005F35BF">
        <w:rPr>
          <w:rStyle w:val="Refdenotaalpie"/>
          <w:lang w:val="es-ES"/>
        </w:rPr>
        <w:footnoteReference w:id="903"/>
      </w:r>
      <w:r w:rsidRPr="00E72B02">
        <w:t xml:space="preserve"> En tercer lugar, que el derecho al ejercicio de la capacidad jurídica se extiende a todos los aspectos de la vida, en especial respecto del derecho a la libertad, a la integridad física y psíquica, y a otros derechos civiles y políticos como el voto, el acceso a la justicia o el derecho al matrimonio.</w:t>
      </w:r>
      <w:r w:rsidR="005F35BF">
        <w:rPr>
          <w:rStyle w:val="Refdenotaalpie"/>
          <w:lang w:val="es-ES"/>
        </w:rPr>
        <w:footnoteReference w:id="904"/>
      </w:r>
      <w:r w:rsidRPr="00E72B02">
        <w:t xml:space="preserve"> En cuarto lugar, que los Estados Partes deben implementar un régimen de apoyos al ejercicio de la capacidad jurídica que garantice el derecho a la toma de decisiones en nombre propio, pero que al mismo tiempo garantice un ejercicio de derechos igualitario y con salvaguardias.</w:t>
      </w:r>
      <w:r w:rsidR="005F35BF">
        <w:rPr>
          <w:rStyle w:val="Refdenotaalpie"/>
          <w:lang w:val="es-ES"/>
        </w:rPr>
        <w:footnoteReference w:id="905"/>
      </w:r>
      <w:r w:rsidRPr="00E72B02">
        <w:t xml:space="preserve"> </w:t>
      </w:r>
    </w:p>
    <w:p w:rsidR="00485F4C" w:rsidRPr="00E72B02" w:rsidRDefault="00485F4C" w:rsidP="004551E9"/>
    <w:p w:rsidR="00485F4C" w:rsidRPr="009E5B24" w:rsidRDefault="00485F4C" w:rsidP="004551E9">
      <w:pPr>
        <w:pStyle w:val="Ttulo4"/>
        <w:rPr>
          <w:b/>
        </w:rPr>
      </w:pPr>
      <w:r w:rsidRPr="009E5B24">
        <w:rPr>
          <w:b/>
          <w:lang w:val="es-ES_tradnl"/>
        </w:rPr>
        <w:t xml:space="preserve">6.4.3.2 </w:t>
      </w:r>
      <w:r w:rsidRPr="009E5B24">
        <w:rPr>
          <w:b/>
        </w:rPr>
        <w:t>Comité para la Eliminación de Todas las formas de Discriminación contra las Personas con Discapacidad</w:t>
      </w:r>
    </w:p>
    <w:p w:rsidR="00485F4C" w:rsidRPr="00E72B02" w:rsidRDefault="00485F4C" w:rsidP="004551E9">
      <w:pPr>
        <w:rPr>
          <w:lang w:val="es-ES_tradnl"/>
        </w:rPr>
      </w:pPr>
    </w:p>
    <w:p w:rsidR="00485F4C" w:rsidRPr="00E72B02" w:rsidRDefault="00485F4C" w:rsidP="004551E9">
      <w:pPr>
        <w:rPr>
          <w:lang w:val="es-ES_tradnl"/>
        </w:rPr>
      </w:pPr>
      <w:r w:rsidRPr="00E72B02">
        <w:rPr>
          <w:lang w:val="es-ES_tradnl"/>
        </w:rPr>
        <w:lastRenderedPageBreak/>
        <w:t>Como se ha señalado ya el C</w:t>
      </w:r>
      <w:r w:rsidR="00275925">
        <w:rPr>
          <w:lang w:val="es-ES_tradnl"/>
        </w:rPr>
        <w:t xml:space="preserve">EDDIS </w:t>
      </w:r>
      <w:r w:rsidRPr="00E72B02">
        <w:rPr>
          <w:lang w:val="es-ES_tradnl"/>
        </w:rPr>
        <w:t>de la OEA ha adoptado una observación general en relación con el artículo 12 la cual merece en este punto ser analizada desde una perspectiva de interpretación de tratados internacionales.</w:t>
      </w:r>
      <w:r w:rsidRPr="00E72B02">
        <w:rPr>
          <w:rStyle w:val="Refdenotaalpie"/>
          <w:lang w:val="es-ES_tradnl"/>
        </w:rPr>
        <w:footnoteReference w:id="906"/>
      </w:r>
      <w:r w:rsidRPr="00E72B02">
        <w:rPr>
          <w:lang w:val="es-ES_tradnl"/>
        </w:rPr>
        <w:t xml:space="preserve"> </w:t>
      </w:r>
    </w:p>
    <w:p w:rsidR="00485F4C" w:rsidRPr="00E72B02" w:rsidRDefault="00485F4C" w:rsidP="004551E9">
      <w:r w:rsidRPr="00E72B02">
        <w:rPr>
          <w:lang w:val="es-ES_tradnl"/>
        </w:rPr>
        <w:t>Al respecto el Comité señala al principio de la observación que “</w:t>
      </w:r>
      <w:r w:rsidRPr="00275925">
        <w:t>conforme al artículo I.2.b de la Convención Interamericana adoptada en 1999, la declaratoria de interdicción hacia la persona con discapacidad no constituye un acto discriminatorio, norma que en opinión del Comité resulta obsoleta tras la adopción de la Convención de Naciones Unidas de 2006. El proceso de reforma de la Convención Interamericana puede estar dotado de complejidades y trámites extensos, por lo que de manera momentánea los miembros del Comité presentes sugirieron diseñar otras propuestas más viables que pudieran ser aprobadas durante la próxima reunión del Comité. En este sentido, se sugirió que como Comité adopten un criterio de interpretación el cual podría ser difundido masivamente</w:t>
      </w:r>
      <w:r w:rsidRPr="00E72B02">
        <w:t>”.</w:t>
      </w:r>
    </w:p>
    <w:p w:rsidR="00485F4C" w:rsidRPr="00E72B02" w:rsidRDefault="00485F4C" w:rsidP="004551E9">
      <w:r w:rsidRPr="00E72B02">
        <w:t>Continúa señalado el Comité que “</w:t>
      </w:r>
      <w:r w:rsidRPr="00275925">
        <w:t>este criterio de interpretación debería anular, para efectos prácticos, esta primera parte del artículo I.2.b de la Convención Interamericana que es aclarativa, de modo de iniciar un proceso de transición toda vez que no se puede proponer un cambio inmediato ya que existe una cantidad considerable de personas interdictas</w:t>
      </w:r>
      <w:r w:rsidRPr="00E72B02">
        <w:t>”.</w:t>
      </w:r>
    </w:p>
    <w:p w:rsidR="00485F4C" w:rsidRPr="00E72B02" w:rsidRDefault="00485F4C" w:rsidP="004551E9">
      <w:pPr>
        <w:rPr>
          <w:lang w:val="es-ES_tradnl"/>
        </w:rPr>
      </w:pPr>
      <w:r w:rsidRPr="00E72B02">
        <w:t>Finalmente el Comité “</w:t>
      </w:r>
      <w:r w:rsidRPr="00275925">
        <w:t xml:space="preserve">declara que el criterio establecido en el artículo I.2, inciso b) in fine de la Convención Interamericana para la Eliminación de Todas las Formas de Discriminación contra las Personas con Discapacidad de la O.E.A. en cuanto establece que “En los casos en que la legislación interna prevea la figura de la declaratoria de interdicción, cuando sea </w:t>
      </w:r>
      <w:r w:rsidRPr="00275925">
        <w:lastRenderedPageBreak/>
        <w:t>necesaria y apropiada para su bienestar, ésta no constituirá discriminación” guarda una seria contradicción con lo establecido por el artículo 2 y 12 de la Convención de Naciones Unidas y, en consecuencia, entiende que el mismo debe ser reinterpretado en el marco de la vigencia de este último documento</w:t>
      </w:r>
      <w:r w:rsidRPr="00E72B02">
        <w:t xml:space="preserve">”. </w:t>
      </w:r>
    </w:p>
    <w:p w:rsidR="00485F4C" w:rsidRPr="00E72B02" w:rsidRDefault="00485F4C" w:rsidP="004551E9">
      <w:pPr>
        <w:rPr>
          <w:lang w:val="es-ES_tradnl"/>
        </w:rPr>
      </w:pPr>
    </w:p>
    <w:p w:rsidR="00CD178D" w:rsidRPr="00E72B02" w:rsidRDefault="00CD178D" w:rsidP="004551E9">
      <w:pPr>
        <w:rPr>
          <w:lang w:val="es-ES_tradnl"/>
        </w:rPr>
      </w:pPr>
      <w:r w:rsidRPr="00E72B02">
        <w:rPr>
          <w:lang w:val="es-ES_tradnl"/>
        </w:rPr>
        <w:br w:type="page"/>
      </w:r>
    </w:p>
    <w:p w:rsidR="00CD178D" w:rsidRPr="00E72B02" w:rsidRDefault="00CD178D" w:rsidP="004551E9">
      <w:pPr>
        <w:rPr>
          <w:lang w:val="es-ES_tradnl"/>
        </w:rPr>
      </w:pPr>
      <w:r w:rsidRPr="00E72B02">
        <w:rPr>
          <w:lang w:val="es-ES_tradnl"/>
        </w:rPr>
        <w:lastRenderedPageBreak/>
        <w:br w:type="page"/>
      </w:r>
    </w:p>
    <w:p w:rsidR="00582550" w:rsidRPr="009E5B24" w:rsidRDefault="009E5B24" w:rsidP="004551E9">
      <w:pPr>
        <w:pStyle w:val="Ttulo1"/>
        <w:rPr>
          <w:sz w:val="24"/>
          <w:szCs w:val="24"/>
        </w:rPr>
      </w:pPr>
      <w:r w:rsidRPr="009E5B24">
        <w:rPr>
          <w:sz w:val="24"/>
          <w:szCs w:val="24"/>
        </w:rPr>
        <w:lastRenderedPageBreak/>
        <w:t>CONCLUSIONES</w:t>
      </w:r>
    </w:p>
    <w:p w:rsidR="00582550" w:rsidRDefault="00582550" w:rsidP="004551E9">
      <w:pPr>
        <w:rPr>
          <w:lang w:val="es-ES_tradnl"/>
        </w:rPr>
      </w:pPr>
    </w:p>
    <w:p w:rsidR="00582550" w:rsidRDefault="00582550" w:rsidP="004551E9"/>
    <w:p w:rsidR="009E5B24" w:rsidRDefault="00582550" w:rsidP="009E5B24">
      <w:pPr>
        <w:pStyle w:val="Prrafodelista"/>
        <w:numPr>
          <w:ilvl w:val="0"/>
          <w:numId w:val="28"/>
        </w:numPr>
      </w:pPr>
      <w:r w:rsidRPr="00B10FC6">
        <w:t xml:space="preserve">Al momento de abordar cualquier temática relacionada con la discapacidad es preciso tener presente la evolución histórica de los modelos de tratamiento y sus consecuencias en los aspectos políticos, jurídicos y sociales. Ello resulta fundamental para comprender el largo camino hacia </w:t>
      </w:r>
      <w:r>
        <w:t>la aceptación del predominio d</w:t>
      </w:r>
      <w:r w:rsidRPr="00B10FC6">
        <w:t>el modelo social de discapacidad, así como las razones de su surgimiento y de su justificación. A pesar de que los modelos de tratamiento de la discapacidad se pueden leer desde una línea histórica y evolutiva, no cabe dudas que tanto el modelo de prescindencia como el modelo social, siguen plenamente vigentes en muchas políticas, leyes o prácticas de la actualidad.</w:t>
      </w:r>
    </w:p>
    <w:p w:rsidR="009E5B24" w:rsidRDefault="009E5B24" w:rsidP="009E5B24">
      <w:pPr>
        <w:pStyle w:val="Prrafodelista"/>
        <w:ind w:left="1080"/>
      </w:pPr>
    </w:p>
    <w:p w:rsidR="009E5B24" w:rsidRDefault="00582550" w:rsidP="009E5B24">
      <w:pPr>
        <w:pStyle w:val="Prrafodelista"/>
        <w:numPr>
          <w:ilvl w:val="0"/>
          <w:numId w:val="28"/>
        </w:numPr>
      </w:pPr>
      <w:r w:rsidRPr="00B10FC6">
        <w:t xml:space="preserve">El modelo social de la discapacidad se ha erigido hoy día como el modelo de referencia que informa e inspira todo tipo de abordaje </w:t>
      </w:r>
      <w:r>
        <w:t>de</w:t>
      </w:r>
      <w:r w:rsidRPr="00B10FC6">
        <w:t xml:space="preserve"> la discapacidad. La legitimidad del modelo social viene dada no solo por haberse gestado desde las propias personas con discapacidad, sino también por su conexión con el discurso de los derechos humanos y los valores fundamentales que lo inspiran. Como consecuencia de ello, las respuestas que el modelo social propone frente a los dilemas que plantea la regulación jurídica de los derechos de las personas con discapacidad obedecen a las proclamas y reivindicaciones del movimiento internacional de las personas con discapacidad y tienen como efecto plantear aquellas respuestas que garanticen al máximo la autonomía, la dignidad y la libertad de las personas con discapacidad. </w:t>
      </w:r>
    </w:p>
    <w:p w:rsidR="009E5B24" w:rsidRDefault="00582550" w:rsidP="009E5B24">
      <w:pPr>
        <w:pStyle w:val="Prrafodelista"/>
        <w:numPr>
          <w:ilvl w:val="0"/>
          <w:numId w:val="28"/>
        </w:numPr>
      </w:pPr>
      <w:r>
        <w:lastRenderedPageBreak/>
        <w:t xml:space="preserve">La evolución del tratamiento de la discapacidad en el marco de la ONU comienza en </w:t>
      </w:r>
      <w:r w:rsidRPr="00992E07">
        <w:t xml:space="preserve">los años cincuentas </w:t>
      </w:r>
      <w:r>
        <w:t xml:space="preserve">con la aprobación de </w:t>
      </w:r>
      <w:r w:rsidRPr="00992E07">
        <w:t xml:space="preserve">varias resoluciones relativas a la prevención y la rehabilitación de personas con discapacidad. Consistente con la perspectiva de prevención y rehabilitación, la acción de la ONU se focalizó principalmente en la discapacidad física a través del apoyo a los gobiernos por medio de misiones de asesoramiento, talleres para la capacitación del personal técnico o el establecimiento de centros de rehabilitación. Hacia principios de los setentas, se adoptaron las primeras declaraciones y resoluciones temáticas sobre discapacidad, que evidencian los primeros síntomas del paso de un criterio de atención a uno basado en derechos. Los años ochenta </w:t>
      </w:r>
      <w:r>
        <w:t xml:space="preserve">marcan </w:t>
      </w:r>
      <w:r w:rsidRPr="00992E07">
        <w:t>el paso irreversible del modelo de atención al modelo de derechos</w:t>
      </w:r>
      <w:r>
        <w:t xml:space="preserve"> lo cual se puede apreciar </w:t>
      </w:r>
      <w:r w:rsidRPr="00992E07">
        <w:t xml:space="preserve">a través de la designación del año 1981 como el Año Internacional de los Impedidos y como consecuencia de ello, en el establecimiento del Decenio de las Naciones Unidas para los Impedidos. </w:t>
      </w:r>
      <w:r>
        <w:t>En los noventas, l</w:t>
      </w:r>
      <w:r w:rsidRPr="00992E07">
        <w:t>a adopción de las Normas Uniformes sobre la igualdad de oportunidades para las</w:t>
      </w:r>
      <w:r>
        <w:t xml:space="preserve"> personas con discapacidad</w:t>
      </w:r>
      <w:r w:rsidRPr="00992E07">
        <w:t xml:space="preserve">, marca la asunción y consolidación de la perspectiva de derechos humanos y del modelo social de discapacidad en el marco de la ONU. </w:t>
      </w:r>
    </w:p>
    <w:p w:rsidR="009E5B24" w:rsidRDefault="009E5B24" w:rsidP="009E5B24">
      <w:pPr>
        <w:pStyle w:val="Prrafodelista"/>
        <w:ind w:left="1080"/>
      </w:pPr>
    </w:p>
    <w:p w:rsidR="009E5B24" w:rsidRDefault="00582550" w:rsidP="009E5B24">
      <w:pPr>
        <w:pStyle w:val="Prrafodelista"/>
        <w:numPr>
          <w:ilvl w:val="0"/>
          <w:numId w:val="28"/>
        </w:numPr>
      </w:pPr>
      <w:r w:rsidRPr="008D0C13">
        <w:t>Hacia la entrada del siglo XXI</w:t>
      </w:r>
      <w:r>
        <w:t>,</w:t>
      </w:r>
      <w:r w:rsidRPr="008D0C13">
        <w:t xml:space="preserve"> </w:t>
      </w:r>
      <w:r>
        <w:t xml:space="preserve">y pese a que </w:t>
      </w:r>
      <w:r w:rsidRPr="008D0C13">
        <w:t>la comunidad internacional había desarrollado una intensa labor normativa en relación con la protección específica de los derechos de las personas con discapacidad, pasando de una perspectiva médico-asistencialista a una perspectiva social y de derechos humanos</w:t>
      </w:r>
      <w:r>
        <w:t xml:space="preserve">, todo dichos </w:t>
      </w:r>
      <w:r w:rsidRPr="008D0C13">
        <w:t xml:space="preserve">esfuerzos no habían logrado establecer ningún instrumento internacional jurídicamente vinculante que resultare de aplicación específica al contexto de la discapacidad. </w:t>
      </w:r>
      <w:r>
        <w:t xml:space="preserve">Paralelo </w:t>
      </w:r>
      <w:r>
        <w:lastRenderedPageBreak/>
        <w:t xml:space="preserve">a ello, </w:t>
      </w:r>
      <w:r w:rsidRPr="008D0C13">
        <w:t xml:space="preserve">y </w:t>
      </w:r>
      <w:r>
        <w:t>a</w:t>
      </w:r>
      <w:r w:rsidRPr="008D0C13">
        <w:t xml:space="preserve">unque los tratados universales de derecho humanos </w:t>
      </w:r>
      <w:r>
        <w:t>eran de</w:t>
      </w:r>
      <w:r w:rsidRPr="008D0C13">
        <w:t xml:space="preserve"> aplicación directa respecto de las personas con discapacidad, la práctica internacional previa a la adopción de la CDPD </w:t>
      </w:r>
      <w:r>
        <w:t xml:space="preserve">demostraba </w:t>
      </w:r>
      <w:r w:rsidRPr="008D0C13">
        <w:t>un escaso y deficiente abordaje de los derechos de las personas con discapacidad</w:t>
      </w:r>
      <w:r>
        <w:t xml:space="preserve">. Ello podía </w:t>
      </w:r>
      <w:r w:rsidRPr="008D0C13">
        <w:t xml:space="preserve">evidenciarse </w:t>
      </w:r>
      <w:r>
        <w:t>en las</w:t>
      </w:r>
      <w:r w:rsidRPr="008D0C13">
        <w:t xml:space="preserve"> decisiones provenientes de los órganos de vigilancia de los mismos, ya sea a través de Comentarios Generales, Observaciones Finales a los informes de los Estados, y en las Comunicaciones Individuales. Asimismo los informes presentados por los Estados Partes a los tratados internacionales de derechos humanos, </w:t>
      </w:r>
      <w:r>
        <w:t xml:space="preserve">demostraban </w:t>
      </w:r>
      <w:r w:rsidRPr="008D0C13">
        <w:t xml:space="preserve">una tendencia similar. </w:t>
      </w:r>
    </w:p>
    <w:p w:rsidR="009E5B24" w:rsidRDefault="009E5B24" w:rsidP="009E5B24">
      <w:pPr>
        <w:pStyle w:val="Prrafodelista"/>
        <w:ind w:left="1080"/>
      </w:pPr>
    </w:p>
    <w:p w:rsidR="009E5B24" w:rsidRDefault="00582550" w:rsidP="009E5B24">
      <w:pPr>
        <w:pStyle w:val="Prrafodelista"/>
        <w:numPr>
          <w:ilvl w:val="0"/>
          <w:numId w:val="28"/>
        </w:numPr>
      </w:pPr>
      <w:r w:rsidRPr="00B10FC6">
        <w:t>A raíz de la invisibilidad de la discapacidad en el marco de los tratados internacionales de derechos humanos, sumado al hecho de la presión internacional del movimiento de personas con discapacidad, generaron la necesidad imperiosa de negociar y adoptar un tratado internacional de derechos humanos específico de</w:t>
      </w:r>
      <w:r>
        <w:t xml:space="preserve"> protección de los derechos de</w:t>
      </w:r>
      <w:r w:rsidRPr="00B10FC6">
        <w:t xml:space="preserve"> las personas con discapacidad.</w:t>
      </w:r>
    </w:p>
    <w:p w:rsidR="009E5B24" w:rsidRDefault="009E5B24" w:rsidP="009E5B24">
      <w:pPr>
        <w:pStyle w:val="Prrafodelista"/>
      </w:pPr>
    </w:p>
    <w:p w:rsidR="009E5B24" w:rsidRDefault="00582550" w:rsidP="009E5B24">
      <w:pPr>
        <w:pStyle w:val="Prrafodelista"/>
        <w:numPr>
          <w:ilvl w:val="0"/>
          <w:numId w:val="28"/>
        </w:numPr>
      </w:pPr>
      <w:r w:rsidRPr="00B10FC6">
        <w:t>Con posterioridad a la adopción de la CDPD, los restantes órganos de vigilancia de los tratados de derechos humanos, han comenzado a incluir la perspectiva de la discapacidad, y del modelo social, en sus labores de vigilancia</w:t>
      </w:r>
      <w:r>
        <w:t xml:space="preserve"> y control</w:t>
      </w:r>
      <w:r w:rsidRPr="00B10FC6">
        <w:t xml:space="preserve">. Aunque dicho abordaje es aún incipiente, se puede apreciar que los citados órganos de vigilancia han adoptado las disposiciones de la CDPD como normas de referencia y de obligado cumplimiento, incluso en algunos casos, reinterpretando las disposiciones específicas de ciertos tratados de derechos humanos como en el marco del PIDCP, el PIDESC, la CIEFDM, o la CCT.  </w:t>
      </w:r>
    </w:p>
    <w:p w:rsidR="009E5B24" w:rsidRDefault="009E5B24" w:rsidP="009E5B24">
      <w:pPr>
        <w:pStyle w:val="Prrafodelista"/>
      </w:pPr>
    </w:p>
    <w:p w:rsidR="009E5B24" w:rsidRDefault="00582550" w:rsidP="009E5B24">
      <w:pPr>
        <w:pStyle w:val="Prrafodelista"/>
        <w:numPr>
          <w:ilvl w:val="0"/>
          <w:numId w:val="28"/>
        </w:numPr>
      </w:pPr>
      <w:r w:rsidRPr="00B10FC6">
        <w:lastRenderedPageBreak/>
        <w:t xml:space="preserve">El PIDCP, pese a que tradicionalmente no ha servido ni en la teoría </w:t>
      </w:r>
      <w:r>
        <w:t>ni</w:t>
      </w:r>
      <w:r w:rsidRPr="00B10FC6">
        <w:t xml:space="preserve"> en la práctica para defender los derechos de las personas con discapacidad, desde la adopción de la CDPD y la asunción de la discapacidad como una cuestión de derechos humanos inspirada en el modelo social, puede ser reinterpretado para </w:t>
      </w:r>
      <w:r>
        <w:t xml:space="preserve">considerar proteger </w:t>
      </w:r>
      <w:r w:rsidRPr="00B10FC6">
        <w:t xml:space="preserve">derecho civiles y fundamentales de las personas con discapacidad, en especial </w:t>
      </w:r>
      <w:r>
        <w:t xml:space="preserve">por </w:t>
      </w:r>
      <w:r w:rsidRPr="00B10FC6">
        <w:t xml:space="preserve">aquellos Estados que siendo parte del PIDCP no lo sean aún respecto de la CDPD. En especial cabe mencionar la protección de los derechos relativos a la existencia humana (vida, integridad física y psíquica, y personalidad jurídica), la libertad y seguridad personal, o la participación política. Todos estos derechos reinterpretados desde la perspectiva de la CDPD pueden ofrecer respuestas similares a las planteadas por la propia Convención sobre los Derechos de las Personas con Discapacidad. Aunque el reconocimiento del derecho al ejercicio de la capacidad jurídica de las personas con discapacidad no se encuentra reconocido por el PIDCP, igualmente es posible cuestionar desde dicho instrumento prácticas como la incapacitación, la institucionalización forzosa, o la denegación del derecho al voto por motivo de discapacidad, como claramente ya lo ha </w:t>
      </w:r>
      <w:r>
        <w:t>señalado el CteDH en recientes O</w:t>
      </w:r>
      <w:r w:rsidRPr="00B10FC6">
        <w:t xml:space="preserve">bservaciones </w:t>
      </w:r>
      <w:r>
        <w:t>F</w:t>
      </w:r>
      <w:r w:rsidRPr="00B10FC6">
        <w:t xml:space="preserve">inales a los informes de los Estados Parte. </w:t>
      </w:r>
    </w:p>
    <w:p w:rsidR="009E5B24" w:rsidRDefault="009E5B24" w:rsidP="009E5B24">
      <w:pPr>
        <w:pStyle w:val="Prrafodelista"/>
        <w:ind w:left="1080"/>
      </w:pPr>
    </w:p>
    <w:p w:rsidR="009E5B24" w:rsidRDefault="00582550" w:rsidP="009E5B24">
      <w:pPr>
        <w:pStyle w:val="Prrafodelista"/>
        <w:numPr>
          <w:ilvl w:val="0"/>
          <w:numId w:val="28"/>
        </w:numPr>
      </w:pPr>
      <w:r>
        <w:t xml:space="preserve">El PIDESC, </w:t>
      </w:r>
      <w:r w:rsidRPr="00B10FC6">
        <w:t xml:space="preserve">es sin duda alguna, el instrumento universal y vinculante que mayor atención ha prestado a la situación particular de los derechos de las personas con discapacidad, ello a pesar de no existir referencia específica alguna a este colectivo a lo largo del texto del tratado. Aunque la práctica de </w:t>
      </w:r>
      <w:r>
        <w:t>control</w:t>
      </w:r>
      <w:r w:rsidRPr="00B10FC6">
        <w:t xml:space="preserve"> de este tratado no demuestra hasta la entrada en vigor de la CDPD un abordaje pleno de los derechos de las personas con </w:t>
      </w:r>
      <w:r w:rsidRPr="00B10FC6">
        <w:lastRenderedPageBreak/>
        <w:t xml:space="preserve">discapacidad, a partir de la Observación General nº 5 del CteDESC es posible reinterpretar la regulación y las obligaciones </w:t>
      </w:r>
      <w:r>
        <w:t xml:space="preserve">impuestas por </w:t>
      </w:r>
      <w:r w:rsidRPr="00B10FC6">
        <w:t>el Pacto respecto de los derechos económicos, sociales y culturales de las personas con discapacidad. En especial caben destacar el derecho a la salud, el derecho a la educación, el derecho al trabajo, el derecho a una vida digna y el derecho al ocio, la cultura y la recreación. De este modo la nueva lectura del PIDESC permite defender principios como el acceso universal y equitativo a los servicios de salud, incluid</w:t>
      </w:r>
      <w:r>
        <w:t>a</w:t>
      </w:r>
      <w:r w:rsidRPr="00B10FC6">
        <w:t xml:space="preserve"> la salud sexual y reproductiva, el derecho al empleo inclusivo y en condiciones equitativas, el derecho a la educación inclusiva, el derecho a la vida digna y en la comunidad, y el derecho de accesibilidad a la cultura, la recreación y el deporte de las personas con discapacidad. </w:t>
      </w:r>
    </w:p>
    <w:p w:rsidR="009E5B24" w:rsidRDefault="009E5B24" w:rsidP="009E5B24">
      <w:pPr>
        <w:pStyle w:val="Prrafodelista"/>
        <w:ind w:left="1080"/>
      </w:pPr>
    </w:p>
    <w:p w:rsidR="009E5B24" w:rsidRDefault="00582550" w:rsidP="009E5B24">
      <w:pPr>
        <w:pStyle w:val="Prrafodelista"/>
        <w:numPr>
          <w:ilvl w:val="0"/>
          <w:numId w:val="28"/>
        </w:numPr>
      </w:pPr>
      <w:r w:rsidRPr="00B10FC6">
        <w:t xml:space="preserve">La CCT, pese al silencio respecto de los derechos de las personas con discapacidad ofrece un marco de protección de suma importancia respecto de este colectivo. Como lo han destacada los recientes Relatores Especiales sobre la cuestión de la tortura, </w:t>
      </w:r>
      <w:r>
        <w:t xml:space="preserve">y se refleja en diferentes Recomendaciones dirigidas a Estados cuyo informe es examinado, </w:t>
      </w:r>
      <w:r w:rsidRPr="00B10FC6">
        <w:t xml:space="preserve">la CDPD complementa otros instrumentos de derechos humanos respecto de la prohibición de la tortura y los malos tratos proporcionando orientaciones autorizadas adicionales, y al mismo tiempo permite concluir que la aceptación de tratamiento involuntario y el encierro involuntario va en contra de lo dispuesto en la CCT. Contrariamente a lo que se podría imaginar, la CCT ofrece herramientas fundamentales para cuestionar prácticas sumamente agresivas de la integridad física y mental de las personas con discapacidad, como la institucionalización forzosa, la administración de fármacos para el control disciplinario, la </w:t>
      </w:r>
      <w:r w:rsidRPr="00B10FC6">
        <w:lastRenderedPageBreak/>
        <w:t xml:space="preserve">realización de experimentaciones médicas y científicas sin consentimiento libre e informado, o la realización de prácticas invasivas como la esterilización, el aborto, la sujeción prolongada, o los electro shock. </w:t>
      </w:r>
    </w:p>
    <w:p w:rsidR="009E5B24" w:rsidRDefault="009E5B24" w:rsidP="009E5B24">
      <w:pPr>
        <w:pStyle w:val="Prrafodelista"/>
        <w:ind w:left="1080"/>
      </w:pPr>
    </w:p>
    <w:p w:rsidR="009E5B24" w:rsidRDefault="00582550" w:rsidP="009E5B24">
      <w:pPr>
        <w:pStyle w:val="Prrafodelista"/>
        <w:numPr>
          <w:ilvl w:val="0"/>
          <w:numId w:val="28"/>
        </w:numPr>
      </w:pPr>
      <w:r w:rsidRPr="00B10FC6">
        <w:t>La CEFDM no ha servido hasta la entrada en vigor de la CDPD para velar adecuadamente por los derechos de las mujeres</w:t>
      </w:r>
      <w:r>
        <w:t xml:space="preserve"> y niñas</w:t>
      </w:r>
      <w:r w:rsidRPr="00B10FC6">
        <w:t xml:space="preserve"> con discapacidad, aunque esto parece estar cambiando a la luz de los trabajos del CteEDM. Sin perjuicio de ello, la CEFDM constituye un instrumento internacional vinculante de suma importancia para el abordaje de los derechos de las </w:t>
      </w:r>
      <w:r>
        <w:t>mujeres y niñas</w:t>
      </w:r>
      <w:r w:rsidRPr="00B10FC6">
        <w:t xml:space="preserve"> con discapacidad principalmente por dos motivos. En primer lugar porque recoge y regula la obligación universal de tener presente la perspectiva de género en toda norma, política o práctica que de forma directa o indirecta afecte a las mujeres</w:t>
      </w:r>
      <w:r>
        <w:t xml:space="preserve"> y niñas</w:t>
      </w:r>
      <w:r w:rsidRPr="00B10FC6">
        <w:t xml:space="preserve">. En segundo lugar, porque recoge por primera vez en un instrumento internacional vinculante la noción de capacidad jurídica, lo que permite luego interpretar dicho concepto recogido en el artículo 12 de la CDPD como que incluye la capacidad de obrar o de ejercicio de las personas con discapacidad. </w:t>
      </w:r>
    </w:p>
    <w:p w:rsidR="009E5B24" w:rsidRDefault="009E5B24" w:rsidP="009E5B24">
      <w:pPr>
        <w:pStyle w:val="Prrafodelista"/>
      </w:pPr>
    </w:p>
    <w:p w:rsidR="009E5B24" w:rsidRDefault="00582550" w:rsidP="009E5B24">
      <w:pPr>
        <w:pStyle w:val="Prrafodelista"/>
        <w:numPr>
          <w:ilvl w:val="0"/>
          <w:numId w:val="28"/>
        </w:numPr>
      </w:pPr>
      <w:r w:rsidRPr="008D0C13">
        <w:t xml:space="preserve">La CDN es el único instrumento internacional vinculante de carácter universal y previo a la CDPD que recoge una disposición (artículo 23) que se ocupa específicamente de los derechos de los niños y niñas con discapacidad. Más allá de dicha disposición que obliga a los Estados Parte a informar y proteger los derechos de los niños y niñas con discapacidad, la CDN también resulta importante para el contexto de la discapacidad en tanto que cuestiona y rechaza la noción de incapacidad absoluta de todos los niños y niñas en el marco de </w:t>
      </w:r>
      <w:r w:rsidRPr="008D0C13">
        <w:lastRenderedPageBreak/>
        <w:t xml:space="preserve">un modelo tutelar clásico. Aunque la CDN no regula el derecho de los niños y niñas al ejercicio igualitario de su capacidad jurídica, incorpora nociones como la </w:t>
      </w:r>
      <w:r>
        <w:t xml:space="preserve">protección del interés superior del niño (todo niño), el </w:t>
      </w:r>
      <w:r w:rsidRPr="008D0C13">
        <w:t xml:space="preserve">de capacidad progresiva y el derecho a ser oído que se enmarcan en un paradigma superador de los modelos clásicos, del mismo modo que la hace la CDPD en relación con el artículo 12.  </w:t>
      </w:r>
    </w:p>
    <w:p w:rsidR="009E5B24" w:rsidRDefault="009E5B24" w:rsidP="009E5B24">
      <w:pPr>
        <w:pStyle w:val="Prrafodelista"/>
      </w:pPr>
    </w:p>
    <w:p w:rsidR="009E5B24" w:rsidRDefault="00582550" w:rsidP="009E5B24">
      <w:pPr>
        <w:pStyle w:val="Prrafodelista"/>
        <w:numPr>
          <w:ilvl w:val="0"/>
          <w:numId w:val="28"/>
        </w:numPr>
      </w:pPr>
      <w:r>
        <w:t xml:space="preserve">La CDPD se adoptó por parte de la AG el 13 de diciembre de 2006 y entró en vigor el 3 de mayo de 2008. Con ello se constituyó en el primer instrumento universal de carácter vinculante que aborda de forma específica la protección de los derechos de las personas con discapacidad. El proceso de negociación y entrada en vigor fue relativamente corto en comparación con otros instrumentos universales de carácter multilateral. Actualmente más de dos terceras parte de los Estados firmantes del texto son ahora Parte de la CDPD, con lo cual se podría afirmar que la CDPD está en vía de convertirse en un tratado internacional de derechos humanos de gran aceptación universal. </w:t>
      </w:r>
    </w:p>
    <w:p w:rsidR="009E5B24" w:rsidRDefault="009E5B24" w:rsidP="009E5B24">
      <w:pPr>
        <w:pStyle w:val="Prrafodelista"/>
      </w:pPr>
    </w:p>
    <w:p w:rsidR="009E5B24" w:rsidRDefault="00582550" w:rsidP="009E5B24">
      <w:pPr>
        <w:pStyle w:val="Prrafodelista"/>
        <w:numPr>
          <w:ilvl w:val="0"/>
          <w:numId w:val="28"/>
        </w:numPr>
      </w:pPr>
      <w:r w:rsidRPr="00B10FC6">
        <w:t xml:space="preserve">Más allá de la celeridad de la negociación, adopción y entrada en vigor de la CDPD, la misma también resulta particularmente importante por </w:t>
      </w:r>
      <w:r>
        <w:t xml:space="preserve">el </w:t>
      </w:r>
      <w:r w:rsidRPr="00B10FC6">
        <w:t xml:space="preserve">alto involucramiento </w:t>
      </w:r>
      <w:r>
        <w:t xml:space="preserve">activo de la sociedad civil en las instancias de negociación del tratado, así como en el actual proceso de implementación y seguimiento. </w:t>
      </w:r>
      <w:r w:rsidRPr="00EA0B66">
        <w:t xml:space="preserve">Por ello se considera que la </w:t>
      </w:r>
      <w:r>
        <w:t xml:space="preserve">CDPD </w:t>
      </w:r>
      <w:r w:rsidRPr="00EA0B66">
        <w:t>representa la máxima aspiración de derechos humanos de las personas con discapacidad, ello no sólo por el modelo filosófico que la inspira, sino por el simple hecho de que sus clausulas responden, casi en su totalidad, a los reclamos y reivindicaciones de las propias personas con discapacidad</w:t>
      </w:r>
      <w:r>
        <w:t xml:space="preserve">. </w:t>
      </w:r>
    </w:p>
    <w:p w:rsidR="009E5B24" w:rsidRDefault="009E5B24" w:rsidP="009E5B24">
      <w:pPr>
        <w:pStyle w:val="Prrafodelista"/>
      </w:pPr>
    </w:p>
    <w:p w:rsidR="009E5B24" w:rsidRDefault="00582550" w:rsidP="009E5B24">
      <w:pPr>
        <w:pStyle w:val="Prrafodelista"/>
        <w:numPr>
          <w:ilvl w:val="0"/>
          <w:numId w:val="28"/>
        </w:numPr>
      </w:pPr>
      <w:r w:rsidRPr="008D0C13">
        <w:t>Probablemente uno de los principales logros de la CDPD fue la de plasmar a lo largo de todo el articulado el modelo social de discapacidad. Esto supone una superación ideológica y jurídica de todo</w:t>
      </w:r>
      <w:r>
        <w:t xml:space="preserve"> lo realizado anteriormente </w:t>
      </w:r>
      <w:r w:rsidRPr="008D0C13">
        <w:t>en el marco de la ONU. La prueba más cabal del reflejo del modelo social de discapacidad en la CDPD puede verse a través del concepto de persona con discapacidad del artículo 1.  A pesar de ello, la CDPD no logra superar en ciertos puntos la confusión conceptual entre deficiencia y discapacidad, lo que queda en evidencia cuando se conecta el concepto de persona con discapacidad con el concepto de discriminación por motivo de discapac</w:t>
      </w:r>
      <w:r>
        <w:t>idad recogido en el artículo 2.</w:t>
      </w:r>
    </w:p>
    <w:p w:rsidR="009E5B24" w:rsidRDefault="009E5B24" w:rsidP="009E5B24">
      <w:pPr>
        <w:pStyle w:val="Prrafodelista"/>
      </w:pPr>
    </w:p>
    <w:p w:rsidR="009E5B24" w:rsidRDefault="00582550" w:rsidP="009E5B24">
      <w:pPr>
        <w:pStyle w:val="Prrafodelista"/>
        <w:numPr>
          <w:ilvl w:val="0"/>
          <w:numId w:val="28"/>
        </w:numPr>
      </w:pPr>
      <w:r w:rsidRPr="008D0C13">
        <w:t xml:space="preserve">En aplicación del principio de no discriminación, uno de los objetivos fundamentales de la CDPD ha sido </w:t>
      </w:r>
      <w:r w:rsidRPr="009E5B24">
        <w:rPr>
          <w:i/>
          <w:iCs/>
        </w:rPr>
        <w:t>adaptar</w:t>
      </w:r>
      <w:r w:rsidRPr="008D0C13">
        <w:t xml:space="preserve"> las normas pertinentes de los Tratados de derechos humanos existentes, al contexto específico de la discapacidad. Por ello, se pu</w:t>
      </w:r>
      <w:r>
        <w:t>e</w:t>
      </w:r>
      <w:r w:rsidRPr="008D0C13">
        <w:t>de afirmar que nos encontramos frente a una Convención comprensiva, que por un lado reafirma la titularidad de las personas con discapacidad en el disfrute de los derechos humanos y libertades fundamentales, pero que asimismo establece ciertas herramientas y garantías específicas para el goce y ejercicio de estos derechos en igualdad de condiciones que el resto de personas.</w:t>
      </w:r>
    </w:p>
    <w:p w:rsidR="009E5B24" w:rsidRDefault="009E5B24" w:rsidP="009E5B24">
      <w:pPr>
        <w:pStyle w:val="Prrafodelista"/>
      </w:pPr>
    </w:p>
    <w:p w:rsidR="009E5B24" w:rsidRDefault="00582550" w:rsidP="009E5B24">
      <w:pPr>
        <w:pStyle w:val="Prrafodelista"/>
        <w:numPr>
          <w:ilvl w:val="0"/>
          <w:numId w:val="28"/>
        </w:numPr>
      </w:pPr>
      <w:r>
        <w:t xml:space="preserve">Más allá del principio y de las obligaciones generales y multidimensionales de no discriminar, la CDPD establece una serie de derechos sustantivos, los cuales también deben ser interpretados desde la perspectiva de la no discriminación. Dichas obligaciones pueden agruparse en relación con los siguientes ámbitos o derechos: a) respeto por la vida (Arts. 10 y </w:t>
      </w:r>
      <w:r>
        <w:lastRenderedPageBreak/>
        <w:t>11); b) igualdad ante la ley y acceso a la justicia (arts. 12 y 13); c) respeto por la libertad (Arts. 14, 18 y 20); d) respeto de la integridad personal (Arts. 15, 16 y 17); e) respeto por la privacidad y la familia (Arts. 22 y 23); f) participación en la vida pública (Arts. 21, 29 y 30); g) vida independiente y con dignidad (Arts. 19, 26, 28);  h) derechos sociales básicos (arts. 24, 25 y 27).</w:t>
      </w:r>
    </w:p>
    <w:p w:rsidR="009E5B24" w:rsidRDefault="009E5B24" w:rsidP="009E5B24">
      <w:pPr>
        <w:pStyle w:val="Prrafodelista"/>
      </w:pPr>
    </w:p>
    <w:p w:rsidR="009E5B24" w:rsidRDefault="00582550" w:rsidP="009E5B24">
      <w:pPr>
        <w:pStyle w:val="Prrafodelista"/>
        <w:numPr>
          <w:ilvl w:val="0"/>
          <w:numId w:val="28"/>
        </w:numPr>
      </w:pPr>
      <w:r w:rsidRPr="00B10FC6">
        <w:t>El tratamiento de la subjetividad del individuo en el marco del derecho internacional público, y más concretamente, en el marco del derecho internacional de los derechos humanos, evidencia la incidencia e importancia que conlleva el reconocimiento del derecho a la capacidad jurídica de las personas para el goce efectivo y en igualdad de condiciones de todos los derechos humanos reconocidos universalmente. En este sentido, las limitadas situaciones que el derecho internacional de los derechos humanos regula para que individuos puedan acceder a instancias supra-estatales se ven directamente afectadas, y eventualmente anuladas, si el marco jurídico del derecho interno, restringe el derecho a las capacidad jurídica de ciertas personas</w:t>
      </w:r>
      <w:r>
        <w:t>, como es el caso de las personas</w:t>
      </w:r>
      <w:r w:rsidRPr="00B10FC6">
        <w:t xml:space="preserve"> con discapacidad.</w:t>
      </w:r>
    </w:p>
    <w:p w:rsidR="009E5B24" w:rsidRDefault="009E5B24" w:rsidP="009E5B24">
      <w:pPr>
        <w:pStyle w:val="Prrafodelista"/>
      </w:pPr>
    </w:p>
    <w:p w:rsidR="009E5B24" w:rsidRDefault="00582550" w:rsidP="009E5B24">
      <w:pPr>
        <w:pStyle w:val="Prrafodelista"/>
        <w:numPr>
          <w:ilvl w:val="0"/>
          <w:numId w:val="28"/>
        </w:numPr>
      </w:pPr>
      <w:r w:rsidRPr="000D0629">
        <w:t xml:space="preserve">El derecho humano a la personalidad jurídica de las personas se encuentra plenamente reconocido en todos los tratados universales y regionales de derechos humanos. Aunque el derecho a la personalidad jurídica no ha sido definido en ningún instrumento internacional, nos sitúa indefectiblemente ante la mismísima esencia de los derechos humanos, es decir, ante la conexión entre la persona y los derechos. A diferencia del derecho a la personalidad jurídica, el concepto de “capacidad jurídica” ha sido escasamente recogido en los instrumentos </w:t>
      </w:r>
      <w:r w:rsidRPr="000D0629">
        <w:lastRenderedPageBreak/>
        <w:t>internacionales de derechos humanos. El primer instrumento internacional de carácter vinculante que recoge la noción de “capacidad jurídica” es el artículo 15(2) de la CEFDM que asegura la igual “capacidad jurídica” de la mujer respecto del hombre y las mismas oportunidades para “ejercer dicha capacidad”. Por su parte la CDN, y sin mencionar expresamente la noción de capacidad jurídica, recoge en sus disposiciones (principalmente por intermedio del Artículo 12) el derecho del niño a participar en la toma de decisiones que se realicen sobre aquellos asuntos que directamente le afecten</w:t>
      </w:r>
      <w:r>
        <w:t>, así como otorga legitimación directa para acceder a la instancia internacional de reclamaciones individuales (Protocolo III)</w:t>
      </w:r>
      <w:r w:rsidRPr="000D0629">
        <w:t>. Finalmente la CDPD en su Artículo 12(2) vuelve a reiterar el concepto utilizado por el Artículo 15 de la CEDFM en un contexto similar al señalar que “los Estados Partes reconocerán que las personas con discapacidad tienen capacidad jurídica en igualdad de condiciones con las demás en todos los aspectos de la vida”.</w:t>
      </w:r>
    </w:p>
    <w:p w:rsidR="009E5B24" w:rsidRDefault="009E5B24" w:rsidP="009E5B24">
      <w:pPr>
        <w:pStyle w:val="Prrafodelista"/>
        <w:ind w:left="1080"/>
      </w:pPr>
    </w:p>
    <w:p w:rsidR="009E5B24" w:rsidRDefault="00582550" w:rsidP="009E5B24">
      <w:pPr>
        <w:pStyle w:val="Prrafodelista"/>
        <w:numPr>
          <w:ilvl w:val="0"/>
          <w:numId w:val="28"/>
        </w:numPr>
      </w:pPr>
      <w:r w:rsidRPr="008D0C13">
        <w:t xml:space="preserve">El contexto actual del desarrollo del DIDH nos permite concluir que la capacidad jurídica es una </w:t>
      </w:r>
      <w:r>
        <w:t>manifestación separada y autónoma</w:t>
      </w:r>
      <w:r w:rsidRPr="008D0C13">
        <w:t xml:space="preserve"> del derecho a la personalidad jurídica. Sin perjuicio de ello, mientras la personalidad jurídica se erige como un derecho absoluto y no sujeto a ningún tipo de restricción por parte de los Estados, en el reconocimiento y regulación de la capacidad jurídica los Estados goza</w:t>
      </w:r>
      <w:r>
        <w:t>n</w:t>
      </w:r>
      <w:r w:rsidRPr="008D0C13">
        <w:t xml:space="preserve"> de un cierto margen de apreciación.  Dicho margen de apreciación se encuentra limitado por el principio general de no discriminación reconocido universalmente por todos los instrumentos internacionales de derechos humanos vinculantes. Más aún, algunos instrumentos internacionales específicos comienzan a incluir cláusulas </w:t>
      </w:r>
      <w:r>
        <w:t>especiales</w:t>
      </w:r>
      <w:r w:rsidRPr="008D0C13">
        <w:t xml:space="preserve"> de no discriminación en relación con ciertos grupos o </w:t>
      </w:r>
      <w:r w:rsidRPr="008D0C13">
        <w:lastRenderedPageBreak/>
        <w:t>colectivos de personas, tales como mujeres, niños y niñas y personas con discapacidad.</w:t>
      </w:r>
    </w:p>
    <w:p w:rsidR="009E5B24" w:rsidRDefault="009E5B24" w:rsidP="009E5B24">
      <w:pPr>
        <w:pStyle w:val="Prrafodelista"/>
      </w:pPr>
    </w:p>
    <w:p w:rsidR="009E5B24" w:rsidRDefault="00582550" w:rsidP="009E5B24">
      <w:pPr>
        <w:pStyle w:val="Prrafodelista"/>
        <w:numPr>
          <w:ilvl w:val="0"/>
          <w:numId w:val="28"/>
        </w:numPr>
      </w:pPr>
      <w:r w:rsidRPr="008D0C13">
        <w:t xml:space="preserve">El fundamento en torno </w:t>
      </w:r>
      <w:r>
        <w:t xml:space="preserve">a la noción de </w:t>
      </w:r>
      <w:r w:rsidRPr="008D0C13">
        <w:t xml:space="preserve">capacidad jurídica como garantía de acceso real y efectivo a todos los derechos humanos puede ser defendido desde la tipología de las obligaciones emergentes para los Estados en materia de derechos humanos, es decir, obligación de respetar, proteger y realizar. </w:t>
      </w:r>
    </w:p>
    <w:p w:rsidR="009E5B24" w:rsidRDefault="009E5B24" w:rsidP="009E5B24">
      <w:pPr>
        <w:pStyle w:val="Prrafodelista"/>
      </w:pPr>
    </w:p>
    <w:p w:rsidR="009E5B24" w:rsidRDefault="00582550" w:rsidP="009E5B24">
      <w:pPr>
        <w:pStyle w:val="Prrafodelista"/>
        <w:numPr>
          <w:ilvl w:val="0"/>
          <w:numId w:val="28"/>
        </w:numPr>
      </w:pPr>
      <w:r w:rsidRPr="008D0C13">
        <w:t xml:space="preserve">Los órganos internacionales de derechos humanos han abordado escasamente las cuestiones relativas a la capacidad jurídica de las personas con discapacidad, y por lo general cuando lo han hecho, ha sido para reafirmar en viejo paradigma del modelo tutelar. No obstante, la práctica reciente comienza a reflejar un cambio significativo en el abordaje de la temática más en consonancia </w:t>
      </w:r>
      <w:r>
        <w:t xml:space="preserve">con </w:t>
      </w:r>
      <w:r w:rsidRPr="008D0C13">
        <w:t xml:space="preserve">lo estipulado por la CDPD. </w:t>
      </w:r>
    </w:p>
    <w:p w:rsidR="009E5B24" w:rsidRDefault="009E5B24" w:rsidP="009E5B24">
      <w:pPr>
        <w:pStyle w:val="Prrafodelista"/>
      </w:pPr>
    </w:p>
    <w:p w:rsidR="009E5B24" w:rsidRDefault="00582550" w:rsidP="009E5B24">
      <w:pPr>
        <w:pStyle w:val="Prrafodelista"/>
        <w:numPr>
          <w:ilvl w:val="0"/>
          <w:numId w:val="28"/>
        </w:numPr>
      </w:pPr>
      <w:r w:rsidRPr="008D0C13">
        <w:t xml:space="preserve">El artículo 12 de la CDPD constituye muy probablemente el mayor desafío que presenta la CDPD, es decir, garantizar la igualdad en el ámbito de la capacidad jurídica. Dicha norma contempla un cambio en el modelo </w:t>
      </w:r>
      <w:r>
        <w:t xml:space="preserve">de regulación  de </w:t>
      </w:r>
      <w:r w:rsidRPr="008D0C13">
        <w:t>la capacidad jurídica de las personas con discapacidad, especialmente en aquellas situaciones en las cuales puede resultar necesario algún tipo de intervención de terceros, cuando la persona enfrenta barreras o restricciones para tomar decisiones propias. Mientras que el sistema tradicional tiende hacia un modelo de “sustitución”, el modelo de derechos humanos basado en la dignidad intrínseca de todas las personas, en el que se basa la CDPD, aboga por un modelo de “apoyo”.</w:t>
      </w:r>
    </w:p>
    <w:p w:rsidR="009E5B24" w:rsidRPr="009E5B24" w:rsidRDefault="009E5B24" w:rsidP="009E5B24">
      <w:pPr>
        <w:pStyle w:val="Prrafodelista"/>
        <w:rPr>
          <w:lang w:val="es-ES"/>
        </w:rPr>
      </w:pPr>
    </w:p>
    <w:p w:rsidR="009E5B24" w:rsidRPr="009E5B24" w:rsidRDefault="00582550" w:rsidP="009E5B24">
      <w:pPr>
        <w:pStyle w:val="Prrafodelista"/>
        <w:numPr>
          <w:ilvl w:val="0"/>
          <w:numId w:val="28"/>
        </w:numPr>
      </w:pPr>
      <w:r w:rsidRPr="009E5B24">
        <w:rPr>
          <w:lang w:val="es-ES"/>
        </w:rPr>
        <w:lastRenderedPageBreak/>
        <w:t xml:space="preserve">El Artículo 12(1) </w:t>
      </w:r>
      <w:r w:rsidRPr="009E5B24">
        <w:rPr>
          <w:lang w:val="es-ES_tradnl"/>
        </w:rPr>
        <w:t xml:space="preserve">reafirma el reconocimiento de la personalidad jurídica de las personas con discapacidad. A primera vista esta formulación no parece indicar nada nuevo o novedoso en materia de derechos humanos ya que el derecho a la personalidad jurídica se encuentra ampliamente cubierto por el derecho internacional de los derechos humanos. Sin embargo la cláusula del artículo 12(1) de la CDPD en conexión con el objeto y fin del tratado y, principalmente con los conceptos de “persona con discapacidad” (artículo 1) y de discriminación por motivo de discapacidad (artículo 2) nos permite interpretar otras disposiciones de la CDPD de un modo que, a primera vista, podría tener un gran impacto en las legislaciones nacionales vigentes, tales como el respecto del derecho a la vida, o el derecho a la nacionalidad y a la identidad, </w:t>
      </w:r>
    </w:p>
    <w:p w:rsidR="009E5B24" w:rsidRPr="009E5B24" w:rsidRDefault="009E5B24" w:rsidP="009E5B24">
      <w:pPr>
        <w:pStyle w:val="Prrafodelista"/>
        <w:rPr>
          <w:lang w:val="es-ES"/>
        </w:rPr>
      </w:pPr>
    </w:p>
    <w:p w:rsidR="009E5B24" w:rsidRPr="009E5B24" w:rsidRDefault="00582550" w:rsidP="009E5B24">
      <w:pPr>
        <w:pStyle w:val="Prrafodelista"/>
        <w:numPr>
          <w:ilvl w:val="0"/>
          <w:numId w:val="28"/>
        </w:numPr>
      </w:pPr>
      <w:r w:rsidRPr="009E5B24">
        <w:rPr>
          <w:lang w:val="es-ES"/>
        </w:rPr>
        <w:t xml:space="preserve">El Artículo 12(2) recoge el derecho de </w:t>
      </w:r>
      <w:r w:rsidRPr="009E5B24">
        <w:rPr>
          <w:lang w:val="es-ES_tradnl"/>
        </w:rPr>
        <w:t xml:space="preserve">las personas con discapacidad a gozar y ejercer su capacidad jurídica en igualdad de condiciones con las demás en todos los aspectos de la vida. Consecuentemente es preciso tener presente que: a) </w:t>
      </w:r>
      <w:r w:rsidRPr="009E5B24">
        <w:rPr>
          <w:lang w:val="es-MX"/>
        </w:rPr>
        <w:t xml:space="preserve">el artículo 12(2) utiliza el concepto "discapacidad", por tanto, centra la atención dicha discapacidad, entendida como las barreras que impiden la participación plena y efectiva en la sociedad en pie de igualdad con los demás; b) el artículo 12(2) resulta de aplicación a todas las personas con discapacidad, sin importar el tipo o grado de deficiencia en cuestión; c) </w:t>
      </w:r>
      <w:r w:rsidRPr="009E5B24">
        <w:rPr>
          <w:lang w:val="es-ES"/>
        </w:rPr>
        <w:t xml:space="preserve">el artículo 12(2) cuando hace referencia al derecho de ejercicio de la capacidad jurídica, el mismo debe interpretarse como el derecho a la capacidad de obrar, es decir, a tomar decisiones en nombre propio. </w:t>
      </w:r>
      <w:r w:rsidRPr="009E5B24">
        <w:rPr>
          <w:lang w:val="es-MX"/>
        </w:rPr>
        <w:t xml:space="preserve">El valor jurídico y el verdadero cambio de paradigma del artículo 12(2) radican justamente en dicha interpretación; d) </w:t>
      </w:r>
      <w:r w:rsidRPr="009E5B24">
        <w:rPr>
          <w:lang w:val="es-ES_tradnl"/>
        </w:rPr>
        <w:t xml:space="preserve">el </w:t>
      </w:r>
      <w:r w:rsidRPr="009E5B24">
        <w:rPr>
          <w:lang w:val="es-MX"/>
        </w:rPr>
        <w:t xml:space="preserve">artículo 12(2) no recoge un derecho absoluto al ejercicio de la capacidad </w:t>
      </w:r>
      <w:r w:rsidRPr="009E5B24">
        <w:rPr>
          <w:lang w:val="es-MX"/>
        </w:rPr>
        <w:lastRenderedPageBreak/>
        <w:t xml:space="preserve">jurídica de las personas con discapacidad, sino que establece una garantía de igualdad en el ejercicio del mismo. Esto supone que el Estado puede restringir el derecho al ejercicio de la capacidad jurídica de las personas, pero no puede hacer por motivo de discapacidad; e) el artículo 12(2) claramente se debe aplicar tanto a los aspectos patrimoniales como personales de las personas con discapacidad. </w:t>
      </w:r>
    </w:p>
    <w:p w:rsidR="009E5B24" w:rsidRPr="009E5B24" w:rsidRDefault="009E5B24" w:rsidP="009E5B24">
      <w:pPr>
        <w:pStyle w:val="Prrafodelista"/>
        <w:ind w:left="1080"/>
      </w:pPr>
    </w:p>
    <w:p w:rsidR="009E5B24" w:rsidRDefault="00582550" w:rsidP="009E5B24">
      <w:pPr>
        <w:pStyle w:val="Prrafodelista"/>
        <w:numPr>
          <w:ilvl w:val="0"/>
          <w:numId w:val="28"/>
        </w:numPr>
      </w:pPr>
      <w:r w:rsidRPr="00273A47">
        <w:t>El artículo 12(2) debe entenderse como una verdadera “garantía” de goce y ejercicio de los derechos humanos de las personas con discapacidad más básicos y fundamentales como la vida, la integridad física y psíquica, la igualdad y la libertad. Se trata de una “garantía” de la persona tanto frente al poder del Estado como frente a la acción u omisión de otras personas. Y como garantía que pretender resguardar derechos que forman parte del estándar mínimo y univ</w:t>
      </w:r>
      <w:r>
        <w:t xml:space="preserve">ersal de los derechos humanos, </w:t>
      </w:r>
      <w:r w:rsidRPr="00273A47">
        <w:t>debe ser, operativa y de aplicación directa por cualquier autoridad judicial, irrenunciable, y no sujeta de restricciones o suspensiones.</w:t>
      </w:r>
      <w:r>
        <w:t xml:space="preserve"> </w:t>
      </w:r>
      <w:r w:rsidRPr="009E5B24">
        <w:rPr>
          <w:rFonts w:eastAsia="Calibri"/>
        </w:rPr>
        <w:t>Como consecuencia de ello el artículo 12</w:t>
      </w:r>
      <w:r w:rsidRPr="00273A47">
        <w:t>(</w:t>
      </w:r>
      <w:r w:rsidRPr="009E5B24">
        <w:rPr>
          <w:rFonts w:eastAsia="Calibri"/>
        </w:rPr>
        <w:t>2</w:t>
      </w:r>
      <w:r w:rsidRPr="00273A47">
        <w:t>)</w:t>
      </w:r>
      <w:r w:rsidRPr="009E5B24">
        <w:rPr>
          <w:rFonts w:eastAsia="Calibri"/>
        </w:rPr>
        <w:t xml:space="preserve"> impone a los Estado el deber de garantizar que ninguna persona con discapacidad sea restringida en el goce y ejercicio de su capacidad jurídica por motivo de su discapacidad, lo cual supone en un sentido muy general que la opción de “proteger” a las personas con discapacidad mediante la institución jurídica de la “incapacitación” y la “representación sustitutiva en la toma de decisiones”, (tenga esta nombre de tutela, curatela, guarda, o cualquier otra), “no puede seguir siendo” una  opción posible o válida a la luz </w:t>
      </w:r>
      <w:r w:rsidRPr="00273A47">
        <w:t xml:space="preserve">de lo que estipula la CDPD. </w:t>
      </w:r>
    </w:p>
    <w:p w:rsidR="009E5B24" w:rsidRDefault="009E5B24" w:rsidP="009E5B24">
      <w:pPr>
        <w:pStyle w:val="Prrafodelista"/>
        <w:ind w:left="1080"/>
      </w:pPr>
    </w:p>
    <w:p w:rsidR="009E5B24" w:rsidRPr="009E5B24" w:rsidRDefault="00582550" w:rsidP="009E5B24">
      <w:pPr>
        <w:pStyle w:val="Prrafodelista"/>
        <w:numPr>
          <w:ilvl w:val="0"/>
          <w:numId w:val="28"/>
        </w:numPr>
      </w:pPr>
      <w:r w:rsidRPr="006D0BD7">
        <w:t xml:space="preserve">El artículo 12(2) tiene un fuerte impacto en relación con </w:t>
      </w:r>
      <w:r w:rsidR="00D94771" w:rsidRPr="006D0BD7">
        <w:t xml:space="preserve">otros derechos fundamentales recogidos en la CDPD, como </w:t>
      </w:r>
      <w:r w:rsidRPr="006D0BD7">
        <w:t xml:space="preserve">el artículo </w:t>
      </w:r>
      <w:r w:rsidRPr="006D0BD7">
        <w:lastRenderedPageBreak/>
        <w:t>13 sobre acceso a la justicia</w:t>
      </w:r>
      <w:r w:rsidR="00D94771" w:rsidRPr="006D0BD7">
        <w:t xml:space="preserve"> (principalmente reconociendo la capacidad procesal de las personas </w:t>
      </w:r>
      <w:r w:rsidR="006D0BD7" w:rsidRPr="006D0BD7">
        <w:t>discapacidad</w:t>
      </w:r>
      <w:r w:rsidR="00D94771" w:rsidRPr="006D0BD7">
        <w:t xml:space="preserve"> y cuestionando la figura de la inimputabilidad penal); </w:t>
      </w:r>
      <w:r w:rsidRPr="006D0BD7">
        <w:t>con el artículo</w:t>
      </w:r>
      <w:r w:rsidRPr="009E5B24">
        <w:rPr>
          <w:lang w:val="es-MX"/>
        </w:rPr>
        <w:t xml:space="preserve"> 14, en especial respecto del inciso (1)(b)</w:t>
      </w:r>
      <w:r w:rsidR="00D94771" w:rsidRPr="009E5B24">
        <w:rPr>
          <w:lang w:val="es-MX"/>
        </w:rPr>
        <w:t xml:space="preserve"> (prohibiendo </w:t>
      </w:r>
      <w:r w:rsidR="00D94771" w:rsidRPr="006D0BD7">
        <w:t xml:space="preserve">los internamientos involuntarios </w:t>
      </w:r>
      <w:r w:rsidRPr="006D0BD7">
        <w:t>por “motivo de discapacidad”</w:t>
      </w:r>
      <w:r w:rsidR="00D94771" w:rsidRPr="006D0BD7">
        <w:t xml:space="preserve">), con </w:t>
      </w:r>
      <w:r w:rsidRPr="006D0BD7">
        <w:t xml:space="preserve">el Artículo 19 </w:t>
      </w:r>
      <w:r w:rsidR="00D94771" w:rsidRPr="006D0BD7">
        <w:t>(</w:t>
      </w:r>
      <w:r w:rsidRPr="009E5B24">
        <w:rPr>
          <w:kern w:val="24"/>
          <w:lang w:eastAsia="es-AR"/>
        </w:rPr>
        <w:t>impon</w:t>
      </w:r>
      <w:r w:rsidR="00D94771" w:rsidRPr="009E5B24">
        <w:rPr>
          <w:kern w:val="24"/>
          <w:lang w:eastAsia="es-AR"/>
        </w:rPr>
        <w:t xml:space="preserve">iendo la obligación </w:t>
      </w:r>
      <w:r w:rsidR="006D0BD7" w:rsidRPr="009E5B24">
        <w:rPr>
          <w:kern w:val="24"/>
          <w:lang w:eastAsia="es-AR"/>
        </w:rPr>
        <w:t xml:space="preserve">de brindar opciones de vida independiente para la desinstitucionalización); </w:t>
      </w:r>
      <w:r w:rsidRPr="009E5B24">
        <w:rPr>
          <w:kern w:val="24"/>
          <w:lang w:eastAsia="es-AR"/>
        </w:rPr>
        <w:t xml:space="preserve">con los artículos 15 y 17 </w:t>
      </w:r>
      <w:r w:rsidR="006D0BD7" w:rsidRPr="009E5B24">
        <w:rPr>
          <w:kern w:val="24"/>
          <w:lang w:eastAsia="es-AR"/>
        </w:rPr>
        <w:t xml:space="preserve">(prohibiendo </w:t>
      </w:r>
      <w:r w:rsidRPr="009E5B24">
        <w:rPr>
          <w:kern w:val="24"/>
          <w:lang w:eastAsia="es-AR"/>
        </w:rPr>
        <w:t>tratamientos médicos forzosos que pueden suponer un grave menoscabo del derecho a la integridad personal</w:t>
      </w:r>
      <w:r w:rsidR="006D0BD7" w:rsidRPr="009E5B24">
        <w:rPr>
          <w:kern w:val="24"/>
          <w:lang w:eastAsia="es-AR"/>
        </w:rPr>
        <w:t xml:space="preserve">); con el </w:t>
      </w:r>
      <w:r w:rsidRPr="009E5B24">
        <w:rPr>
          <w:kern w:val="24"/>
          <w:lang w:eastAsia="es-AR"/>
        </w:rPr>
        <w:t xml:space="preserve">artículo 29(1)(a) </w:t>
      </w:r>
      <w:r w:rsidR="006D0BD7" w:rsidRPr="009E5B24">
        <w:rPr>
          <w:kern w:val="24"/>
          <w:lang w:eastAsia="es-AR"/>
        </w:rPr>
        <w:t>(requiriendo a</w:t>
      </w:r>
      <w:r w:rsidRPr="009E5B24">
        <w:rPr>
          <w:kern w:val="24"/>
          <w:lang w:eastAsia="es-AR"/>
        </w:rPr>
        <w:t xml:space="preserve">l Estado Parte </w:t>
      </w:r>
      <w:r w:rsidR="006D0BD7" w:rsidRPr="009E5B24">
        <w:rPr>
          <w:kern w:val="24"/>
          <w:lang w:eastAsia="es-AR"/>
        </w:rPr>
        <w:t>remover</w:t>
      </w:r>
      <w:r w:rsidRPr="009E5B24">
        <w:rPr>
          <w:kern w:val="24"/>
          <w:lang w:eastAsia="es-AR"/>
        </w:rPr>
        <w:t xml:space="preserve"> todas las barreras o impedimentos legales o reglamentarios que impidan a las personas con discapacidad, ejercer </w:t>
      </w:r>
      <w:r w:rsidR="006D0BD7" w:rsidRPr="009E5B24">
        <w:rPr>
          <w:kern w:val="24"/>
          <w:lang w:eastAsia="es-AR"/>
        </w:rPr>
        <w:t>sus derechos políticos</w:t>
      </w:r>
      <w:r w:rsidRPr="009E5B24">
        <w:rPr>
          <w:kern w:val="24"/>
          <w:lang w:eastAsia="es-AR"/>
        </w:rPr>
        <w:t xml:space="preserve"> por motivo de su discapacidad</w:t>
      </w:r>
      <w:r w:rsidR="006D0BD7" w:rsidRPr="009E5B24">
        <w:rPr>
          <w:kern w:val="24"/>
          <w:lang w:eastAsia="es-AR"/>
        </w:rPr>
        <w:t xml:space="preserve">); y con </w:t>
      </w:r>
      <w:r w:rsidRPr="009E5B24">
        <w:rPr>
          <w:kern w:val="24"/>
          <w:lang w:eastAsia="es-AR"/>
        </w:rPr>
        <w:t xml:space="preserve">el artículo 23 </w:t>
      </w:r>
      <w:r w:rsidR="006D0BD7" w:rsidRPr="009E5B24">
        <w:rPr>
          <w:kern w:val="24"/>
          <w:lang w:eastAsia="es-AR"/>
        </w:rPr>
        <w:t xml:space="preserve">(garantizando el </w:t>
      </w:r>
      <w:r w:rsidRPr="009E5B24">
        <w:rPr>
          <w:kern w:val="24"/>
          <w:lang w:eastAsia="es-AR"/>
        </w:rPr>
        <w:t xml:space="preserve">ejercicio de los derechos de familia de las personas con discapacidad, </w:t>
      </w:r>
      <w:r w:rsidR="006D0BD7" w:rsidRPr="009E5B24">
        <w:rPr>
          <w:kern w:val="24"/>
          <w:lang w:eastAsia="es-AR"/>
        </w:rPr>
        <w:t>en especial</w:t>
      </w:r>
      <w:r w:rsidRPr="009E5B24">
        <w:rPr>
          <w:kern w:val="24"/>
          <w:lang w:eastAsia="es-AR"/>
        </w:rPr>
        <w:t>, el derecho al matrimonio, el derecho a la filiación, y la protección de los derechos sexuales y reproductivos</w:t>
      </w:r>
      <w:r w:rsidR="006D0BD7" w:rsidRPr="009E5B24">
        <w:rPr>
          <w:kern w:val="24"/>
          <w:lang w:eastAsia="es-AR"/>
        </w:rPr>
        <w:t>)</w:t>
      </w:r>
      <w:r w:rsidRPr="009E5B24">
        <w:rPr>
          <w:kern w:val="24"/>
          <w:lang w:eastAsia="es-AR"/>
        </w:rPr>
        <w:t xml:space="preserve">. </w:t>
      </w:r>
    </w:p>
    <w:p w:rsidR="009E5B24" w:rsidRPr="009E5B24" w:rsidRDefault="009E5B24" w:rsidP="009E5B24">
      <w:pPr>
        <w:pStyle w:val="Prrafodelista"/>
        <w:ind w:left="1080"/>
      </w:pPr>
    </w:p>
    <w:p w:rsidR="009E5B24" w:rsidRDefault="00582550" w:rsidP="009E5B24">
      <w:pPr>
        <w:pStyle w:val="Prrafodelista"/>
        <w:numPr>
          <w:ilvl w:val="0"/>
          <w:numId w:val="28"/>
        </w:numPr>
      </w:pPr>
      <w:r w:rsidRPr="006D0BD7">
        <w:t>Sin perjuicio de que los incisos segundo y tercero del Artículo 12 deben leerse e interpretarse de forma conjunta, en tanto que se tratan de elementos necesarios de un modelo que propone de un cambio de paradigma (como dos caras de una misma moneda), lo cierto es que el inciso 3 propone un enunciado novedoso y escasamente abordado por el derecho internacional de los derechos humanos. Con lo cual, resulta de suma dificultad traer elementos de interpretación sobre la base del derecho internacional de los derechos humanos para escalecer o llenar de contenido práctico lo estipulado por el apartado 3 del Artículo 12.</w:t>
      </w:r>
    </w:p>
    <w:p w:rsidR="009E5B24" w:rsidRPr="009E5B24" w:rsidRDefault="009E5B24" w:rsidP="009E5B24">
      <w:pPr>
        <w:pStyle w:val="Prrafodelista"/>
        <w:rPr>
          <w:kern w:val="24"/>
          <w:lang w:eastAsia="es-AR"/>
        </w:rPr>
      </w:pPr>
    </w:p>
    <w:p w:rsidR="009E5B24" w:rsidRDefault="00582550" w:rsidP="009E5B24">
      <w:pPr>
        <w:pStyle w:val="Prrafodelista"/>
        <w:numPr>
          <w:ilvl w:val="0"/>
          <w:numId w:val="28"/>
        </w:numPr>
      </w:pPr>
      <w:r w:rsidRPr="009E5B24">
        <w:rPr>
          <w:kern w:val="24"/>
          <w:lang w:eastAsia="es-AR"/>
        </w:rPr>
        <w:lastRenderedPageBreak/>
        <w:t xml:space="preserve">Si bien la CDPD no define la referencia a “apoyos” inserta en el Artículo 12(3),  es posible extraer elementos interpretativos del resto del tratado que permiten clarificar su contenido. En especial lo señalado en el inciso a) del Artículo 3, el cual </w:t>
      </w:r>
      <w:r w:rsidRPr="00E72B02">
        <w:t>recoge como principio general el derecho de las personas con discapacidad “</w:t>
      </w:r>
      <w:r w:rsidRPr="009E5B24">
        <w:rPr>
          <w:i/>
        </w:rPr>
        <w:t>a tomar las propias decisiones</w:t>
      </w:r>
      <w:r w:rsidRPr="00E72B02">
        <w:t>”.</w:t>
      </w:r>
      <w:r>
        <w:t xml:space="preserve"> </w:t>
      </w:r>
      <w:r w:rsidRPr="00E72B02">
        <w:t>Por otro lado, la frase “</w:t>
      </w:r>
      <w:r w:rsidRPr="009E5B24">
        <w:rPr>
          <w:i/>
        </w:rPr>
        <w:t>que puedan necesitar</w:t>
      </w:r>
      <w:r w:rsidRPr="00E72B02">
        <w:t>” nos enfrenta ante la cuestión de si los apoyos previstos por el Artículo 12(3) deben ser impuestos, o deben quedar a la exclusiva voluntad de la persona</w:t>
      </w:r>
      <w:r>
        <w:t xml:space="preserve">. Este dilema no se encuentra resuelto y existen visiones que suscriben ambos criterios. </w:t>
      </w:r>
      <w:r w:rsidRPr="00E72B02">
        <w:t>En este sentido debe tenerse presente que la frase “</w:t>
      </w:r>
      <w:r w:rsidRPr="009E5B24">
        <w:rPr>
          <w:i/>
        </w:rPr>
        <w:t>apoyo que puedan necesitar</w:t>
      </w:r>
      <w:r w:rsidRPr="00E72B02">
        <w:t xml:space="preserve">” inserta en el párrafo 3 debe interpretarse desde la perspectiva del modelo social de discapacidad recogido en el inciso e) del preámbulo, </w:t>
      </w:r>
      <w:r>
        <w:t>y por ende</w:t>
      </w:r>
      <w:r w:rsidRPr="00E72B02">
        <w:t xml:space="preserve"> la “</w:t>
      </w:r>
      <w:r w:rsidRPr="009E5B24">
        <w:rPr>
          <w:i/>
        </w:rPr>
        <w:t>necesidad</w:t>
      </w:r>
      <w:r w:rsidRPr="00E72B02">
        <w:t>” de los apoyos debe determinarse desde la existencia de “</w:t>
      </w:r>
      <w:r w:rsidRPr="009E5B24">
        <w:rPr>
          <w:i/>
        </w:rPr>
        <w:t>barrearas debidas a la actitud y al entorno</w:t>
      </w:r>
      <w:r w:rsidRPr="00E72B02">
        <w:t>” y no meramente mediante patrones médicos</w:t>
      </w:r>
      <w:r w:rsidR="009E5B24">
        <w:t>.</w:t>
      </w:r>
    </w:p>
    <w:p w:rsidR="009E5B24" w:rsidRPr="009E5B24" w:rsidRDefault="009E5B24" w:rsidP="009E5B24">
      <w:pPr>
        <w:pStyle w:val="Prrafodelista"/>
        <w:rPr>
          <w:lang w:val="es-ES_tradnl"/>
        </w:rPr>
      </w:pPr>
    </w:p>
    <w:p w:rsidR="009E5B24" w:rsidRPr="009E5B24" w:rsidRDefault="00582550" w:rsidP="009E5B24">
      <w:pPr>
        <w:pStyle w:val="Prrafodelista"/>
        <w:numPr>
          <w:ilvl w:val="0"/>
          <w:numId w:val="28"/>
        </w:numPr>
      </w:pPr>
      <w:r w:rsidRPr="009E5B24">
        <w:rPr>
          <w:lang w:val="es-ES_tradnl"/>
        </w:rPr>
        <w:t>Por su parte, la noción de “</w:t>
      </w:r>
      <w:r w:rsidRPr="009E5B24">
        <w:rPr>
          <w:i/>
          <w:lang w:val="es-ES_tradnl"/>
        </w:rPr>
        <w:t>apoyos en el ejercicio de la capacidad jurídica</w:t>
      </w:r>
      <w:r w:rsidRPr="009E5B24">
        <w:rPr>
          <w:lang w:val="es-ES_tradnl"/>
        </w:rPr>
        <w:t>” inserta en el Artículo 12(3) supone que el ejercicio de la capacidad jurídica no debe limitarse a la toma eficaz de decisiones, sino también comprender un momento anterior del descubrimiento y expresión de los deseos y preferencias. Más allá del aspecto técnico, lo relevante es que el Artículo 12(3) abarca “</w:t>
      </w:r>
      <w:r w:rsidRPr="009E5B24">
        <w:rPr>
          <w:i/>
          <w:lang w:val="es-ES_tradnl"/>
        </w:rPr>
        <w:t>todo el proceso de toma de decisiones</w:t>
      </w:r>
      <w:r w:rsidRPr="009E5B24">
        <w:rPr>
          <w:lang w:val="es-ES_tradnl"/>
        </w:rPr>
        <w:t>” y no exclusivamente en momento concreto de la expresión de la voluntad. Esto resulta particularmente importante dado que todas nuestras reglas de derecho civil se suelen centrar o abocar al momento jurídicamente relevante para dicho ámbito del derecho, esto es, el “</w:t>
      </w:r>
      <w:r w:rsidRPr="009E5B24">
        <w:rPr>
          <w:i/>
          <w:lang w:val="es-ES_tradnl"/>
        </w:rPr>
        <w:t>acto jurídico</w:t>
      </w:r>
      <w:r w:rsidRPr="009E5B24">
        <w:rPr>
          <w:lang w:val="es-ES_tradnl"/>
        </w:rPr>
        <w:t xml:space="preserve">”. </w:t>
      </w:r>
    </w:p>
    <w:p w:rsidR="009E5B24" w:rsidRDefault="009E5B24" w:rsidP="009E5B24">
      <w:pPr>
        <w:pStyle w:val="Prrafodelista"/>
      </w:pPr>
    </w:p>
    <w:p w:rsidR="009E5B24" w:rsidRDefault="00582550" w:rsidP="009E5B24">
      <w:pPr>
        <w:pStyle w:val="Prrafodelista"/>
        <w:numPr>
          <w:ilvl w:val="0"/>
          <w:numId w:val="28"/>
        </w:numPr>
      </w:pPr>
      <w:r w:rsidRPr="00273A47">
        <w:lastRenderedPageBreak/>
        <w:t>Sin perjuicio de que el sistema de apoyos tenga como objetivo reemplazar el modelo de sustitución en la toma de decisiones, resulta aún incierto determinar si es posible que se generen situaciones de representación en el marco de un dicho sistema. En este sentido es posible identificar tres modelos o concepciones diferentes. Una primera concepción considera que en el marco de un modelo de apoyos es posible contemplar situaciones excepcionales en las cuales sean necesarias “</w:t>
      </w:r>
      <w:r w:rsidRPr="009E5B24">
        <w:rPr>
          <w:i/>
        </w:rPr>
        <w:t>acciones de representación</w:t>
      </w:r>
      <w:r w:rsidRPr="00273A47">
        <w:t xml:space="preserve">”, siempre y cuando se trate de situaciones de representación legal (dispuesta por la norma), excepcionales y específicas, es decir, como </w:t>
      </w:r>
      <w:r w:rsidRPr="009E5B24">
        <w:rPr>
          <w:i/>
        </w:rPr>
        <w:t>última ratio</w:t>
      </w:r>
      <w:r w:rsidRPr="00273A47">
        <w:t xml:space="preserve"> y sobre actos o aspectos del ejercicio de la capacidad jurídica concretos, y que la acción de representación tenga en cuenta la voluntad presunta de la persona. Una segunda concepción plantea que es posible la creación de un régimen de apoyos que incluya acciones de representación mediante la suscripción de acuerdos de representación. La expresión de la voluntad anticipada respecto de futuras acciones de representación se encuentra contemplado en varios ordenamientos vigentes. No obstante la CDPD obliga a revisar dichas normas en la medida que se basen en un test de capacidad plena para habilitar su otorgamiento. Una tercera concepción, señala que existe incompatibilidad absoluta entre el modelo de los apoyos y cualquier tipo de representación legal, incluso aquella de tipo específica y excepcional. Ello no supone que una persona con discapacidad no pueda, en ciertas circunstancias, ver limitada su capacidad jurídica y se habilite a una persona a decidir en su nombre, siempre y cuando dicho procedimiento sea aplicable fuera del marco de los apoyos, respecto de cualquier persona, tenga las salvaguardias necesarias para evitar la discriminación por motivo de discapacidad, y tenga efectos sobre actos concretos.</w:t>
      </w:r>
    </w:p>
    <w:p w:rsidR="009E5B24" w:rsidRPr="009E5B24" w:rsidRDefault="00582550" w:rsidP="009E5B24">
      <w:pPr>
        <w:pStyle w:val="Prrafodelista"/>
        <w:numPr>
          <w:ilvl w:val="0"/>
          <w:numId w:val="28"/>
        </w:numPr>
      </w:pPr>
      <w:r w:rsidRPr="009E5B24">
        <w:rPr>
          <w:lang w:val="es-ES_tradnl"/>
        </w:rPr>
        <w:lastRenderedPageBreak/>
        <w:t>El Artículo 12(4) recoge lo que se ha denominado como salvaguardias sobre las medidas de ejercicio de la capacidad jurídica, y se plantea como un elemento vital del cambio de paradigma recogido en el artículo 12 de la CDPD. A pesar de tratarse de un enunciado extenso, la lectura del inciso 4 no está exenta de controversias, en especial respecto de la primera frase del Artículo 12(4) en cuanto al objetivo de las mismas, ya que se requieren en relación con “</w:t>
      </w:r>
      <w:r w:rsidRPr="009E5B24">
        <w:rPr>
          <w:i/>
          <w:lang w:val="es-ES_tradnl"/>
        </w:rPr>
        <w:t>las medidas relativas al ejercicio de la capacidad jurídica</w:t>
      </w:r>
      <w:r w:rsidRPr="009E5B24">
        <w:rPr>
          <w:lang w:val="es-ES_tradnl"/>
        </w:rPr>
        <w:t xml:space="preserve">”. Al respecto es posible identificar al menos dos posturas diferentes. Una primera postura que se podría denominar como </w:t>
      </w:r>
      <w:r w:rsidRPr="009E5B24">
        <w:rPr>
          <w:i/>
          <w:lang w:val="es-ES_tradnl"/>
        </w:rPr>
        <w:t>restringida</w:t>
      </w:r>
      <w:r w:rsidRPr="009E5B24">
        <w:rPr>
          <w:lang w:val="es-ES_tradnl"/>
        </w:rPr>
        <w:t xml:space="preserve">, concibe las salvaguardias como medidas para el ejercicio de la capacidad jurídica diferentes y más fuertes que los apoyos, lo que podría abrir la puerta al modelo de sustitución. Es decir, el inciso 4 estaría abriendo el camino para el establecimiento de regímenes de sustitución en la toma de decisiones para aquellos casos excepcionales donde las medidas de apoyo no logran garantizar la igualdad en el ejercicio de la capacidad jurídica. Una segunda postura que podríamos denominar </w:t>
      </w:r>
      <w:r w:rsidRPr="009E5B24">
        <w:rPr>
          <w:i/>
          <w:lang w:val="es-ES_tradnl"/>
        </w:rPr>
        <w:t>amplia</w:t>
      </w:r>
      <w:r w:rsidRPr="009E5B24">
        <w:rPr>
          <w:lang w:val="es-ES_tradnl"/>
        </w:rPr>
        <w:t xml:space="preserve">, entiende que la referencia del inciso 4 a </w:t>
      </w:r>
      <w:r w:rsidRPr="009E5B24">
        <w:rPr>
          <w:i/>
          <w:lang w:val="es-ES_tradnl"/>
        </w:rPr>
        <w:t>“medidas relativas al ejercicio de la capacidad jurídica</w:t>
      </w:r>
      <w:r w:rsidRPr="009E5B24">
        <w:rPr>
          <w:lang w:val="es-ES_tradnl"/>
        </w:rPr>
        <w:t>” es en realidad a las medidas de apoyo, y con el objeto de evitar situaciones de abuso. Es decir, las salvaguardias tienen como objetivo asegurar que las medidas de apoyo no restrinjan el derecho a la capacidad jurídica, y tengan como efecto, respetar “</w:t>
      </w:r>
      <w:r w:rsidRPr="009E5B24">
        <w:rPr>
          <w:i/>
          <w:lang w:val="es-ES_tradnl"/>
        </w:rPr>
        <w:t>los derechos, la voluntad y las preferencias de la persona</w:t>
      </w:r>
      <w:r w:rsidRPr="009E5B24">
        <w:rPr>
          <w:lang w:val="es-ES_tradnl"/>
        </w:rPr>
        <w:t>”. Esta interpretación se encuentra mucho más alineada con el cambio de paradigma que propone el Artículo 12, y resulta a su vez, consistente con las demás disposiciones de la CDPD y con la filosofía del modelo social de discapacidad.</w:t>
      </w:r>
    </w:p>
    <w:p w:rsidR="009E5B24" w:rsidRPr="009E5B24" w:rsidRDefault="00582550" w:rsidP="009E5B24">
      <w:pPr>
        <w:pStyle w:val="Prrafodelista"/>
        <w:numPr>
          <w:ilvl w:val="0"/>
          <w:numId w:val="28"/>
        </w:numPr>
      </w:pPr>
      <w:r w:rsidRPr="009E5B24">
        <w:rPr>
          <w:lang w:val="es-ES_tradnl"/>
        </w:rPr>
        <w:lastRenderedPageBreak/>
        <w:t>Siguiendo el modelo utilizado por la CEFDM en su Artículo 15(2), la CDPD incluye en el Artículo 12 un quinto inciso que recoge una serie de ámbitos de tipo patrimonial en las cuales los Estados Partes deben prestar especial atención en el reconocimiento del derecho a la igualdad en el ejercicio de la capacidad jurídica. El Artículo 12(5) es una concreción en una esfera específica de los incisos 2 y 3 del artículo 12, al confirmar la igualdad en la capacidad jurídica de las personas con discapacidad “en todos los aspectos de la vida”, independientemente de la complejidad de los actos implicados.</w:t>
      </w:r>
    </w:p>
    <w:p w:rsidR="009E5B24" w:rsidRPr="009E5B24" w:rsidRDefault="009E5B24" w:rsidP="009E5B24">
      <w:pPr>
        <w:pStyle w:val="Prrafodelista"/>
        <w:ind w:left="1080"/>
      </w:pPr>
    </w:p>
    <w:p w:rsidR="009E5B24" w:rsidRPr="009E5B24" w:rsidRDefault="00582550" w:rsidP="009E5B24">
      <w:pPr>
        <w:pStyle w:val="Prrafodelista"/>
        <w:numPr>
          <w:ilvl w:val="0"/>
          <w:numId w:val="28"/>
        </w:numPr>
      </w:pPr>
      <w:r w:rsidRPr="009E5B24">
        <w:rPr>
          <w:kern w:val="24"/>
          <w:lang w:val="es-ES" w:eastAsia="es-AR"/>
        </w:rPr>
        <w:t xml:space="preserve">El Artículo 12 </w:t>
      </w:r>
      <w:r w:rsidRPr="009E5B24">
        <w:rPr>
          <w:lang w:val="es-ES_tradnl"/>
        </w:rPr>
        <w:t xml:space="preserve">propone un cambio de paradigma en el modo de abordar el reconocimiento de la personalidad jurídica y la capacidad jurídica de las personas con discapacidad. Y como todo cambio de paradigma nos plantea, desde una visión estrictamente de derecho internacional, que nos enfrentamos ante una norma emergente que no registra precedentes tanto en las fuentes convencionales como consuetudinarias. Como consecuencia de lo anterior, es posible encontrar, de forma previa a la CDPD, algunas fuentes normativas cuyo contenido podría interpretarse como contrario a lo estipulado en el artículo 12 de la CDPD. </w:t>
      </w:r>
    </w:p>
    <w:p w:rsidR="009E5B24" w:rsidRDefault="009E5B24" w:rsidP="009E5B24">
      <w:pPr>
        <w:pStyle w:val="Prrafodelista"/>
      </w:pPr>
    </w:p>
    <w:p w:rsidR="009E5B24" w:rsidRDefault="00582550" w:rsidP="009E5B24">
      <w:pPr>
        <w:pStyle w:val="Prrafodelista"/>
        <w:numPr>
          <w:ilvl w:val="0"/>
          <w:numId w:val="28"/>
        </w:numPr>
      </w:pPr>
      <w:r w:rsidRPr="00992E07">
        <w:t xml:space="preserve">El conflicto jurídico entre la CDPD y las normas no vinculantes se resuelve claramente a favor de la CDPD. En cuanto al conflicto entre la CDPD y otras fuentes convencionales, es preciso hacer uso de los tres principios rectores que recoge el derecho internacional general, estos es, </w:t>
      </w:r>
      <w:r w:rsidRPr="009E5B24">
        <w:rPr>
          <w:i/>
        </w:rPr>
        <w:t>lex superior derogat inferiori</w:t>
      </w:r>
      <w:r w:rsidRPr="00992E07">
        <w:t xml:space="preserve">, </w:t>
      </w:r>
      <w:r w:rsidRPr="009E5B24">
        <w:rPr>
          <w:i/>
        </w:rPr>
        <w:t>lex posterior derogat priori</w:t>
      </w:r>
      <w:r w:rsidRPr="00992E07">
        <w:t xml:space="preserve">, y   </w:t>
      </w:r>
      <w:r w:rsidRPr="009E5B24">
        <w:rPr>
          <w:i/>
        </w:rPr>
        <w:t>lex specialis derogat generali</w:t>
      </w:r>
      <w:r w:rsidRPr="00992E07">
        <w:t xml:space="preserve">. </w:t>
      </w:r>
      <w:r w:rsidRPr="009E5B24">
        <w:rPr>
          <w:kern w:val="24"/>
          <w:lang w:eastAsia="es-AR"/>
        </w:rPr>
        <w:t xml:space="preserve">En cuanto al criterio de lex superior, </w:t>
      </w:r>
      <w:r w:rsidRPr="00992E07">
        <w:t xml:space="preserve">no permite resolver el aparente conflicto, en tanto que ninguna de las </w:t>
      </w:r>
      <w:r w:rsidRPr="00992E07">
        <w:lastRenderedPageBreak/>
        <w:t xml:space="preserve">normas señaladas pueden ser caracterizadas como de </w:t>
      </w:r>
      <w:r w:rsidRPr="009E5B24">
        <w:rPr>
          <w:i/>
        </w:rPr>
        <w:t>jus cogens</w:t>
      </w:r>
      <w:r w:rsidRPr="00992E07">
        <w:t xml:space="preserve">, o de formar parte de las obligaciones asumidas por los miembros de la comunidad internacional en virtud de la Carta de la ONU. Tampoco el carácter regional o universal de las normas en conflicto parece ser un elemento relevante para establecer un criterio de jerarquía normativa entre las mismas. En cuanto al criterio de </w:t>
      </w:r>
      <w:r w:rsidRPr="009E5B24">
        <w:rPr>
          <w:i/>
        </w:rPr>
        <w:t>lex specialis</w:t>
      </w:r>
      <w:r w:rsidRPr="00992E07">
        <w:t xml:space="preserve"> no brinda, </w:t>
      </w:r>
      <w:r w:rsidRPr="009E5B24">
        <w:rPr>
          <w:i/>
        </w:rPr>
        <w:t>prima facie</w:t>
      </w:r>
      <w:r w:rsidRPr="00992E07">
        <w:t>, respuestas satisfactorias en cuando a cómo resolver las relaciones de conflicto normativo. Y ello en tanto que dichas normas, forman parte de un mismo subsistema (el derecho internacional de los derechos humanos), y tienen como destinatarios a los mismos sujetos (personas con discapacidad). Con lo cual, en rigor, las relaciones de conflicto entre la CDPD y la CIEFDPD y el COBDH no se podrían enmarcar en una relación de ley general, versus ley especial.</w:t>
      </w:r>
      <w:r>
        <w:t xml:space="preserve"> </w:t>
      </w:r>
      <w:r w:rsidRPr="00992E07">
        <w:t xml:space="preserve">En cuanto al criterio de </w:t>
      </w:r>
      <w:r w:rsidRPr="009E5B24">
        <w:rPr>
          <w:i/>
        </w:rPr>
        <w:t xml:space="preserve">lex posterior, </w:t>
      </w:r>
      <w:r w:rsidRPr="00992E07">
        <w:t xml:space="preserve">el derecho internacional nos aporta ciertas pautas precisas sobre cómo resolver los conflictos entre lo que se denomina como “tratados sucesivos”, por imperio de lo establecido en la CVDT. Así, los conflictos normativos planteados, es decir, la manifiesta incompatibilidad entre la CDPD y la CIEFDPD o el COBDH en materia de capacidad jurídica, pueden analizarse tanto en relación con las obligaciones recíprocas entre Estados, como en relación con las obligaciones asumidas por cada Estado de forma autónoma frente a las personas bajo su jurisdicción y frente a la comunidad internacional en su conjunto. En cuanto al primer nivel de análisis, es decir, resolver los conflictos normativos entre dos o más Estados respecto de la regulación de la capacidad jurídica de las personas con discapacidad, habrá que analizar si dichos Estados son Parte de ambos tratados en conflicto, y en caso positivo, la CDPD como tratado sucesivo sobre la misma materia, deben prevalecer por sobre el anterior. </w:t>
      </w:r>
      <w:r w:rsidRPr="00992E07">
        <w:lastRenderedPageBreak/>
        <w:t xml:space="preserve">En cuanto al segundo nivel de análisis, es decir, resolver los conflictos normativos emergentes para un Estado individual que ha suscripto ambos tratados, el criterio de </w:t>
      </w:r>
      <w:r w:rsidRPr="009E5B24">
        <w:rPr>
          <w:i/>
        </w:rPr>
        <w:t>lex posterior</w:t>
      </w:r>
      <w:r w:rsidRPr="00992E07">
        <w:t xml:space="preserve"> resuelve claramente el conflicto en beneficio de la CDPD.</w:t>
      </w:r>
    </w:p>
    <w:p w:rsidR="009E5B24" w:rsidRDefault="009E5B24" w:rsidP="009E5B24">
      <w:pPr>
        <w:pStyle w:val="Prrafodelista"/>
        <w:ind w:left="1080"/>
      </w:pPr>
    </w:p>
    <w:p w:rsidR="009E5B24" w:rsidRPr="009E5B24" w:rsidRDefault="00582550" w:rsidP="009E5B24">
      <w:pPr>
        <w:pStyle w:val="Prrafodelista"/>
        <w:numPr>
          <w:ilvl w:val="0"/>
          <w:numId w:val="28"/>
        </w:numPr>
      </w:pPr>
      <w:r w:rsidRPr="009E5B24">
        <w:rPr>
          <w:lang w:val="es-ES_tradnl"/>
        </w:rPr>
        <w:t>La CDPD admite reservas lo cual está previsto en el artículo 46. En una fórmula común a instrumentos de derechos humanos, el citado artículo 46 se limita a reiterar la regla de derecho internacional general del artículo 19(c) de la CVDT, esto es, que no “</w:t>
      </w:r>
      <w:r w:rsidRPr="009E5B24">
        <w:rPr>
          <w:i/>
          <w:lang w:val="es-ES_tradnl"/>
        </w:rPr>
        <w:t>se permitirán reservas incompatibles con el objeto y el propósito de la presente Convención</w:t>
      </w:r>
      <w:r w:rsidRPr="009E5B24">
        <w:rPr>
          <w:lang w:val="es-ES_tradnl"/>
        </w:rPr>
        <w:t>”, y que la “</w:t>
      </w:r>
      <w:r w:rsidRPr="009E5B24">
        <w:rPr>
          <w:i/>
          <w:lang w:val="es-ES_tradnl"/>
        </w:rPr>
        <w:t>reservas podrán ser retiradas en cualquier momento</w:t>
      </w:r>
      <w:r w:rsidRPr="009E5B24">
        <w:rPr>
          <w:lang w:val="es-ES_tradnl"/>
        </w:rPr>
        <w:t xml:space="preserve">”. A pesar de lo escueto del artículo 46, es posible mediante interpretaciones extraer ciertas conclusiones: a) a </w:t>
      </w:r>
      <w:r w:rsidRPr="009E5B24">
        <w:rPr>
          <w:i/>
          <w:lang w:val="es-ES_tradnl"/>
        </w:rPr>
        <w:t>contrario sensu</w:t>
      </w:r>
      <w:r w:rsidRPr="009E5B24">
        <w:rPr>
          <w:lang w:val="es-ES_tradnl"/>
        </w:rPr>
        <w:t>, el artículo 46(1) no está prohibiendo las reservas como lo señala el artículo 19(a) de la CVDT; b) el silencio del artículo 46 debe interpretarse como que la CDPD no restringe el uso de las reservas; c) el silencio del artículo 46 y de las demás disposiciones de la CDPD, permite inferir que la misma admite la formulación de declaraciones interpretativas, y que las mismas pueden formularse en cualquier momento; d) por mención expresa del artículo 46(1) y por imperio supletorio de una regla de derecho internacional general, la CDPD no admite reservas que resulten “</w:t>
      </w:r>
      <w:r w:rsidRPr="009E5B24">
        <w:rPr>
          <w:i/>
          <w:lang w:val="es-ES_tradnl"/>
        </w:rPr>
        <w:t>incompatibles con el objeto y el propósito</w:t>
      </w:r>
      <w:r w:rsidRPr="009E5B24">
        <w:rPr>
          <w:lang w:val="es-ES_tradnl"/>
        </w:rPr>
        <w:t>” del tratado; e) por mención expresa del artículo 46(2) y por imperio supletorio de una regla de derecho internacional general, la CDPD admite que los Estados reservantes retiren dichas reservan en “</w:t>
      </w:r>
      <w:r w:rsidRPr="009E5B24">
        <w:rPr>
          <w:i/>
          <w:lang w:val="es-ES_tradnl"/>
        </w:rPr>
        <w:t>cualquier momento</w:t>
      </w:r>
      <w:r w:rsidRPr="009E5B24">
        <w:rPr>
          <w:lang w:val="es-ES_tradnl"/>
        </w:rPr>
        <w:t xml:space="preserve">”; f) ante el silencio del artículo 46 y el resto de las disposiciones de la CDPD, el régimen jurídico aplicable supletoriamente a este tratado respecto de aceptación, objeción y efectos jurídicos de las reservas y/o declaraciones interpretativas, es el del derecho </w:t>
      </w:r>
      <w:r w:rsidRPr="009E5B24">
        <w:rPr>
          <w:lang w:val="es-ES_tradnl"/>
        </w:rPr>
        <w:lastRenderedPageBreak/>
        <w:t>internacional general; g) si bien no surge del propio texto de la CDPD, este instrumento forma parte del subsistema de derecho internacional de los derechos humanos, con lo cual el régimen jurídico de las reservas de la CDPD queda abarcado por las normas y principios aplicables a este régimen autónomo.</w:t>
      </w:r>
    </w:p>
    <w:p w:rsidR="009E5B24" w:rsidRPr="009E5B24" w:rsidRDefault="009E5B24" w:rsidP="009E5B24">
      <w:pPr>
        <w:pStyle w:val="Prrafodelista"/>
        <w:ind w:left="1080"/>
      </w:pPr>
    </w:p>
    <w:p w:rsidR="009E5B24" w:rsidRDefault="00582550" w:rsidP="009E5B24">
      <w:pPr>
        <w:pStyle w:val="Prrafodelista"/>
        <w:numPr>
          <w:ilvl w:val="0"/>
          <w:numId w:val="28"/>
        </w:numPr>
      </w:pPr>
      <w:r w:rsidRPr="00992E07">
        <w:t xml:space="preserve">De las reservas y declaraciones formuladas hasta la fecha en el contexto de la CDPD, es posible identificar al menos tres modelos diferentes. Un primer modelo que podríamos denominar como restringido, en el que los Estados ponen de manifiesto su oposición frontal a interpretar el concepto de capacidad jurídica, como que comprende el de la capacidad de obrar. Con ello, dichos Estados pretenden oponerse a que el artículo 12 de la CDPD genere efectos jurídicos sobre el derecho interno en lo que respecta al modo de abordar y regular jurídicamente las restricciones o limitaciones a la capacidad de obrar de las personas con discapacidad. Tal es el caso de las reservas y declaraciones de Siria, Egipto, Kuwait, Polonia, Estonia o Venezuela. Un segundo modelo que podríamos denominar como moderado, en el que los Estados ponen de manifiesto su aprobación al cambio de paradigma planteado por el artículo 12 pero dejando en claro que existen situaciones excepcionales previstas por el lenguaje del propio artículo 12 donde es posible que el Estado pueda mantener ciertas medidas jurídicas que supongan una limitación de la capacidad jurídica de las personas con discapacidad y el nombramiento de un representante legal que adoptará decisiones en nombre de la persona con discapacidad. Tal es el caso de las reservas formuladas por Australia, Canadá o Noruega. </w:t>
      </w:r>
      <w:r>
        <w:t>U</w:t>
      </w:r>
      <w:r w:rsidRPr="00992E07">
        <w:t xml:space="preserve">n tercer modelo que podríamos denominar como de efectos indirectos, en el que los Estados manifiestan su oposición a disposiciones de la CDPD que </w:t>
      </w:r>
      <w:r w:rsidRPr="00992E07">
        <w:lastRenderedPageBreak/>
        <w:t>indirectamente se relacionan con el cambio de paradigma planteado por el artículo 12. Tal es el caso de las declaraciones y reservas al artículo 14, 15, 23 o 29. Y el efecto indirecto se genera en tanto que las declaraciones y reservas tienen como propósito o efecto dejar sin efecto el derecho de todas las personas con discapacidad al ejercicio de su capacidad jurídica y a la provisión de apoyo en todos los aspectos de la vida. Estos son los casos de las declaraciones o reservas formuladas por Francia, los Países Bajos, Noruega, Australia, o Singapur.</w:t>
      </w:r>
    </w:p>
    <w:p w:rsidR="009E5B24" w:rsidRDefault="009E5B24" w:rsidP="009E5B24">
      <w:pPr>
        <w:pStyle w:val="Prrafodelista"/>
        <w:ind w:left="1080"/>
      </w:pPr>
    </w:p>
    <w:p w:rsidR="00582550" w:rsidRPr="009E5B24" w:rsidRDefault="00582550" w:rsidP="009E5B24">
      <w:pPr>
        <w:pStyle w:val="Prrafodelista"/>
        <w:numPr>
          <w:ilvl w:val="0"/>
          <w:numId w:val="28"/>
        </w:numPr>
      </w:pPr>
      <w:r w:rsidRPr="009E5B24">
        <w:rPr>
          <w:lang w:val="es-ES_tradnl"/>
        </w:rPr>
        <w:t xml:space="preserve">El lenguaje del artículo 12 de la CDPD no está exento de ciertas ambigüedades que podrían torcer la balanza hacia un lado o hacia el otro según el modo en el cual se interpreten las obligaciones internacionales que dispone. De allí que resulte relevante analizar y hacer uso de las reglas y principios del derecho internacional general y autónomo en materia de interpretación de tratados internacionales. </w:t>
      </w:r>
      <w:r w:rsidRPr="009E5B24">
        <w:rPr>
          <w:noProof/>
          <w:lang w:val="es-ES_tradnl"/>
        </w:rPr>
        <w:t xml:space="preserve">Al igual de lo que sucede en el derecho interno, en el orden jurídico internacional las normas relativas a los derechos humanos gozan de ciertas particularidades propias que se traducen en consecuencias jurídicas. De este modo, podríamos  afirmar que, a diferencia de lo que ocurre con las cuestiones generales de derecho internacional, en materia de derechos humanos, existen normas y principios propios entre los que se podría destacar los siguientes: 1) </w:t>
      </w:r>
      <w:r w:rsidRPr="009E5B24">
        <w:rPr>
          <w:bCs/>
          <w:i/>
          <w:noProof/>
          <w:lang w:val="es-ES_tradnl"/>
        </w:rPr>
        <w:t>Los Estados no son sujetos exclusivos de derechos</w:t>
      </w:r>
      <w:r w:rsidRPr="009E5B24">
        <w:rPr>
          <w:bCs/>
          <w:noProof/>
          <w:lang w:val="es-ES_tradnl"/>
        </w:rPr>
        <w:t xml:space="preserve">; 2) </w:t>
      </w:r>
      <w:r w:rsidRPr="009E5B24">
        <w:rPr>
          <w:rFonts w:eastAsia="Calibri"/>
          <w:noProof/>
          <w:lang w:val="es-ES_tradnl"/>
        </w:rPr>
        <w:t xml:space="preserve">Los tratados y convenios sobre derechos humanos desbordan el ámbito de la reciprocidad; 3) Las normas contenidas en la DUDH así como en los Pactos de 1966 y otros instrumentos específicos </w:t>
      </w:r>
      <w:r w:rsidR="00A00539" w:rsidRPr="009E5B24">
        <w:rPr>
          <w:rFonts w:eastAsia="Calibri"/>
          <w:noProof/>
          <w:lang w:val="es-ES_tradnl"/>
        </w:rPr>
        <w:t xml:space="preserve">tienen </w:t>
      </w:r>
      <w:r w:rsidRPr="009E5B24">
        <w:rPr>
          <w:rFonts w:eastAsia="Calibri"/>
          <w:noProof/>
          <w:lang w:val="es-ES_tradnl"/>
        </w:rPr>
        <w:t xml:space="preserve">efecto </w:t>
      </w:r>
      <w:r w:rsidRPr="009E5B24">
        <w:rPr>
          <w:rFonts w:eastAsia="Calibri"/>
          <w:i/>
          <w:noProof/>
          <w:lang w:val="es-ES_tradnl"/>
        </w:rPr>
        <w:t>erga omnes</w:t>
      </w:r>
      <w:r w:rsidRPr="009E5B24">
        <w:rPr>
          <w:rFonts w:eastAsia="Calibri"/>
          <w:noProof/>
          <w:lang w:val="es-ES_tradnl"/>
        </w:rPr>
        <w:t xml:space="preserve">; 4)  Si perjuicio de la obligación de no intervenir en los asuntos internos que son jurisdicción interna de los Estados, el respeto de los derechos </w:t>
      </w:r>
      <w:r w:rsidRPr="009E5B24">
        <w:rPr>
          <w:rFonts w:eastAsia="Calibri"/>
          <w:noProof/>
          <w:lang w:val="es-ES_tradnl"/>
        </w:rPr>
        <w:lastRenderedPageBreak/>
        <w:t xml:space="preserve">humanos no puede considerarse como un asunto </w:t>
      </w:r>
      <w:r w:rsidRPr="009E5B24">
        <w:rPr>
          <w:rFonts w:eastAsia="Calibri"/>
          <w:i/>
          <w:noProof/>
          <w:lang w:val="es-ES_tradnl"/>
        </w:rPr>
        <w:t>esencialmente de jurisdicción interna</w:t>
      </w:r>
      <w:r w:rsidRPr="009E5B24">
        <w:rPr>
          <w:rFonts w:eastAsia="Calibri"/>
          <w:b/>
          <w:noProof/>
          <w:lang w:val="es-ES_tradnl"/>
        </w:rPr>
        <w:t xml:space="preserve"> </w:t>
      </w:r>
      <w:r w:rsidRPr="009E5B24">
        <w:rPr>
          <w:rFonts w:eastAsia="Calibri"/>
          <w:noProof/>
          <w:lang w:val="es-ES_tradnl"/>
        </w:rPr>
        <w:t>de los Estados; 5) A</w:t>
      </w:r>
      <w:r w:rsidRPr="00992E07">
        <w:t xml:space="preserve"> las reglas de interpretación de los tratados internacionales que consagran los dos CVDT se deben completar con el principio </w:t>
      </w:r>
      <w:r w:rsidRPr="009E5B24">
        <w:rPr>
          <w:i/>
        </w:rPr>
        <w:t>interpretatio pro homine</w:t>
      </w:r>
      <w:r w:rsidRPr="00992E07">
        <w:t xml:space="preserve"> cuando se trate de los tratados de derechos humanos, pues éstos deben interpretarse siempre de la manera más favorable al individuo.</w:t>
      </w:r>
    </w:p>
    <w:p w:rsidR="00B10FC6" w:rsidRPr="00582550" w:rsidRDefault="00B10FC6" w:rsidP="004551E9">
      <w:pPr>
        <w:pStyle w:val="Ttulo1"/>
      </w:pPr>
    </w:p>
    <w:p w:rsidR="005C4737" w:rsidRPr="00E72B02" w:rsidRDefault="005C4737" w:rsidP="004551E9">
      <w:pPr>
        <w:rPr>
          <w:lang w:val="es-ES_tradnl"/>
        </w:rPr>
      </w:pPr>
      <w:r w:rsidRPr="00E72B02">
        <w:rPr>
          <w:lang w:val="es-ES_tradnl"/>
        </w:rPr>
        <w:br w:type="page"/>
      </w:r>
    </w:p>
    <w:p w:rsidR="007D135C" w:rsidRDefault="007D135C" w:rsidP="004551E9">
      <w:pPr>
        <w:rPr>
          <w:kern w:val="32"/>
        </w:rPr>
      </w:pPr>
    </w:p>
    <w:p w:rsidR="005C4737" w:rsidRPr="009E5B24" w:rsidRDefault="005C4737" w:rsidP="002C1D94">
      <w:pPr>
        <w:pStyle w:val="TITULO14"/>
        <w:rPr>
          <w:sz w:val="28"/>
          <w:szCs w:val="28"/>
        </w:rPr>
      </w:pPr>
      <w:r w:rsidRPr="009E5B24">
        <w:rPr>
          <w:sz w:val="28"/>
          <w:szCs w:val="28"/>
        </w:rPr>
        <w:t>APENDICE</w:t>
      </w:r>
    </w:p>
    <w:p w:rsidR="005C4737" w:rsidRPr="009E5B24" w:rsidRDefault="005C4737" w:rsidP="002C1D94">
      <w:pPr>
        <w:pStyle w:val="TITULO14"/>
        <w:rPr>
          <w:sz w:val="28"/>
          <w:szCs w:val="28"/>
        </w:rPr>
      </w:pPr>
      <w:r w:rsidRPr="009E5B24">
        <w:rPr>
          <w:sz w:val="28"/>
          <w:szCs w:val="28"/>
        </w:rPr>
        <w:t>UN MODELO DE REFORMA DE LOS CÓDIGOS CIVILES DE LOS SISTEMAS IBEROAMERICANOS A LA LUZ DEL CAMBIO DE PARADIGMA SOBRE CAPACIDAD JURIDICA DE LA CDPD</w:t>
      </w:r>
    </w:p>
    <w:p w:rsidR="005C4737" w:rsidRPr="00E72B02" w:rsidRDefault="005C4737" w:rsidP="004551E9">
      <w:r w:rsidRPr="00E72B02">
        <w:br w:type="page"/>
      </w:r>
    </w:p>
    <w:p w:rsidR="007D135C" w:rsidRDefault="007D135C" w:rsidP="004551E9">
      <w:r>
        <w:lastRenderedPageBreak/>
        <w:br w:type="page"/>
      </w:r>
    </w:p>
    <w:p w:rsidR="005C4737" w:rsidRPr="009E5B24" w:rsidRDefault="009E5B24" w:rsidP="004A69C7">
      <w:pPr>
        <w:pStyle w:val="TTULO14"/>
      </w:pPr>
      <w:r w:rsidRPr="009E5B24">
        <w:lastRenderedPageBreak/>
        <w:t>INTRODUCCIÓN</w:t>
      </w:r>
    </w:p>
    <w:p w:rsidR="005C4737" w:rsidRPr="00E72B02" w:rsidRDefault="005C4737" w:rsidP="004551E9"/>
    <w:p w:rsidR="005C4737" w:rsidRPr="00E72B02" w:rsidRDefault="005C4737" w:rsidP="004551E9">
      <w:r w:rsidRPr="00E72B02">
        <w:t>El presente apéndice recoge en formato normativo una propuesta o modelo de reforma de los códigos</w:t>
      </w:r>
      <w:r w:rsidR="00A57C33" w:rsidRPr="00E72B02">
        <w:t xml:space="preserve"> civiles pensado para aquellos E</w:t>
      </w:r>
      <w:r w:rsidRPr="00E72B02">
        <w:t>stados que provienen de una tradición romano-germánica. Se tratan de unos contenidos mínimos que deberían ajustarse y desarrollarse al momento de pensar en su incorporación a códigos vigentes.</w:t>
      </w:r>
    </w:p>
    <w:p w:rsidR="005C4737" w:rsidRPr="00E72B02" w:rsidRDefault="005C4737" w:rsidP="004551E9">
      <w:r w:rsidRPr="00E72B02">
        <w:t xml:space="preserve">La propuesta supone no solo una revisión de las instituciones </w:t>
      </w:r>
      <w:r w:rsidR="00A57C33" w:rsidRPr="00E72B02">
        <w:t>de</w:t>
      </w:r>
      <w:r w:rsidRPr="00E72B02">
        <w:t xml:space="preserve"> la mayoría de los códigos vigentes en materia de incapacidad, tutela e internamiento de personas con discapacidad a la luz de las obligaciones planteadas en el CDPD, sino que también, pretende recoger una perspectiva de derechos humanos en el ámbito clásico del derecho civil. </w:t>
      </w:r>
    </w:p>
    <w:p w:rsidR="00A57C33" w:rsidRPr="00E72B02" w:rsidRDefault="00A57C33" w:rsidP="004551E9">
      <w:r w:rsidRPr="00E72B02">
        <w:t xml:space="preserve">Asimismo esta propuesta pretende ofrecer respuestas a una eventual reforma legislativa desde la visión o el punto de vista adoptado por el autor a lo largo del presente trabajo. </w:t>
      </w:r>
    </w:p>
    <w:p w:rsidR="00A57C33" w:rsidRPr="00E72B02" w:rsidRDefault="00A57C33" w:rsidP="004551E9">
      <w:r w:rsidRPr="00E72B02">
        <w:t xml:space="preserve">Se es consciente que algunos contenidos normativos propuestos requerirían un ajuste en cada contexto nacional concreto, pero igualmente pretende ofrecer modelos de regulación que tengan una línea de abordaje general, lo cual parece lógico cuando se piensa en dar respuesta a obligaciones internacionales impuestas a la Comunidad Internacional de Estados. </w:t>
      </w:r>
    </w:p>
    <w:p w:rsidR="005C4737" w:rsidRPr="00E72B02" w:rsidRDefault="005C4737" w:rsidP="004551E9"/>
    <w:p w:rsidR="005C4737" w:rsidRPr="00E72B02" w:rsidRDefault="005C4737" w:rsidP="004551E9">
      <w:r w:rsidRPr="00E72B02">
        <w:br w:type="page"/>
      </w:r>
    </w:p>
    <w:p w:rsidR="005C4737" w:rsidRPr="009E5B24" w:rsidRDefault="009E5B24" w:rsidP="004A69C7">
      <w:pPr>
        <w:pStyle w:val="TTULO14"/>
      </w:pPr>
      <w:r w:rsidRPr="009E5B24">
        <w:lastRenderedPageBreak/>
        <w:t>ESTRUCTURA</w:t>
      </w:r>
    </w:p>
    <w:p w:rsidR="00A57C33" w:rsidRPr="00E72B02" w:rsidRDefault="00A57C33" w:rsidP="004551E9"/>
    <w:p w:rsidR="00A57C33" w:rsidRPr="00E72B02" w:rsidRDefault="00A57C33" w:rsidP="004551E9">
      <w:r w:rsidRPr="00E72B02">
        <w:t>La presente propuesta se estructura mediante una numeración de artículos comenzando del 1 al 45, lo cual luego eventualmente debería ajustarse a la numeración y metodología propia de cada código. La razón de dicha numeración radica en que la propuesta de articulado contiene remisiones cruzadas de artículos, las cuales resultan necesarias.</w:t>
      </w:r>
    </w:p>
    <w:p w:rsidR="005C4737" w:rsidRPr="00E72B02" w:rsidRDefault="00A57C33" w:rsidP="004551E9">
      <w:r w:rsidRPr="00E72B02">
        <w:t xml:space="preserve">Asimismo la propuesta está dividida en cinco partes, las cuales abordan aspectos o cuestiones que, desde una técnica normativa, requieren de un tratamiento diferenciado. </w:t>
      </w:r>
      <w:r w:rsidR="0028010B" w:rsidRPr="00E72B02">
        <w:t xml:space="preserve">Esta división metodológica no solo responde a un abordaje de aspectos legales independientes, sino que también intenta trazar una línea clara entre aquellas disposiciones cuya aplicación está pensada respecto de todas las personas en general, y aquellas disposiciones cuya aplicación está pensada respecto de personas con discapacidad. Ello resulta imprescindible para garantizar normativamente la no discriminación por motivo de discapacidad en cuestiones tales como la limitación de la capacidad de obrar, o el internamiento o sometimiento a tratamientos médicos involuntarios. </w:t>
      </w:r>
      <w:r w:rsidR="005C4737" w:rsidRPr="00E72B02">
        <w:br w:type="page"/>
      </w:r>
    </w:p>
    <w:p w:rsidR="005C4737" w:rsidRPr="009E5B24" w:rsidRDefault="009E5B24" w:rsidP="009E5B24">
      <w:pPr>
        <w:pStyle w:val="TITULO14"/>
        <w:jc w:val="both"/>
        <w:rPr>
          <w:sz w:val="24"/>
          <w:szCs w:val="24"/>
        </w:rPr>
      </w:pPr>
      <w:r w:rsidRPr="009E5B24">
        <w:rPr>
          <w:sz w:val="24"/>
          <w:szCs w:val="24"/>
        </w:rPr>
        <w:lastRenderedPageBreak/>
        <w:t xml:space="preserve">PARTE I </w:t>
      </w:r>
    </w:p>
    <w:p w:rsidR="005C4737" w:rsidRPr="009E5B24" w:rsidRDefault="009E5B24" w:rsidP="009E5B24">
      <w:pPr>
        <w:pStyle w:val="TITULO14"/>
        <w:jc w:val="both"/>
        <w:rPr>
          <w:sz w:val="24"/>
          <w:szCs w:val="24"/>
        </w:rPr>
      </w:pPr>
      <w:r w:rsidRPr="009E5B24">
        <w:rPr>
          <w:sz w:val="24"/>
          <w:szCs w:val="24"/>
        </w:rPr>
        <w:t>DE LAS PERSONAS EN GENERAL</w:t>
      </w:r>
    </w:p>
    <w:p w:rsidR="005C4737" w:rsidRPr="00E72B02" w:rsidRDefault="005C4737" w:rsidP="004551E9"/>
    <w:p w:rsidR="005C4737" w:rsidRPr="00E72B02" w:rsidRDefault="005C4737" w:rsidP="004551E9">
      <w:pPr>
        <w:pStyle w:val="Cita"/>
      </w:pPr>
      <w:r w:rsidRPr="00E72B02">
        <w:t xml:space="preserve">[…La Parte I tiene como objeto establecer las reglas generales sobre las personas como sujetos de derecho, definiendo los tipos de personas y estableciendo las condiciones generales de reconocimiento y ejercicio de la personalidad jurídica y de la capacidad jurídica…] </w:t>
      </w:r>
    </w:p>
    <w:p w:rsidR="005C4737" w:rsidRPr="00E72B02" w:rsidRDefault="005C4737" w:rsidP="004551E9"/>
    <w:p w:rsidR="005C4737" w:rsidRPr="009E5B24" w:rsidRDefault="005C4737" w:rsidP="004551E9">
      <w:pPr>
        <w:pStyle w:val="Ttulo4"/>
        <w:rPr>
          <w:b/>
        </w:rPr>
      </w:pPr>
      <w:r w:rsidRPr="009E5B24">
        <w:rPr>
          <w:b/>
        </w:rPr>
        <w:t>Artículo 1 Tipos de personas</w:t>
      </w:r>
    </w:p>
    <w:p w:rsidR="005C4737" w:rsidRDefault="005C4737" w:rsidP="004551E9">
      <w:r w:rsidRPr="00CE16AD">
        <w:t>Para el derecho, las personas pueden ser de carácter físico o jurídico. Todas las personas poseen personalidad jurídica lo que supone ser titulares de derechos y poder contraer obligaciones.</w:t>
      </w:r>
    </w:p>
    <w:p w:rsidR="009E5B24" w:rsidRPr="00CE16AD" w:rsidRDefault="009E5B24" w:rsidP="004551E9"/>
    <w:p w:rsidR="005C4737" w:rsidRPr="009E5B24" w:rsidRDefault="005C4737" w:rsidP="004551E9">
      <w:pPr>
        <w:pStyle w:val="Ttulo4"/>
        <w:rPr>
          <w:b/>
        </w:rPr>
      </w:pPr>
      <w:r w:rsidRPr="009E5B24">
        <w:rPr>
          <w:b/>
        </w:rPr>
        <w:t xml:space="preserve">Artículo 2 Capacidad de obrar  </w:t>
      </w:r>
    </w:p>
    <w:p w:rsidR="005C4737" w:rsidRDefault="005C4737" w:rsidP="004551E9">
      <w:r w:rsidRPr="00CE16AD">
        <w:t xml:space="preserve">Las personas físicas o jurídicas poseen capacidad de obrar según lo límites y extensión establecidos en este código. Se considera capacidad de obrar el poder de tomar de decisiones en nombre propio que tienen como propósito o efecto crear, modificar o extinguir derechos y obligaciones de la cuales la persona resulta titular. </w:t>
      </w:r>
    </w:p>
    <w:p w:rsidR="009E5B24" w:rsidRPr="00CE16AD" w:rsidRDefault="009E5B24" w:rsidP="004551E9"/>
    <w:p w:rsidR="005C4737" w:rsidRDefault="005C4737" w:rsidP="004551E9">
      <w:r w:rsidRPr="00CE16AD">
        <w:t>DE LAS PERSONAS FÍSICAS</w:t>
      </w:r>
    </w:p>
    <w:p w:rsidR="009E5B24" w:rsidRPr="009E5B24" w:rsidRDefault="009E5B24" w:rsidP="004551E9">
      <w:pPr>
        <w:rPr>
          <w:b/>
        </w:rPr>
      </w:pPr>
    </w:p>
    <w:p w:rsidR="005C4737" w:rsidRPr="009E5B24" w:rsidRDefault="005C4737" w:rsidP="004551E9">
      <w:pPr>
        <w:pStyle w:val="Ttulo4"/>
        <w:rPr>
          <w:b/>
        </w:rPr>
      </w:pPr>
      <w:r w:rsidRPr="009E5B24">
        <w:rPr>
          <w:b/>
        </w:rPr>
        <w:t>Artículo 3 Concepto de persona física</w:t>
      </w:r>
    </w:p>
    <w:p w:rsidR="009E5B24" w:rsidRPr="009E5B24" w:rsidRDefault="009E5B24" w:rsidP="009E5B24"/>
    <w:p w:rsidR="005C4737" w:rsidRDefault="005C4737" w:rsidP="004551E9">
      <w:r w:rsidRPr="00CE16AD">
        <w:t>Se considera persona física a todo ser humano que por su condición de tal goza de derechos humanos y libertades fundamentales.</w:t>
      </w:r>
    </w:p>
    <w:p w:rsidR="00F419DD" w:rsidRPr="00CE16AD" w:rsidRDefault="00F419DD" w:rsidP="004551E9"/>
    <w:p w:rsidR="005C4737" w:rsidRPr="00F419DD" w:rsidRDefault="005C4737" w:rsidP="004551E9">
      <w:pPr>
        <w:pStyle w:val="Ttulo4"/>
        <w:rPr>
          <w:b/>
        </w:rPr>
      </w:pPr>
      <w:r w:rsidRPr="00F419DD">
        <w:rPr>
          <w:b/>
        </w:rPr>
        <w:lastRenderedPageBreak/>
        <w:t>Artículo 4 La personalidad jurídica</w:t>
      </w:r>
    </w:p>
    <w:p w:rsidR="005C4737" w:rsidRDefault="005C4737" w:rsidP="004551E9">
      <w:r w:rsidRPr="00CE16AD">
        <w:t xml:space="preserve">Las personas físicas adquieren personalidad jurídica desde la concepción y esta sólo cesa con la muerte. La personalidad jurídica no puede limitarse ni restringirse y otorga a su titular todos los derechos y obligaciones reconocidos por el ordenamiento jurídico nacional así como en virtud de los derechos humanos reconocidos en los tratados internacionales en los cuales el Estado sea parte. </w:t>
      </w:r>
    </w:p>
    <w:p w:rsidR="00F419DD" w:rsidRPr="00CE16AD" w:rsidRDefault="00F419DD" w:rsidP="004551E9"/>
    <w:p w:rsidR="005C4737" w:rsidRPr="00F419DD" w:rsidRDefault="005C4737" w:rsidP="004551E9">
      <w:pPr>
        <w:pStyle w:val="Ttulo4"/>
        <w:rPr>
          <w:b/>
        </w:rPr>
      </w:pPr>
      <w:r w:rsidRPr="00F419DD">
        <w:rPr>
          <w:b/>
        </w:rPr>
        <w:t>Artículo 5. Goce y ejercicio de la capacidad de obrar</w:t>
      </w:r>
    </w:p>
    <w:p w:rsidR="005C4737" w:rsidRPr="00CE16AD" w:rsidRDefault="005C4737" w:rsidP="004551E9">
      <w:r w:rsidRPr="00CE16AD">
        <w:t xml:space="preserve">Las personas físicas adquieren plena capacidad de obrar desde los 13 (trece) años y gozarán de la misma, sin discriminación, hasta la muerte. La capacidad de obrar de las personas físicas solo podrá ser limitada por sentencia judicial y en los casos establecidos en el artículo siguiente. </w:t>
      </w:r>
    </w:p>
    <w:p w:rsidR="005C4737" w:rsidRPr="00E72B02" w:rsidRDefault="005C4737" w:rsidP="004551E9"/>
    <w:p w:rsidR="005C4737" w:rsidRPr="00F419DD" w:rsidRDefault="00F419DD" w:rsidP="00F419DD">
      <w:pPr>
        <w:pStyle w:val="TITULO14"/>
        <w:jc w:val="both"/>
        <w:rPr>
          <w:sz w:val="24"/>
          <w:szCs w:val="24"/>
        </w:rPr>
      </w:pPr>
      <w:r w:rsidRPr="00F419DD">
        <w:rPr>
          <w:sz w:val="24"/>
          <w:szCs w:val="24"/>
        </w:rPr>
        <w:t xml:space="preserve">PARTE II </w:t>
      </w:r>
    </w:p>
    <w:p w:rsidR="005C4737" w:rsidRPr="00F419DD" w:rsidRDefault="00F419DD" w:rsidP="00F419DD">
      <w:pPr>
        <w:pStyle w:val="TITULO14"/>
        <w:jc w:val="both"/>
        <w:rPr>
          <w:sz w:val="24"/>
          <w:szCs w:val="24"/>
        </w:rPr>
      </w:pPr>
      <w:r w:rsidRPr="00F419DD">
        <w:rPr>
          <w:sz w:val="24"/>
          <w:szCs w:val="24"/>
        </w:rPr>
        <w:t>DE LA LIMITACIÓN DE LA CAPACIDAD DE OBRAR</w:t>
      </w:r>
    </w:p>
    <w:p w:rsidR="005C4737" w:rsidRPr="00E72B02" w:rsidRDefault="005C4737" w:rsidP="004551E9"/>
    <w:p w:rsidR="005C4737" w:rsidRPr="00E72B02" w:rsidRDefault="005C4737" w:rsidP="004551E9">
      <w:pPr>
        <w:pStyle w:val="Cita"/>
        <w:rPr>
          <w:rStyle w:val="CitaHTML"/>
        </w:rPr>
      </w:pPr>
      <w:r w:rsidRPr="00E72B02">
        <w:rPr>
          <w:rStyle w:val="CitaHTML"/>
        </w:rPr>
        <w:t xml:space="preserve">Nota comentario: […Partiendo del presupuesto de reconocimiento pleno de la capacidad de obrar de todas las personas físicas a partir de los 13 años de edad, la Parte II aborda los motivos y las condiciones legales en las cuales procede la limitación de la capacidad de obrar. A diferencia de los sistemas clásicos de derecho civil, esta propuesta abandona definitivamente la noción de incapacidad, la cual solo podría caber en los casos de los menores de 13 años. Asimismo se regulan de forma conjunta todos los casos donde el derecho habilita la limitación de la capacidad de obrar de las personas, y se elimina toda referencia a la discapacidad. La noción de limitación permite considerar a la misma desde un punto de </w:t>
      </w:r>
      <w:r w:rsidRPr="00E72B02">
        <w:rPr>
          <w:rStyle w:val="CitaHTML"/>
        </w:rPr>
        <w:lastRenderedPageBreak/>
        <w:t>vista excepcional y temporal lo cual se justifica teniendo en cuenta los efectos gravosos para el ejercicio de los derechos….]</w:t>
      </w:r>
    </w:p>
    <w:p w:rsidR="005C4737" w:rsidRPr="00E72B02" w:rsidRDefault="005C4737" w:rsidP="004551E9"/>
    <w:p w:rsidR="005C4737" w:rsidRPr="00F419DD" w:rsidRDefault="005C4737" w:rsidP="004551E9">
      <w:pPr>
        <w:pStyle w:val="Ttulo4"/>
        <w:rPr>
          <w:b/>
        </w:rPr>
      </w:pPr>
      <w:r w:rsidRPr="00F419DD">
        <w:rPr>
          <w:b/>
        </w:rPr>
        <w:t>Artículo 6 Motivos de limitación de la capacidad de obrar</w:t>
      </w:r>
    </w:p>
    <w:p w:rsidR="005C4737" w:rsidRPr="00CE16AD" w:rsidRDefault="005C4737" w:rsidP="004551E9">
      <w:r w:rsidRPr="00CE16AD">
        <w:t>Podrán ser motivos de limitación de la capacidad de obrar de las personas físicas;</w:t>
      </w:r>
    </w:p>
    <w:p w:rsidR="005C4737" w:rsidRPr="00CE16AD" w:rsidRDefault="005C4737" w:rsidP="004551E9">
      <w:r w:rsidRPr="00CE16AD">
        <w:t>1.</w:t>
      </w:r>
      <w:r w:rsidRPr="00CE16AD">
        <w:tab/>
        <w:t xml:space="preserve">La inhabilitación ordenada judicialmente en proceso concursal y en los límites establecidos en los artículos [X] de este código. </w:t>
      </w:r>
    </w:p>
    <w:p w:rsidR="005C4737" w:rsidRPr="00CE16AD" w:rsidRDefault="005C4737" w:rsidP="004551E9">
      <w:r w:rsidRPr="00CE16AD">
        <w:t>2.</w:t>
      </w:r>
      <w:r w:rsidRPr="00CE16AD">
        <w:tab/>
        <w:t xml:space="preserve">Las anotaciones personales ordenadas judicialmente en procesos judiciales e inscriptas debidamente en los respectivos registros; </w:t>
      </w:r>
    </w:p>
    <w:p w:rsidR="005C4737" w:rsidRPr="00CE16AD" w:rsidRDefault="005C4737" w:rsidP="004551E9">
      <w:r w:rsidRPr="00CE16AD">
        <w:t>3.</w:t>
      </w:r>
      <w:r w:rsidRPr="00CE16AD">
        <w:tab/>
        <w:t xml:space="preserve">La ausencia con muerte presunta de conformidad con lo establecido en los artículos [X] de este código; </w:t>
      </w:r>
    </w:p>
    <w:p w:rsidR="005C4737" w:rsidRPr="00CE16AD" w:rsidRDefault="005C4737" w:rsidP="004551E9">
      <w:r w:rsidRPr="00CE16AD">
        <w:t>4.</w:t>
      </w:r>
      <w:r w:rsidRPr="00CE16AD">
        <w:tab/>
        <w:t xml:space="preserve">La privación de libertad por cumplimiento de pena ordenada en sentencia judicial y en los límites establecidos en la legislación penal y penitenciaria; </w:t>
      </w:r>
    </w:p>
    <w:p w:rsidR="005C4737" w:rsidRPr="00CE16AD" w:rsidRDefault="005C4737" w:rsidP="004551E9">
      <w:r w:rsidRPr="00CE16AD">
        <w:t>5.</w:t>
      </w:r>
      <w:r w:rsidRPr="00CE16AD">
        <w:tab/>
        <w:t>La existencia de un poder preventivo o de representación formalizado e inscripto en los límites de dicho instrumento y según lo establecido en los artículos 24 y siguientes de este código;</w:t>
      </w:r>
    </w:p>
    <w:p w:rsidR="005C4737" w:rsidRPr="00CE16AD" w:rsidRDefault="005C4737" w:rsidP="004551E9">
      <w:r w:rsidRPr="00CE16AD">
        <w:t>6.</w:t>
      </w:r>
      <w:r w:rsidRPr="00CE16AD">
        <w:tab/>
        <w:t xml:space="preserve">La incompetencia de una persona de tomar decisiones de carácter patrimonial o de carácter personal ordenada judicialmente y en los límites establecidos en los artículos 8 y siguientes de este código: </w:t>
      </w:r>
    </w:p>
    <w:p w:rsidR="005C4737" w:rsidRDefault="005C4737" w:rsidP="004551E9">
      <w:r w:rsidRPr="00CE16AD">
        <w:t>7.</w:t>
      </w:r>
      <w:r w:rsidRPr="00CE16AD">
        <w:tab/>
        <w:t>La minoría de edad según lo estipulado por los artículos [X] y siguientes de este código.</w:t>
      </w:r>
    </w:p>
    <w:p w:rsidR="00F419DD" w:rsidRPr="00CE16AD" w:rsidRDefault="00F419DD" w:rsidP="004551E9"/>
    <w:p w:rsidR="005C4737" w:rsidRPr="00F419DD" w:rsidRDefault="005C4737" w:rsidP="004551E9">
      <w:pPr>
        <w:pStyle w:val="Ttulo4"/>
        <w:rPr>
          <w:b/>
        </w:rPr>
      </w:pPr>
      <w:r w:rsidRPr="00F419DD">
        <w:rPr>
          <w:b/>
        </w:rPr>
        <w:t>Artículo 7 Excepcionalidad de la limitación de la capacidad de obrar</w:t>
      </w:r>
    </w:p>
    <w:p w:rsidR="00F419DD" w:rsidRDefault="00F419DD" w:rsidP="004551E9"/>
    <w:p w:rsidR="005C4737" w:rsidRPr="00CE16AD" w:rsidRDefault="005C4737" w:rsidP="004551E9">
      <w:r w:rsidRPr="00CE16AD">
        <w:t xml:space="preserve">La limitación de la capacidad de obrar de una persona física puede suponer una restricción de goce y ejercicio de derechos humanos. </w:t>
      </w:r>
      <w:r w:rsidRPr="00CE16AD">
        <w:lastRenderedPageBreak/>
        <w:t xml:space="preserve">Consecuentemente, toda limitación al ejercicio de la capacidad de obrar deberá decretarse judicialmente, de forma excepcional, y con las todas las garantías del igualdad e imparcialidad procesal. La plena capacidad de obrar de todas las personas físicas mayores de 13 (trece) años se deberá siempre presumir salvo resolución judicial que acredite lo contrario. </w:t>
      </w:r>
    </w:p>
    <w:p w:rsidR="005C4737" w:rsidRPr="00E72B02" w:rsidRDefault="005C4737" w:rsidP="004551E9">
      <w:pPr>
        <w:pStyle w:val="Ttulo3"/>
      </w:pPr>
    </w:p>
    <w:p w:rsidR="005C4737" w:rsidRPr="00F419DD" w:rsidRDefault="00F419DD" w:rsidP="00F419DD">
      <w:pPr>
        <w:pStyle w:val="TITULO14"/>
        <w:jc w:val="both"/>
        <w:rPr>
          <w:sz w:val="24"/>
          <w:szCs w:val="24"/>
        </w:rPr>
      </w:pPr>
      <w:r w:rsidRPr="00F419DD">
        <w:rPr>
          <w:sz w:val="24"/>
          <w:szCs w:val="24"/>
        </w:rPr>
        <w:t xml:space="preserve">PARTE III </w:t>
      </w:r>
    </w:p>
    <w:p w:rsidR="005C4737" w:rsidRPr="00F419DD" w:rsidRDefault="00F419DD" w:rsidP="00F419DD">
      <w:pPr>
        <w:pStyle w:val="TITULO14"/>
        <w:jc w:val="both"/>
        <w:rPr>
          <w:sz w:val="24"/>
          <w:szCs w:val="24"/>
        </w:rPr>
      </w:pPr>
      <w:r w:rsidRPr="00F419DD">
        <w:rPr>
          <w:sz w:val="24"/>
          <w:szCs w:val="24"/>
        </w:rPr>
        <w:t>DE LA DECLARACIÓN DE INCOMPETENCIA</w:t>
      </w:r>
    </w:p>
    <w:p w:rsidR="005C4737" w:rsidRPr="00E72B02" w:rsidRDefault="005C4737" w:rsidP="004551E9"/>
    <w:p w:rsidR="005C4737" w:rsidRPr="00E72B02" w:rsidRDefault="005C4737" w:rsidP="004551E9">
      <w:pPr>
        <w:pStyle w:val="Cita"/>
      </w:pPr>
      <w:r w:rsidRPr="00E72B02">
        <w:rPr>
          <w:rStyle w:val="CitaHTML"/>
        </w:rPr>
        <w:t xml:space="preserve">Nota comentario: </w:t>
      </w:r>
      <w:r w:rsidRPr="00E72B02">
        <w:t>[…La parte III se aboga a regular lo que se denomina como “declaración de incompetencia, y tiene como objeto cubrir todas aquellas situaciones excepcionales donde el derecho habilita que se limite la capacidad de obrar de una persona, siempre que se acrediten los recaudos legales, y se les nombre un representante para tomar decisiones patrimoniales y/o personales en relación con aquellos actos o ámbitos especificados por la sentencia. Asimismo, y teniendo en cuenta la discriminación histórica a la que han sido objeto las personas con discapacidad se regulan una serie de salvaguardias que garanticen que las personas con discapacidad no sean objeto de limitación de su capacidad de obrar por motivo de discapacidad. La declaración de incompetencia pretende regular de forma genérica y respecto de cualquier persona la limitación de la capacidad de obrar y el nombramiento de un representante legal…]</w:t>
      </w:r>
    </w:p>
    <w:p w:rsidR="005C4737" w:rsidRPr="00E72B02" w:rsidRDefault="005C4737" w:rsidP="004551E9"/>
    <w:p w:rsidR="005C4737" w:rsidRPr="00CE16AD" w:rsidRDefault="005C4737" w:rsidP="004551E9">
      <w:pPr>
        <w:pStyle w:val="Ttulo4"/>
      </w:pPr>
      <w:r w:rsidRPr="00CE16AD">
        <w:t xml:space="preserve">Artículo 8 Declaración judicial de incompetencia </w:t>
      </w:r>
    </w:p>
    <w:p w:rsidR="005C4737" w:rsidRPr="00CE16AD" w:rsidRDefault="005C4737" w:rsidP="004551E9">
      <w:r w:rsidRPr="00CE16AD">
        <w:lastRenderedPageBreak/>
        <w:t>Toda persona física podrá ser declarada judicialmente incompetente de tomar ciertas decisiones de carácter personal y/o patrimonial siempre que se prueben todos los siguientes recaudos;</w:t>
      </w:r>
    </w:p>
    <w:p w:rsidR="005C4737" w:rsidRPr="00CE16AD" w:rsidRDefault="005C4737" w:rsidP="004551E9">
      <w:r w:rsidRPr="00CE16AD">
        <w:t>1)</w:t>
      </w:r>
      <w:r w:rsidRPr="00CE16AD">
        <w:tab/>
        <w:t xml:space="preserve">Que existe un riesgo grave e inminente de que la persona pueda tomar decisiones que afecten gravemente sus derechos patrimoniales o personales, o que </w:t>
      </w:r>
      <w:r w:rsidRPr="00CE16AD">
        <w:rPr>
          <w:rFonts w:eastAsia="Calibri"/>
        </w:rPr>
        <w:t>la persona se encuentre absolutamente imposibilitada de interaccionar con su entorno y expresar su voluntad por cualquier modo, medio o formato adecuado</w:t>
      </w:r>
      <w:r w:rsidRPr="00CE16AD">
        <w:t>. La existencia de una discapacidad, edad avanzada, o situación de vulnerabilidad social, nunca podrá ser prueba suficiente para acreditar el riesgo grave e inminente.</w:t>
      </w:r>
    </w:p>
    <w:p w:rsidR="005C4737" w:rsidRPr="00CE16AD" w:rsidRDefault="005C4737" w:rsidP="004551E9">
      <w:r w:rsidRPr="00CE16AD">
        <w:t>2)</w:t>
      </w:r>
      <w:r w:rsidRPr="00CE16AD">
        <w:tab/>
        <w:t>Que se especifique qué tipo de decisiones de carácter personal y/o patrimonial y las razones por las cuales se debe decretar la incompetencia;</w:t>
      </w:r>
    </w:p>
    <w:p w:rsidR="005C4737" w:rsidRPr="00CE16AD" w:rsidRDefault="005C4737" w:rsidP="004551E9">
      <w:r w:rsidRPr="00CE16AD">
        <w:t>3)</w:t>
      </w:r>
      <w:r w:rsidRPr="00CE16AD">
        <w:tab/>
        <w:t>Que no exista un poder preventivo o de representación vigente que establezca instrucciones o mandatos sobre las decisiones respecto de las cuales se pretende declarar la incompetencia;</w:t>
      </w:r>
    </w:p>
    <w:p w:rsidR="005C4737" w:rsidRPr="00CE16AD" w:rsidRDefault="005C4737" w:rsidP="004551E9">
      <w:r w:rsidRPr="00CE16AD">
        <w:t>4)</w:t>
      </w:r>
      <w:r w:rsidRPr="00CE16AD">
        <w:tab/>
        <w:t>Que se demuestre que la provisión de ajustes razonables, o que un régimen personalizado de medidas de apoyo en el ejercicio de la capacidad de obrar no ha resultado, o no resultará suficiente para evitar el riesgo cierto e inminente de que la persona pueda tomar decisiones que afecten gravemente sus derechos patrimoniales o personales.</w:t>
      </w:r>
    </w:p>
    <w:p w:rsidR="005C4737" w:rsidRPr="00CE16AD" w:rsidRDefault="005C4737" w:rsidP="004551E9">
      <w:pPr>
        <w:pStyle w:val="Ttulo4"/>
      </w:pPr>
      <w:r w:rsidRPr="00CE16AD">
        <w:t>Artículo 9 La acción de incompetencia</w:t>
      </w:r>
    </w:p>
    <w:p w:rsidR="005C4737" w:rsidRPr="00CE16AD" w:rsidRDefault="005C4737" w:rsidP="004551E9">
      <w:r w:rsidRPr="00CE16AD">
        <w:t>La acción de incompetencia no podrá ser promovida por la propia persona. El proceso será de carácter contradictorio. La persona objeto de la acción será parte en el proceso y deberá contar con patrocinio letrado, o a falta de este, con defensa pública. Corresponde a quien promueve la acción de incompetencia la carga de la prueba de los requisitos establecidos en el artículo 8.</w:t>
      </w:r>
    </w:p>
    <w:p w:rsidR="005C4737" w:rsidRPr="00CE16AD" w:rsidRDefault="005C4737" w:rsidP="004551E9">
      <w:pPr>
        <w:pStyle w:val="Ttulo4"/>
      </w:pPr>
      <w:r w:rsidRPr="00CE16AD">
        <w:t>Artículo 10 Efectos de la sentencia</w:t>
      </w:r>
    </w:p>
    <w:p w:rsidR="005C4737" w:rsidRPr="00CE16AD" w:rsidRDefault="005C4737" w:rsidP="004551E9">
      <w:r w:rsidRPr="00CE16AD">
        <w:t xml:space="preserve">La declaración de incompetencia de una persona tendrá el efecto de limitar la capacidad de obrar de la persona de forma temporal y sólo respecto de </w:t>
      </w:r>
      <w:r w:rsidRPr="00CE16AD">
        <w:lastRenderedPageBreak/>
        <w:t xml:space="preserve">aquellas decisiones de carácter personal y/o patrimonial explícitamente enumerados en la resolución judicial. En todo aquello que no haya sido expresamente señalado en la sentencia, la persona gozará de plena capacidad de obrar. </w:t>
      </w:r>
    </w:p>
    <w:p w:rsidR="005C4737" w:rsidRPr="00CE16AD" w:rsidRDefault="005C4737" w:rsidP="004551E9">
      <w:pPr>
        <w:pStyle w:val="Ttulo4"/>
      </w:pPr>
      <w:r w:rsidRPr="00CE16AD">
        <w:t>Artículo 11 Vigencia de la sentencia</w:t>
      </w:r>
    </w:p>
    <w:p w:rsidR="005C4737" w:rsidRPr="00CE16AD" w:rsidRDefault="005C4737" w:rsidP="004551E9">
      <w:r w:rsidRPr="00CE16AD">
        <w:t xml:space="preserve">La sentencia de incompetencia tendrá una vigencia perentoria de 3 años. La misma podrá ser prorrogada por períodos de 3 años siempre que la acción sea promovida con anterioridad al plazo perentorio y siempre que se demuestre judicialmente que los requisitos enumerados en el artículo 8 siguen vigentes. La persona declarada incompetente podrá solicitar en todo momento la revisión de la sentencia siempre que demuestre alguna variación en los hechos que dieron lugar a su declaración.  </w:t>
      </w:r>
    </w:p>
    <w:p w:rsidR="005C4737" w:rsidRPr="00CE16AD" w:rsidRDefault="005C4737" w:rsidP="004551E9">
      <w:pPr>
        <w:pStyle w:val="Ttulo4"/>
      </w:pPr>
      <w:r w:rsidRPr="00CE16AD">
        <w:t>Artículo 12 Nombramiento de un facilitador</w:t>
      </w:r>
    </w:p>
    <w:p w:rsidR="005C4737" w:rsidRPr="00CE16AD" w:rsidRDefault="005C4737" w:rsidP="004551E9">
      <w:r w:rsidRPr="00CE16AD">
        <w:t xml:space="preserve">Con la declaración de incompetencia el juez nombrará un facilitador o facilitadores para complementar la toma de decisiones de la persona en aquellos ámbitos específicamente señalados en la resolución judicial. Podrá nombrarse un facilitador para actuar tanto en relación con los derechos personales como patrimoniales, o un facilitador diferente para cada ámbito. </w:t>
      </w:r>
    </w:p>
    <w:p w:rsidR="005C4737" w:rsidRPr="00CE16AD" w:rsidRDefault="005C4737" w:rsidP="004551E9">
      <w:pPr>
        <w:pStyle w:val="Ttulo4"/>
      </w:pPr>
      <w:r w:rsidRPr="00CE16AD">
        <w:t>Artículo 13 Ejercicio de las funciones del facilitador</w:t>
      </w:r>
    </w:p>
    <w:p w:rsidR="005C4737" w:rsidRPr="00CE16AD" w:rsidRDefault="005C4737" w:rsidP="004551E9">
      <w:r w:rsidRPr="00CE16AD">
        <w:t xml:space="preserve">Como regla general el facilitador ejercerá sus funciones con carácter de co-decisor debiendo en todo caso constar en la formalización del acto o negocio jurídico tanto la voluntad del facilitador como la de la persona declarada incompetente. Cuando la resolución judicial lo establezca y lo justifique, el facilitador podrá asumir sus funciones con carácter de representante para lo cual bastará para la formalización de acto jurídico el consentimiento del mismo, y siempre que lo haga según lo estipulado en el artículo siguiente.  </w:t>
      </w:r>
    </w:p>
    <w:p w:rsidR="005C4737" w:rsidRPr="00CE16AD" w:rsidRDefault="005C4737" w:rsidP="004551E9">
      <w:pPr>
        <w:pStyle w:val="Ttulo4"/>
      </w:pPr>
      <w:r w:rsidRPr="00CE16AD">
        <w:t>Artículo 14 Forma de tomar decisiones</w:t>
      </w:r>
    </w:p>
    <w:p w:rsidR="005C4737" w:rsidRPr="00E72B02" w:rsidRDefault="005C4737" w:rsidP="004551E9">
      <w:r w:rsidRPr="00CE16AD">
        <w:t xml:space="preserve">El facilitador deberá siempre tomar decisiones con, o por, la persona declarada incompetente teniendo en cuenta el interés particular de la misma. El interés de la persona deberá interpretarse sobre la base de su identidad y </w:t>
      </w:r>
      <w:r w:rsidRPr="00CE16AD">
        <w:lastRenderedPageBreak/>
        <w:t>el respecto de su dignidad inherente. Para ello el curador deberá tener presente entre otras cuestiones, las circunstancias personales y de vida, su ideología, sus intereses o preferencias, sus creencias, su cultura, su entorno familiar o afectivo, y todo aquello que lo define como sujeto moral.</w:t>
      </w:r>
      <w:r w:rsidRPr="00E72B02">
        <w:t xml:space="preserve">    </w:t>
      </w:r>
    </w:p>
    <w:p w:rsidR="005C4737" w:rsidRPr="00E72B02" w:rsidRDefault="005C4737" w:rsidP="004551E9"/>
    <w:p w:rsidR="005C4737" w:rsidRPr="00F419DD" w:rsidRDefault="00F419DD" w:rsidP="00F419DD">
      <w:pPr>
        <w:pStyle w:val="TITULO14"/>
        <w:jc w:val="both"/>
        <w:rPr>
          <w:sz w:val="24"/>
          <w:szCs w:val="24"/>
        </w:rPr>
      </w:pPr>
      <w:r w:rsidRPr="00F419DD">
        <w:rPr>
          <w:sz w:val="24"/>
          <w:szCs w:val="24"/>
        </w:rPr>
        <w:t>PARTE IV</w:t>
      </w:r>
    </w:p>
    <w:p w:rsidR="005C4737" w:rsidRPr="00F419DD" w:rsidRDefault="00F419DD" w:rsidP="00F419DD">
      <w:pPr>
        <w:pStyle w:val="TITULO14"/>
        <w:jc w:val="both"/>
        <w:rPr>
          <w:sz w:val="24"/>
          <w:szCs w:val="24"/>
        </w:rPr>
      </w:pPr>
      <w:r w:rsidRPr="00F419DD">
        <w:rPr>
          <w:sz w:val="24"/>
          <w:szCs w:val="24"/>
        </w:rPr>
        <w:t>DEL RÉGIMEN PERSONALIZADO DE MEDIDAS DE APOYO PARA EL EJERCICIO DE LA CAPACIDAD DE OBRAR</w:t>
      </w:r>
    </w:p>
    <w:p w:rsidR="005C4737" w:rsidRPr="00E72B02" w:rsidRDefault="005C4737" w:rsidP="004551E9"/>
    <w:p w:rsidR="005C4737" w:rsidRPr="00E72B02" w:rsidRDefault="005C4737" w:rsidP="004551E9">
      <w:pPr>
        <w:pStyle w:val="Cita"/>
      </w:pPr>
      <w:r w:rsidRPr="00E72B02">
        <w:rPr>
          <w:rStyle w:val="CitaHTML"/>
        </w:rPr>
        <w:t xml:space="preserve">Nota comentario: </w:t>
      </w:r>
      <w:r w:rsidRPr="00E72B02">
        <w:t>[…La parte IV tiene como objetivo regular las condiciones legales y de validez de la toma de decisiones con apoyos. A diferencia de lo relativo a la limitación de la capacidad de obrar, la regulación de los sistemas de apoyos están previstos en beneficio exclusivo de las personas con discapacidad y de otros grupos en especial situación de vulnerabilidad. Dado el carácter promocional y no restrictivo del ejercicio de los derechos, este marco regulatorio debiera ser en el marco de un proceso voluntario y donde la voluntad de la persona debe siempre primar tanto para la solicitud como para la cesación de las medidas de apoyo….]</w:t>
      </w:r>
    </w:p>
    <w:p w:rsidR="005C4737" w:rsidRPr="00E72B02" w:rsidRDefault="005C4737" w:rsidP="004551E9"/>
    <w:p w:rsidR="005C4737" w:rsidRPr="00F419DD" w:rsidRDefault="005C4737" w:rsidP="004551E9">
      <w:pPr>
        <w:pStyle w:val="Ttulo4"/>
        <w:rPr>
          <w:b/>
        </w:rPr>
      </w:pPr>
      <w:r w:rsidRPr="00F419DD">
        <w:rPr>
          <w:b/>
        </w:rPr>
        <w:t>Artículo 15 Sujetos que puede solicitar apoyos</w:t>
      </w:r>
    </w:p>
    <w:p w:rsidR="005C4737" w:rsidRDefault="005C4737" w:rsidP="004551E9">
      <w:r w:rsidRPr="00CE16AD">
        <w:t xml:space="preserve">Sin perjuicio de la existencia de un poder preventivo o de representación, toda persona física en razón de su edad, discapacidad, situación de vulnerabilidad social, adicción o prodigalidad podrá solicitar judicialmente el establecimiento de un régimen personalizado de medidas de apoyo para el ejercicio de la capacidad de obrar en igualdad de condiciones con los demás. Las medidas de apoyo, que podrán tener la modalidad y las formalidades establecidas en los artículos 18 y siguientes, no supondrán en ningún caso </w:t>
      </w:r>
      <w:r w:rsidRPr="00CE16AD">
        <w:lastRenderedPageBreak/>
        <w:t>una limitación en la capacidad de obrar del solicitante quien mantiene en todo momento el poder de tomar decisiones por sí mismo.  El régimen personalizado de medidas de apoyo para el ejercicio de la capacidad de obrar podrá también realizarse en escritura notarial o en instrumento privado homologado judicialmente.</w:t>
      </w:r>
    </w:p>
    <w:p w:rsidR="00F419DD" w:rsidRPr="00CE16AD" w:rsidRDefault="00F419DD" w:rsidP="004551E9"/>
    <w:p w:rsidR="005C4737" w:rsidRDefault="005C4737" w:rsidP="004551E9">
      <w:pPr>
        <w:pStyle w:val="Ttulo4"/>
        <w:rPr>
          <w:b/>
        </w:rPr>
      </w:pPr>
      <w:r w:rsidRPr="00F419DD">
        <w:rPr>
          <w:b/>
        </w:rPr>
        <w:t>Artículo 16 Del proceso de solicitud de apoyos</w:t>
      </w:r>
    </w:p>
    <w:p w:rsidR="00F419DD" w:rsidRPr="00F419DD" w:rsidRDefault="00F419DD" w:rsidP="00F419DD"/>
    <w:p w:rsidR="005C4737" w:rsidRDefault="005C4737" w:rsidP="004551E9">
      <w:r w:rsidRPr="00CE16AD">
        <w:t xml:space="preserve">Corresponde a la propia persona promover la solicitud del artículo anterior. La solicitud judicial podrá también ser promovida por cualquier persona interesada bajo la condición de que la persona beneficiaria consienta personalmente ante el juez.  El solicitante de medidas de apoyo será siempre parte el proceso y deberá contar con patrocinio letrado propio, o a falta o imposibilidad de esta, con defensa pública. El solicitante podrá en todo momento desistir de la acción o, en caso de encontrarse vigente una sentencia judicial que ordene un régimen personalizado de medidas de apoyo para al ejercicio de la capacidad de obrar, el beneficiario podrá en todo momento solicitar su suspensión o cancelación de sus efectos. El juez, o el ministerio público podrán rechazar la solicitud de desistimiento, suspensión o cancelación si sospechan que los derechos patrimoniales o personales del solicitante o beneficiario podrían estar en riesgo. En dicho caso la resolución debe estar fundada y el solicitante o beneficiario podrá aportar prueba que demuestre que la decisión no importa un riego y se tomó de forma libre e informada. </w:t>
      </w:r>
    </w:p>
    <w:p w:rsidR="00F419DD" w:rsidRPr="00CE16AD" w:rsidRDefault="00F419DD" w:rsidP="004551E9"/>
    <w:p w:rsidR="005C4737" w:rsidRPr="00F419DD" w:rsidRDefault="005C4737" w:rsidP="004551E9">
      <w:pPr>
        <w:pStyle w:val="Ttulo4"/>
        <w:rPr>
          <w:b/>
        </w:rPr>
      </w:pPr>
      <w:r w:rsidRPr="00F419DD">
        <w:rPr>
          <w:b/>
        </w:rPr>
        <w:t xml:space="preserve">Artículo 17 Principios inspiradores </w:t>
      </w:r>
    </w:p>
    <w:p w:rsidR="005C4737" w:rsidRPr="00CE16AD" w:rsidRDefault="005C4737" w:rsidP="004551E9">
      <w:r w:rsidRPr="00CE16AD">
        <w:t>Sin perjuicio de la obligación de proveer ajustes razonables o de las medidas de apoyo provistas por los poderes públicos, la formalización de un régimen personalizado de medidas de apoyo para el ejercicio de la capacidad obrar se deberán guiar por los siguientes principios:</w:t>
      </w:r>
    </w:p>
    <w:p w:rsidR="005C4737" w:rsidRPr="00CE16AD" w:rsidRDefault="005C4737" w:rsidP="004551E9">
      <w:r w:rsidRPr="00CE16AD">
        <w:lastRenderedPageBreak/>
        <w:t>1)</w:t>
      </w:r>
      <w:r w:rsidRPr="00CE16AD">
        <w:tab/>
        <w:t xml:space="preserve">La autonomía de la voluntad de la persona que en ningún momento se verá menoscaba o limitada; </w:t>
      </w:r>
    </w:p>
    <w:p w:rsidR="005C4737" w:rsidRPr="00CE16AD" w:rsidRDefault="005C4737" w:rsidP="004551E9">
      <w:r w:rsidRPr="00CE16AD">
        <w:t>2)</w:t>
      </w:r>
      <w:r w:rsidRPr="00CE16AD">
        <w:tab/>
        <w:t>El respeto a los deseos, preferencias y voluntad de la persona</w:t>
      </w:r>
    </w:p>
    <w:p w:rsidR="005C4737" w:rsidRPr="00CE16AD" w:rsidRDefault="005C4737" w:rsidP="004551E9">
      <w:r w:rsidRPr="00CE16AD">
        <w:t>3)</w:t>
      </w:r>
      <w:r w:rsidRPr="00CE16AD">
        <w:tab/>
        <w:t>La promoción de la autodeterminación de la persona y la toma de decisiones en nombre propio;</w:t>
      </w:r>
    </w:p>
    <w:p w:rsidR="005C4737" w:rsidRPr="00CE16AD" w:rsidRDefault="005C4737" w:rsidP="004551E9">
      <w:r w:rsidRPr="00CE16AD">
        <w:t>4)</w:t>
      </w:r>
      <w:r w:rsidRPr="00CE16AD">
        <w:tab/>
        <w:t>El respecto de la dignidad de la persona y de la posibilidad de equivocarse;</w:t>
      </w:r>
    </w:p>
    <w:p w:rsidR="005C4737" w:rsidRDefault="005C4737" w:rsidP="004551E9">
      <w:r w:rsidRPr="00CE16AD">
        <w:t>5)</w:t>
      </w:r>
      <w:r w:rsidRPr="00CE16AD">
        <w:tab/>
        <w:t xml:space="preserve">La igualdad y la no discriminación. </w:t>
      </w:r>
    </w:p>
    <w:p w:rsidR="00F419DD" w:rsidRPr="00CE16AD" w:rsidRDefault="00F419DD" w:rsidP="004551E9"/>
    <w:p w:rsidR="005C4737" w:rsidRPr="00F419DD" w:rsidRDefault="005C4737" w:rsidP="004551E9">
      <w:pPr>
        <w:pStyle w:val="Ttulo4"/>
        <w:rPr>
          <w:b/>
        </w:rPr>
      </w:pPr>
      <w:r w:rsidRPr="00F419DD">
        <w:rPr>
          <w:b/>
        </w:rPr>
        <w:t>Artículo 18 De los tipos de apoyo</w:t>
      </w:r>
    </w:p>
    <w:p w:rsidR="005C4737" w:rsidRDefault="005C4737" w:rsidP="004551E9">
      <w:r w:rsidRPr="00CE16AD">
        <w:t xml:space="preserve">Los apoyos para el ejercicio de la capacidad de obrar podrán ser de dos tipos. Apoyos designados por la propia persona o apoyos estatales. El establecimiento de un régimen personalizado de medidas de apoyo para el ejercicio de la capacidad de obrar podrá incluir tanto apoyos designados por la propia persona como apoyos estatales. </w:t>
      </w:r>
    </w:p>
    <w:p w:rsidR="00F419DD" w:rsidRPr="00CE16AD" w:rsidRDefault="00F419DD" w:rsidP="004551E9"/>
    <w:p w:rsidR="005C4737" w:rsidRPr="00F419DD" w:rsidRDefault="005C4737" w:rsidP="004551E9">
      <w:pPr>
        <w:pStyle w:val="Ttulo4"/>
        <w:rPr>
          <w:b/>
        </w:rPr>
      </w:pPr>
      <w:r w:rsidRPr="00F419DD">
        <w:rPr>
          <w:b/>
        </w:rPr>
        <w:t>Artículo 19 De los apoyos designados por la propia persona</w:t>
      </w:r>
    </w:p>
    <w:p w:rsidR="005C4737" w:rsidRPr="00CE16AD" w:rsidRDefault="005C4737" w:rsidP="004551E9">
      <w:r w:rsidRPr="00CE16AD">
        <w:t xml:space="preserve">A modo de ejemplo el régimen personalizado de medidas de apoyo para el ejercicio de la capacidad de obrar podrá versar sobre los siguientes tipos de apoyos: </w:t>
      </w:r>
    </w:p>
    <w:p w:rsidR="005C4737" w:rsidRPr="00CE16AD" w:rsidRDefault="005C4737" w:rsidP="004551E9">
      <w:r w:rsidRPr="00CE16AD">
        <w:t xml:space="preserve">1) Presencia de una o varias personas de confianza designadas por la persona que requiere de apoyos en relación con cierto tipo de actos jurídicos y que declaren haber discutido con la persona las consecuencias o implicaciones de dichos actos para la vida de la misma; </w:t>
      </w:r>
    </w:p>
    <w:p w:rsidR="005C4737" w:rsidRPr="00CE16AD" w:rsidRDefault="005C4737" w:rsidP="004551E9">
      <w:r w:rsidRPr="00CE16AD">
        <w:t>2) Presencia de una o varias personas de confianza designadas por la persona que requiere de apoyos en relación con cierto tipo de actos jurídicos y que puedan actuar como intérpretes de la manifestación de la voluntad o de la intención de la persona para dichos actos;</w:t>
      </w:r>
    </w:p>
    <w:p w:rsidR="005C4737" w:rsidRPr="00CE16AD" w:rsidRDefault="005C4737" w:rsidP="004551E9">
      <w:r w:rsidRPr="00CE16AD">
        <w:lastRenderedPageBreak/>
        <w:t>3) Presencia de una o varias personas de confianza designadas por la persona que requiere de apoyos en relación con cierto tipo de actos jurídicos que actúen como co-decisores;</w:t>
      </w:r>
    </w:p>
    <w:p w:rsidR="005C4737" w:rsidRDefault="005C4737" w:rsidP="004551E9">
      <w:r w:rsidRPr="00CE16AD">
        <w:t xml:space="preserve">4) Presencia de una red apoyo conformada por profesionales o por pares que le permita a la persona que solicita apoyos recibir contención en momentos de crisis o ansiedad. </w:t>
      </w:r>
    </w:p>
    <w:p w:rsidR="00F419DD" w:rsidRPr="00CE16AD" w:rsidRDefault="00F419DD" w:rsidP="004551E9"/>
    <w:p w:rsidR="005C4737" w:rsidRPr="00F419DD" w:rsidRDefault="005C4737" w:rsidP="004551E9">
      <w:pPr>
        <w:pStyle w:val="Ttulo4"/>
        <w:rPr>
          <w:b/>
        </w:rPr>
      </w:pPr>
      <w:r w:rsidRPr="00F419DD">
        <w:rPr>
          <w:b/>
        </w:rPr>
        <w:t>Artículo 20 De los apoyos estatales</w:t>
      </w:r>
    </w:p>
    <w:p w:rsidR="005C4737" w:rsidRPr="00CE16AD" w:rsidRDefault="005C4737" w:rsidP="004551E9">
      <w:r w:rsidRPr="00CE16AD">
        <w:t>El Estado a través de los organismos competentes deberá procurar la existencia de mecanismo de apoyo para el ejercicio de la capacidad de obrar en los siguientes ámbitos personales:</w:t>
      </w:r>
    </w:p>
    <w:p w:rsidR="005C4737" w:rsidRPr="00CE16AD" w:rsidRDefault="005C4737" w:rsidP="004551E9">
      <w:r w:rsidRPr="00CE16AD">
        <w:t>1)</w:t>
      </w:r>
      <w:r w:rsidRPr="00CE16AD">
        <w:tab/>
        <w:t xml:space="preserve">Apoyos sobre planificación de vida, que le permita a la persona identificar metas de vida y el tipo de decisiones que desean tomar para determinar dónde y cómo vivir,  </w:t>
      </w:r>
    </w:p>
    <w:p w:rsidR="005C4737" w:rsidRPr="00CE16AD" w:rsidRDefault="005C4737" w:rsidP="004551E9">
      <w:r w:rsidRPr="00CE16AD">
        <w:t>2)</w:t>
      </w:r>
      <w:r w:rsidRPr="00CE16AD">
        <w:tab/>
        <w:t>Apoyos para el empoderamiento de la persona, que le permita a la persona ejercer y reclamar sus derechos, así como celebrar actos o negocios jurídicos con terceros,</w:t>
      </w:r>
    </w:p>
    <w:p w:rsidR="005C4737" w:rsidRPr="00CE16AD" w:rsidRDefault="005C4737" w:rsidP="004551E9">
      <w:r w:rsidRPr="00CE16AD">
        <w:t>3)</w:t>
      </w:r>
      <w:r w:rsidRPr="00CE16AD">
        <w:tab/>
        <w:t xml:space="preserve">Apoyos para la comunicación y traducción, que le permita a la persona que generalmente utiliza formatos alternativos comunicar su intención y toda información necesaria para la conclusión del acto o negocio jurídico, </w:t>
      </w:r>
    </w:p>
    <w:p w:rsidR="005C4737" w:rsidRDefault="005C4737" w:rsidP="004551E9">
      <w:r w:rsidRPr="00CE16AD">
        <w:t>4)</w:t>
      </w:r>
      <w:r w:rsidRPr="00CE16AD">
        <w:tab/>
        <w:t>Apoyos para la construcción de relaciones sociales, que le permita a la persona aprender y participar de relaciones y redes sociales</w:t>
      </w:r>
    </w:p>
    <w:p w:rsidR="00F419DD" w:rsidRPr="00CE16AD" w:rsidRDefault="00F419DD" w:rsidP="004551E9"/>
    <w:p w:rsidR="005C4737" w:rsidRPr="00F419DD" w:rsidRDefault="005C4737" w:rsidP="004551E9">
      <w:pPr>
        <w:pStyle w:val="Ttulo4"/>
        <w:rPr>
          <w:b/>
        </w:rPr>
      </w:pPr>
      <w:r w:rsidRPr="00F419DD">
        <w:rPr>
          <w:b/>
        </w:rPr>
        <w:t>Artículo 21 Del deber de garantizar la accesibilidad para el ejercicio de la capacidad de obrar</w:t>
      </w:r>
    </w:p>
    <w:p w:rsidR="005C4737" w:rsidRDefault="005C4737" w:rsidP="004551E9">
      <w:r w:rsidRPr="00CE16AD">
        <w:t xml:space="preserve">En la formalización de todo acto o negocio jurídico donde intervenga el Estado, sea como contraparte o como tercero imparcial, tanto de forma directa como a través de organismos dependientes o sujetos al control </w:t>
      </w:r>
      <w:r w:rsidRPr="00CE16AD">
        <w:lastRenderedPageBreak/>
        <w:t xml:space="preserve">estatal, y cuando la contraparte sea una persona con discapacidad, mayor de edad o persona en situación de vulnerabilidad social, se presume que existe un deber de garantizar la accesibilidad necesaria para garantizar la igualdad de oportunidades con los demás. El Estado a través de una norma específica regulará las condiciones generales de accesibilidad para el ejercicio de la capacidad de obrar. </w:t>
      </w:r>
    </w:p>
    <w:p w:rsidR="00F419DD" w:rsidRPr="00CE16AD" w:rsidRDefault="00F419DD" w:rsidP="004551E9"/>
    <w:p w:rsidR="005C4737" w:rsidRDefault="005C4737" w:rsidP="004551E9">
      <w:pPr>
        <w:pStyle w:val="Ttulo4"/>
        <w:rPr>
          <w:b/>
        </w:rPr>
      </w:pPr>
      <w:r w:rsidRPr="00F419DD">
        <w:rPr>
          <w:b/>
        </w:rPr>
        <w:t>Artículo 22 De los ajustes razonables</w:t>
      </w:r>
    </w:p>
    <w:p w:rsidR="005C4737" w:rsidRDefault="005C4737" w:rsidP="004551E9">
      <w:r w:rsidRPr="00CE16AD">
        <w:t xml:space="preserve">En el caso del artículo precedente, y cuando la igualdad de oportunidades no pueda garantizarse a través de las condiciones generales de accesibilidad, se presume que existe para el Estado el deber de proporcionar los ajustes razonables al caso concreto siempre que no suponga una carga desproporcionada o indebida. Por ajustes razonables se entenderán las modificaciones y adaptaciones necesarias y adecuadas que no impongan una carga desproporcionada o indebida, cuando se requieran en un caso particular con el objeto de garantizar la igualdad de oportunidades la persona con discapacidad, mayor de edad, o en situación de vulnerabilidad social. </w:t>
      </w:r>
    </w:p>
    <w:p w:rsidR="00F419DD" w:rsidRPr="00CE16AD" w:rsidRDefault="00F419DD" w:rsidP="004551E9"/>
    <w:p w:rsidR="005C4737" w:rsidRPr="00F419DD" w:rsidRDefault="005C4737" w:rsidP="004551E9">
      <w:pPr>
        <w:pStyle w:val="Ttulo4"/>
        <w:rPr>
          <w:b/>
        </w:rPr>
      </w:pPr>
      <w:r w:rsidRPr="00F419DD">
        <w:rPr>
          <w:b/>
        </w:rPr>
        <w:t>Artículo 23 De la accesibilidad y de los ajustes razonables para el ejercicio de la capacidad de obrar en las relaciones entre privados</w:t>
      </w:r>
    </w:p>
    <w:p w:rsidR="005C4737" w:rsidRPr="00CE16AD" w:rsidRDefault="005C4737" w:rsidP="004551E9">
      <w:r w:rsidRPr="00CE16AD">
        <w:t xml:space="preserve">Las obligaciones estipuladas en los artículos precedentes al Estado serán aplicables a actos o negocios jurídicos ente privados cuando la persona con discapacidad, mayor de edad, o en situación de vulnerabilidad social se encuentra en una relación de desventaja con respecto a la contraparte. </w:t>
      </w:r>
    </w:p>
    <w:p w:rsidR="005C4737" w:rsidRPr="00CE16AD" w:rsidRDefault="005C4737" w:rsidP="004551E9">
      <w:r w:rsidRPr="00CE16AD">
        <w:t xml:space="preserve">Sin prejuicio de que la relación de desventaja pueda ser probada en cada caso concreto se presumirá que existe en los siguientes casos: </w:t>
      </w:r>
    </w:p>
    <w:p w:rsidR="005C4737" w:rsidRPr="00CE16AD" w:rsidRDefault="005C4737" w:rsidP="004551E9">
      <w:r w:rsidRPr="00CE16AD">
        <w:t xml:space="preserve">1) Relaciones reguladas por los derechos del consumidor; </w:t>
      </w:r>
    </w:p>
    <w:p w:rsidR="005C4737" w:rsidRPr="00CE16AD" w:rsidRDefault="005C4737" w:rsidP="004551E9">
      <w:r w:rsidRPr="00CE16AD">
        <w:t xml:space="preserve">2) Relaciones reguladas por la legislación laboral;  </w:t>
      </w:r>
    </w:p>
    <w:p w:rsidR="005C4737" w:rsidRPr="00CE16AD" w:rsidRDefault="005C4737" w:rsidP="004551E9">
      <w:r w:rsidRPr="00CE16AD">
        <w:lastRenderedPageBreak/>
        <w:t>3) Relaciones reguladas por la normativa inmobiliaria;</w:t>
      </w:r>
    </w:p>
    <w:p w:rsidR="005C4737" w:rsidRPr="00CE16AD" w:rsidRDefault="005C4737" w:rsidP="004551E9">
      <w:r w:rsidRPr="00CE16AD">
        <w:t>4) Relaciones reguladas por la normativa bancaria o financiera;</w:t>
      </w:r>
    </w:p>
    <w:p w:rsidR="005C4737" w:rsidRPr="00CE16AD" w:rsidRDefault="005C4737" w:rsidP="004551E9">
      <w:r w:rsidRPr="00CE16AD">
        <w:t>5) Relaciones reguladas por los derechos del paciente;</w:t>
      </w:r>
    </w:p>
    <w:p w:rsidR="005C4737" w:rsidRPr="00CE16AD" w:rsidRDefault="005C4737" w:rsidP="004551E9">
      <w:r w:rsidRPr="00CE16AD">
        <w:t>6) Relaciones reguladas por las profesiones libres (abogacía, contador público, arquitectos, enfermeros, etc.)</w:t>
      </w:r>
    </w:p>
    <w:p w:rsidR="005C4737" w:rsidRPr="00E72B02" w:rsidRDefault="005C4737" w:rsidP="004551E9"/>
    <w:p w:rsidR="005C4737" w:rsidRPr="00F419DD" w:rsidRDefault="00F419DD" w:rsidP="00F419DD">
      <w:pPr>
        <w:pStyle w:val="TITULO14"/>
        <w:jc w:val="both"/>
        <w:rPr>
          <w:sz w:val="24"/>
          <w:szCs w:val="24"/>
        </w:rPr>
      </w:pPr>
      <w:r w:rsidRPr="00F419DD">
        <w:rPr>
          <w:sz w:val="24"/>
          <w:szCs w:val="24"/>
        </w:rPr>
        <w:t xml:space="preserve">PARTE V </w:t>
      </w:r>
    </w:p>
    <w:p w:rsidR="005C4737" w:rsidRPr="00F419DD" w:rsidRDefault="00F419DD" w:rsidP="00F419DD">
      <w:pPr>
        <w:pStyle w:val="TITULO14"/>
        <w:jc w:val="both"/>
        <w:rPr>
          <w:sz w:val="24"/>
          <w:szCs w:val="24"/>
        </w:rPr>
      </w:pPr>
      <w:r w:rsidRPr="00F419DD">
        <w:rPr>
          <w:sz w:val="24"/>
          <w:szCs w:val="24"/>
        </w:rPr>
        <w:t>DE LOS PODERES PREVENTIVOS O DE REPRESENTACIÓN</w:t>
      </w:r>
    </w:p>
    <w:p w:rsidR="005C4737" w:rsidRPr="00E72B02" w:rsidRDefault="005C4737" w:rsidP="004551E9"/>
    <w:p w:rsidR="005C4737" w:rsidRPr="00E72B02" w:rsidRDefault="005C4737" w:rsidP="004551E9">
      <w:pPr>
        <w:pStyle w:val="Cita"/>
      </w:pPr>
      <w:r w:rsidRPr="00E72B02">
        <w:rPr>
          <w:rStyle w:val="CitaHTML"/>
        </w:rPr>
        <w:t xml:space="preserve">Nota comentario: </w:t>
      </w:r>
      <w:r w:rsidRPr="00E72B02">
        <w:t>[…La Parte V se aboca a regular los poderes preventivos o de representación como herramientas que permitan a las personas anticipar las condiciones en las cuales se podrán todas decisiones en su nombre hacia el futuro. Aunque en rigor se trata de una eventual limitación de la capacidad de obrar del sujeto, se diferencia de la tutela en tanto que es la propia persona la que decide quién y cómo se van a adoptar ciertas decisiones sobre su patrimonio o sobre su persona…]</w:t>
      </w:r>
    </w:p>
    <w:p w:rsidR="005C4737" w:rsidRPr="00E72B02" w:rsidRDefault="005C4737" w:rsidP="004551E9"/>
    <w:p w:rsidR="005C4737" w:rsidRPr="00F419DD" w:rsidRDefault="005C4737" w:rsidP="00F419DD">
      <w:pPr>
        <w:pStyle w:val="Ttulo4"/>
        <w:jc w:val="both"/>
        <w:rPr>
          <w:b/>
        </w:rPr>
      </w:pPr>
      <w:r w:rsidRPr="00F419DD">
        <w:rPr>
          <w:b/>
        </w:rPr>
        <w:t>Artículo 24 Quienes pueden suscribir poder preventivo o de representación</w:t>
      </w:r>
    </w:p>
    <w:p w:rsidR="005C4737" w:rsidRDefault="005C4737" w:rsidP="004551E9">
      <w:r w:rsidRPr="00CE16AD">
        <w:t xml:space="preserve">Toda persona física mayor de 13 (trece) años que no haya sido declarada incompetente de conformidad con lo establecido en los artículos 8 y 9 podrá suscribir un poder preventivo o de representación siempre que el mismo se haya formalizado en instrumento público notarial o mediante instrumento privado homologado judicialmente. Para su validez estos instrumentos deberán inscribirse según lo estipulado en el artículo 30. </w:t>
      </w:r>
    </w:p>
    <w:p w:rsidR="00F419DD" w:rsidRPr="00CE16AD" w:rsidRDefault="00F419DD" w:rsidP="004551E9"/>
    <w:p w:rsidR="005C4737" w:rsidRPr="00F419DD" w:rsidRDefault="005C4737" w:rsidP="004551E9">
      <w:pPr>
        <w:pStyle w:val="Ttulo4"/>
        <w:rPr>
          <w:b/>
        </w:rPr>
      </w:pPr>
      <w:r w:rsidRPr="00F419DD">
        <w:rPr>
          <w:b/>
        </w:rPr>
        <w:t xml:space="preserve">Artículo 25 Del contenido </w:t>
      </w:r>
    </w:p>
    <w:p w:rsidR="005C4737" w:rsidRPr="00CE16AD" w:rsidRDefault="005C4737" w:rsidP="004551E9">
      <w:r w:rsidRPr="00CE16AD">
        <w:lastRenderedPageBreak/>
        <w:t xml:space="preserve">Los poderes preventivos o de representación se deberán interpretar conforme a los siguientes principios: </w:t>
      </w:r>
    </w:p>
    <w:p w:rsidR="005C4737" w:rsidRPr="00CE16AD" w:rsidRDefault="005C4737" w:rsidP="004551E9">
      <w:r w:rsidRPr="00CE16AD">
        <w:t>1)</w:t>
      </w:r>
      <w:r w:rsidRPr="00CE16AD">
        <w:tab/>
        <w:t>El otorgante sólo podrá otorgar poder sobre aquello que al momento del otorgamiento está capacitado para decidir en nombre propio.</w:t>
      </w:r>
    </w:p>
    <w:p w:rsidR="005C4737" w:rsidRPr="00CE16AD" w:rsidRDefault="005C4737" w:rsidP="004551E9">
      <w:r w:rsidRPr="00CE16AD">
        <w:t>2)</w:t>
      </w:r>
      <w:r w:rsidRPr="00CE16AD">
        <w:tab/>
        <w:t xml:space="preserve">Los mandatos o instrucciones deberán ser lo más precisas posible debiendo distinguir entre aspectos patrimoniales o personales. El mandato o instrucción que designa a una persona para tomar todas las decisiones generales relativas a una persona se considerará como nula o no escrita. </w:t>
      </w:r>
    </w:p>
    <w:p w:rsidR="005C4737" w:rsidRPr="00CE16AD" w:rsidRDefault="005C4737" w:rsidP="004551E9">
      <w:r w:rsidRPr="00CE16AD">
        <w:t>3)</w:t>
      </w:r>
      <w:r w:rsidRPr="00CE16AD">
        <w:tab/>
        <w:t xml:space="preserve">Ante duda o conflicto de interpretación de un mandato o instrucción se deberá optar por la solución más cercana al interés particular del otorgante. Por interés particular se deberá entender lo señalado en el artículo 14. </w:t>
      </w:r>
    </w:p>
    <w:p w:rsidR="005C4737" w:rsidRDefault="005C4737" w:rsidP="004551E9">
      <w:r w:rsidRPr="00CE16AD">
        <w:t>4)</w:t>
      </w:r>
      <w:r w:rsidRPr="00CE16AD">
        <w:tab/>
        <w:t xml:space="preserve">Los mandatos o instrucciones deberán señalar de forma inequívoca el momento o las condiciones que determinen su entrada en vigor. </w:t>
      </w:r>
    </w:p>
    <w:p w:rsidR="00F419DD" w:rsidRPr="00CE16AD" w:rsidRDefault="00F419DD" w:rsidP="004551E9"/>
    <w:p w:rsidR="005C4737" w:rsidRPr="00F419DD" w:rsidRDefault="005C4737" w:rsidP="004551E9">
      <w:pPr>
        <w:pStyle w:val="Ttulo4"/>
        <w:rPr>
          <w:b/>
        </w:rPr>
      </w:pPr>
      <w:r w:rsidRPr="00F419DD">
        <w:rPr>
          <w:b/>
        </w:rPr>
        <w:t>Artículo 26 Poder preventivo</w:t>
      </w:r>
    </w:p>
    <w:p w:rsidR="005C4737" w:rsidRDefault="005C4737" w:rsidP="004551E9">
      <w:r w:rsidRPr="00CE16AD">
        <w:t xml:space="preserve">Se considerará que existe un poder preventivo cuando una persona suscribe un documento con mandatos o instrucciones sobre su patrimonio o sobre decisiones que afectan a su persona con afecto hacia futuro y sin nombrar específicamente a una persona que le represente o tome las citadas decisiones. Cuando el mandato o instrucción involucre actos de disposición del patrimonio, o decisiones sobre el fin de vida, las mismas deberán resultar claras y precisas. Para su validez el poder preventivo deberá indicar de forma precisa el momento o las condiciones que determinan su entrada en vigor. </w:t>
      </w:r>
    </w:p>
    <w:p w:rsidR="00F419DD" w:rsidRPr="00CE16AD" w:rsidRDefault="00F419DD" w:rsidP="004551E9"/>
    <w:p w:rsidR="005C4737" w:rsidRPr="00F419DD" w:rsidRDefault="005C4737" w:rsidP="004551E9">
      <w:pPr>
        <w:pStyle w:val="Ttulo4"/>
        <w:rPr>
          <w:b/>
        </w:rPr>
      </w:pPr>
      <w:r w:rsidRPr="00F419DD">
        <w:rPr>
          <w:b/>
        </w:rPr>
        <w:t>Artículo 27 Situaciones de urgencia</w:t>
      </w:r>
    </w:p>
    <w:p w:rsidR="005C4737" w:rsidRDefault="005C4737" w:rsidP="004551E9">
      <w:r w:rsidRPr="00CE16AD">
        <w:t xml:space="preserve">Ante situación de urgencia cualquier persona podrá presentar copia simple de un poder preventivo o suscribir una declaración jurada que acredite su </w:t>
      </w:r>
      <w:r w:rsidRPr="00CE16AD">
        <w:lastRenderedPageBreak/>
        <w:t xml:space="preserve">conocimiento de la existencia de un poder preventivo y de que existe un mando o instrucción en un determinado sentido el cual le bastará a quien o quienes deban autorizar actos o negocios jurídicos con efectos sobre el patrimonio o la persona del presunto otorgante para aceptar como válida la voluntad de este ultimo. La persona que haya presentado la copia simple o la declaración jurada en los términos de este artículo deberá presentar dentro de un plazo de 30 días corridos la acreditación. </w:t>
      </w:r>
    </w:p>
    <w:p w:rsidR="00F419DD" w:rsidRPr="00CE16AD" w:rsidRDefault="00F419DD" w:rsidP="004551E9"/>
    <w:p w:rsidR="005C4737" w:rsidRPr="00F419DD" w:rsidRDefault="005C4737" w:rsidP="004551E9">
      <w:pPr>
        <w:pStyle w:val="Ttulo4"/>
        <w:rPr>
          <w:b/>
        </w:rPr>
      </w:pPr>
      <w:r w:rsidRPr="00F419DD">
        <w:rPr>
          <w:b/>
        </w:rPr>
        <w:t>Artículo 28 Poder de representación</w:t>
      </w:r>
    </w:p>
    <w:p w:rsidR="005C4737" w:rsidRDefault="005C4737" w:rsidP="004551E9">
      <w:r w:rsidRPr="00CE16AD">
        <w:t xml:space="preserve">Se considerará que existe un poder de representación cuando una persona suscribe un documento donde nombra a una o varias personas para tomar decisiones que afectan a su patrimonio o sobre decisiones que afectan a su persona con afecto hacia futuro. Sin perjuicio de que el mandato designe a una o varias personas para tomar decisiones, el otorgante podrá indicar el modo o criterios sobre cómo se deben tomar dichas decisiones. Para su validez el poder preventivo deberá indicar de forma precisa el momento o las condiciones que determinan su entrada en vigor. </w:t>
      </w:r>
    </w:p>
    <w:p w:rsidR="00F419DD" w:rsidRPr="00CE16AD" w:rsidRDefault="00F419DD" w:rsidP="004551E9"/>
    <w:p w:rsidR="005C4737" w:rsidRPr="00F419DD" w:rsidRDefault="005C4737" w:rsidP="004551E9">
      <w:pPr>
        <w:pStyle w:val="Ttulo4"/>
        <w:rPr>
          <w:b/>
        </w:rPr>
      </w:pPr>
      <w:r w:rsidRPr="00F419DD">
        <w:rPr>
          <w:b/>
        </w:rPr>
        <w:t>Artículo 29 Quienes pueden ser apoderados</w:t>
      </w:r>
    </w:p>
    <w:p w:rsidR="005C4737" w:rsidRPr="00CE16AD" w:rsidRDefault="005C4737" w:rsidP="004551E9">
      <w:r w:rsidRPr="00CE16AD">
        <w:t xml:space="preserve">Podrán ser designados como apoderados una o varias de las siguientes personas: </w:t>
      </w:r>
    </w:p>
    <w:p w:rsidR="005C4737" w:rsidRPr="00CE16AD" w:rsidRDefault="005C4737" w:rsidP="004551E9">
      <w:r w:rsidRPr="00CE16AD">
        <w:t>1)</w:t>
      </w:r>
      <w:r w:rsidRPr="00CE16AD">
        <w:tab/>
        <w:t xml:space="preserve">Un persona física mayor de edad; </w:t>
      </w:r>
    </w:p>
    <w:p w:rsidR="005C4737" w:rsidRPr="00CE16AD" w:rsidRDefault="005C4737" w:rsidP="004551E9">
      <w:r w:rsidRPr="00CE16AD">
        <w:t>2)</w:t>
      </w:r>
      <w:r w:rsidRPr="00CE16AD">
        <w:tab/>
        <w:t xml:space="preserve">Una Red de apoyo; </w:t>
      </w:r>
    </w:p>
    <w:p w:rsidR="005C4737" w:rsidRPr="00CE16AD" w:rsidRDefault="005C4737" w:rsidP="004551E9">
      <w:r w:rsidRPr="00CE16AD">
        <w:t>3)</w:t>
      </w:r>
      <w:r w:rsidRPr="00CE16AD">
        <w:tab/>
        <w:t xml:space="preserve">Una organización sin fines de lucro que tenga como objeto social promover los apoyos a las personas con discapacidad, adultos mayores, o personas en situación de vulnerabilidad social. </w:t>
      </w:r>
    </w:p>
    <w:p w:rsidR="005C4737" w:rsidRDefault="005C4737" w:rsidP="004551E9">
      <w:r w:rsidRPr="00CE16AD">
        <w:t xml:space="preserve">El otorgante podrá designar a una o varias personas para adoptar todas la decisiones señaladas en el poder o podrá designar a personas diferentes para diferentes tipos de decisiones. En el primero de los casos cuando sean dos o </w:t>
      </w:r>
      <w:r w:rsidRPr="00CE16AD">
        <w:lastRenderedPageBreak/>
        <w:t xml:space="preserve">más personas las mismas deberán, salvo indicación en contrario, tomar decisiones de forma unánime. </w:t>
      </w:r>
    </w:p>
    <w:p w:rsidR="00F419DD" w:rsidRPr="00F419DD" w:rsidRDefault="00F419DD" w:rsidP="004551E9">
      <w:pPr>
        <w:rPr>
          <w:b/>
        </w:rPr>
      </w:pPr>
    </w:p>
    <w:p w:rsidR="005C4737" w:rsidRPr="00F419DD" w:rsidRDefault="005C4737" w:rsidP="004551E9">
      <w:pPr>
        <w:pStyle w:val="Ttulo4"/>
        <w:rPr>
          <w:b/>
        </w:rPr>
      </w:pPr>
      <w:r w:rsidRPr="00F419DD">
        <w:rPr>
          <w:b/>
        </w:rPr>
        <w:t>Artículo 30 Publicidad y oponibilidad</w:t>
      </w:r>
    </w:p>
    <w:p w:rsidR="005C4737" w:rsidRPr="00E72B02" w:rsidRDefault="005C4737" w:rsidP="004551E9">
      <w:r w:rsidRPr="00CE16AD">
        <w:t xml:space="preserve">Los poderes preventivos o de representación y los regímenes personalizados de apoyo para el ejercicio de la capacidad de obrar para ser oponible a terceros de buena fe, deberán gozar de publicidad registral.  La inscripción se ordenará por autoridad judicial o notarial y tendrá un carácter constitutivo. Sin perjuicio de ello la existencia de tales documentos sin mediar registración deberán tomarse como indicio de expresión de voluntad de la persona si la misma es posteriormente cuestionada judicialmente o es imposible obtenerla. </w:t>
      </w:r>
    </w:p>
    <w:p w:rsidR="005C4737" w:rsidRPr="00E72B02" w:rsidRDefault="005C4737" w:rsidP="004551E9"/>
    <w:p w:rsidR="005C4737" w:rsidRPr="00F419DD" w:rsidRDefault="00F419DD" w:rsidP="00F419DD">
      <w:pPr>
        <w:pStyle w:val="TITULO14"/>
        <w:jc w:val="both"/>
        <w:rPr>
          <w:sz w:val="24"/>
          <w:szCs w:val="24"/>
        </w:rPr>
      </w:pPr>
      <w:r w:rsidRPr="00F419DD">
        <w:rPr>
          <w:sz w:val="24"/>
          <w:szCs w:val="24"/>
        </w:rPr>
        <w:t>PARTE VI</w:t>
      </w:r>
    </w:p>
    <w:p w:rsidR="005C4737" w:rsidRPr="00F419DD" w:rsidRDefault="00F419DD" w:rsidP="00F419DD">
      <w:pPr>
        <w:pStyle w:val="TITULO14"/>
        <w:jc w:val="both"/>
        <w:rPr>
          <w:sz w:val="24"/>
          <w:szCs w:val="24"/>
        </w:rPr>
      </w:pPr>
      <w:r w:rsidRPr="00F419DD">
        <w:rPr>
          <w:sz w:val="24"/>
          <w:szCs w:val="24"/>
        </w:rPr>
        <w:t xml:space="preserve">DE LOS DERECHOS CIVILES </w:t>
      </w:r>
    </w:p>
    <w:p w:rsidR="005C4737" w:rsidRPr="00E72B02" w:rsidRDefault="005C4737" w:rsidP="004551E9"/>
    <w:p w:rsidR="005C4737" w:rsidRPr="00E72B02" w:rsidRDefault="005C4737" w:rsidP="004551E9">
      <w:r w:rsidRPr="00E72B02">
        <w:rPr>
          <w:rStyle w:val="CitaHTML"/>
        </w:rPr>
        <w:t>Nota comentario</w:t>
      </w:r>
      <w:r w:rsidRPr="00E72B02">
        <w:rPr>
          <w:rStyle w:val="CitaHTML"/>
          <w:i w:val="0"/>
        </w:rPr>
        <w:t xml:space="preserve">: </w:t>
      </w:r>
      <w:r w:rsidRPr="00E72B02">
        <w:t xml:space="preserve">[…La Parte VI se aboca a regular aspectos básicos sobre el ejercicio de los derechos civiles más fundamentales de las personas. Aunque esta parte tiene una aplicación general respecto de todas las personas físicas, tienen especial importancia respecto del reconocimiento y ejercicio de la capacidad de obrar de las personas con discapacidad, lo que luego se proyecta a la protección de otros derechos fundamentales como la vida, la integridad física y psíquica, la libertad, la igualdad y la dignidad. Se considera oportuno regular en el marco del derecho a la libertad las condiciones legales que habilitan que cualquier persona física pueda ser obligada a someterse a un tratamiento médico que incluso excepcionalmente suponga una limitación temporal del derecho a la libertad…]   </w:t>
      </w:r>
    </w:p>
    <w:p w:rsidR="005C4737" w:rsidRPr="00F419DD" w:rsidRDefault="005C4737" w:rsidP="004551E9">
      <w:pPr>
        <w:rPr>
          <w:b/>
        </w:rPr>
      </w:pPr>
    </w:p>
    <w:p w:rsidR="005C4737" w:rsidRPr="00F419DD" w:rsidRDefault="005C4737" w:rsidP="004551E9">
      <w:pPr>
        <w:pStyle w:val="Ttulo4"/>
        <w:rPr>
          <w:b/>
        </w:rPr>
      </w:pPr>
      <w:r w:rsidRPr="00F419DD">
        <w:rPr>
          <w:b/>
        </w:rPr>
        <w:t>Artículo 31 Características de los derechos civiles</w:t>
      </w:r>
    </w:p>
    <w:p w:rsidR="005C4737" w:rsidRDefault="005C4737" w:rsidP="004551E9">
      <w:r w:rsidRPr="00CE16AD">
        <w:lastRenderedPageBreak/>
        <w:t xml:space="preserve">Todas las personas físicas dotadas de personalidad jurídica gozan de los derechos civiles incluidos en el presente título. Los derechos aquí amparados son de orden público, inalienables, e irrenunciables. Ninguna persona podrá ejercer su derecho con la intención de dañar a otro o de un modo excesivo o irrazonable contrario a la buena fe. </w:t>
      </w:r>
    </w:p>
    <w:p w:rsidR="00F419DD" w:rsidRPr="00CE16AD" w:rsidRDefault="00F419DD" w:rsidP="004551E9"/>
    <w:p w:rsidR="005C4737" w:rsidRPr="00F419DD" w:rsidRDefault="005C4737" w:rsidP="004551E9">
      <w:pPr>
        <w:pStyle w:val="Ttulo4"/>
        <w:rPr>
          <w:b/>
        </w:rPr>
      </w:pPr>
      <w:r w:rsidRPr="00F419DD">
        <w:rPr>
          <w:b/>
        </w:rPr>
        <w:t>Artículo 32 De la protección de la vida</w:t>
      </w:r>
    </w:p>
    <w:p w:rsidR="005C4737" w:rsidRDefault="005C4737" w:rsidP="004551E9">
      <w:r w:rsidRPr="00CE16AD">
        <w:t xml:space="preserve">Todo ser humano tiene derecho a la protección de su vida sin discriminación y en igualdad de condiciones con los demás. </w:t>
      </w:r>
    </w:p>
    <w:p w:rsidR="00F419DD" w:rsidRPr="00F419DD" w:rsidRDefault="00F419DD" w:rsidP="004551E9">
      <w:pPr>
        <w:rPr>
          <w:b/>
        </w:rPr>
      </w:pPr>
    </w:p>
    <w:p w:rsidR="005C4737" w:rsidRPr="00F419DD" w:rsidRDefault="005C4737" w:rsidP="004551E9">
      <w:pPr>
        <w:pStyle w:val="Ttulo4"/>
        <w:rPr>
          <w:b/>
        </w:rPr>
      </w:pPr>
      <w:r w:rsidRPr="00F419DD">
        <w:rPr>
          <w:b/>
        </w:rPr>
        <w:t xml:space="preserve"> Artículo 33 Dignidad</w:t>
      </w:r>
    </w:p>
    <w:p w:rsidR="005C4737" w:rsidRDefault="005C4737" w:rsidP="004551E9">
      <w:r w:rsidRPr="00CE16AD">
        <w:t>Toda persona tiene derecho al respecto de su dignidad inherente. Se considerará una vulneración del derecho a la dignidad toda acción u omisión que tenga como propósito o como efecto denigrar, injuriar, u ofender a una persona que pertenezca a un grupo de especial vulnerabilidad social o que haya sido históricamente discriminado.</w:t>
      </w:r>
    </w:p>
    <w:p w:rsidR="00F419DD" w:rsidRPr="00CE16AD" w:rsidRDefault="00F419DD" w:rsidP="004551E9"/>
    <w:p w:rsidR="005C4737" w:rsidRPr="00F419DD" w:rsidRDefault="005C4737" w:rsidP="004551E9">
      <w:pPr>
        <w:pStyle w:val="Ttulo4"/>
        <w:rPr>
          <w:b/>
        </w:rPr>
      </w:pPr>
      <w:r w:rsidRPr="00F419DD">
        <w:rPr>
          <w:b/>
        </w:rPr>
        <w:t>Articulo 34 Protección de la intimidad y la vida privada</w:t>
      </w:r>
    </w:p>
    <w:p w:rsidR="005C4737" w:rsidRDefault="005C4737" w:rsidP="004551E9">
      <w:r w:rsidRPr="00CE16AD">
        <w:t>Toda persona física tiene derecho a la protección de su intimidad y de la vida privada. Sin perjuicio de la reparación del daño sufrido, los jueces podrán prescribir toda clase de medidas tales como secuestro, embargo y demás, propias para impedir o cesar un ataque a la intimidad de la vida privada; en caso de necesidad estas medidas podrán ordenarse por procedimiento de urgencia.</w:t>
      </w:r>
    </w:p>
    <w:p w:rsidR="00F419DD" w:rsidRPr="00F419DD" w:rsidRDefault="00F419DD" w:rsidP="004551E9">
      <w:pPr>
        <w:rPr>
          <w:b/>
        </w:rPr>
      </w:pPr>
    </w:p>
    <w:p w:rsidR="005C4737" w:rsidRPr="00F419DD" w:rsidRDefault="005C4737" w:rsidP="004551E9">
      <w:pPr>
        <w:pStyle w:val="Ttulo4"/>
        <w:rPr>
          <w:b/>
        </w:rPr>
      </w:pPr>
      <w:r w:rsidRPr="00F419DD">
        <w:rPr>
          <w:b/>
        </w:rPr>
        <w:t>Artículo 35 Protección de datos personales</w:t>
      </w:r>
    </w:p>
    <w:p w:rsidR="005C4737" w:rsidRDefault="005C4737" w:rsidP="004551E9">
      <w:r w:rsidRPr="00CE16AD">
        <w:t xml:space="preserve">Toda persona física tiene derecho a la protección integral de los datos personales asentados en archivos, registros, bancos de datos, u otros medios técnicos de tratamiento de datos, sean éstos públicos, o privados destinados a dar informes, para garantizar el derecho al honor y a la intimidad de las </w:t>
      </w:r>
      <w:r w:rsidRPr="00CE16AD">
        <w:lastRenderedPageBreak/>
        <w:t>personas, así como también el acceso a la información que sobre las mismas se registre.</w:t>
      </w:r>
    </w:p>
    <w:p w:rsidR="00F419DD" w:rsidRPr="00CE16AD" w:rsidRDefault="00F419DD" w:rsidP="004551E9"/>
    <w:p w:rsidR="005C4737" w:rsidRPr="00F419DD" w:rsidRDefault="005C4737" w:rsidP="004551E9">
      <w:pPr>
        <w:pStyle w:val="Ttulo4"/>
        <w:rPr>
          <w:b/>
        </w:rPr>
      </w:pPr>
      <w:r w:rsidRPr="00F419DD">
        <w:rPr>
          <w:b/>
        </w:rPr>
        <w:t>Artículo 36 Derecho a la no discriminación</w:t>
      </w:r>
    </w:p>
    <w:p w:rsidR="005C4737" w:rsidRDefault="005C4737" w:rsidP="004551E9">
      <w:r w:rsidRPr="00CE16AD">
        <w:t xml:space="preserve">Ninguna persona física podrá ser discriminada. Si considerará que existe discriminación cualquier distinción, exclusión, o restricción  por motivo de género, edad, ideología, raza o etnia, condición social, discapacidad, opciones sexuales, o de otro tipo, que tenga el propósito o el efecto de limitar o restringir el goce y ejercicio de los derechos amparados por el ordenamiento jurídico nacional y los derechos amparados por los tratados internacionales en igualdad de condiciones con los demás. </w:t>
      </w:r>
    </w:p>
    <w:p w:rsidR="00F419DD" w:rsidRPr="00CE16AD" w:rsidRDefault="00F419DD" w:rsidP="004551E9"/>
    <w:p w:rsidR="005C4737" w:rsidRPr="00F419DD" w:rsidRDefault="005C4737" w:rsidP="004551E9">
      <w:pPr>
        <w:pStyle w:val="Ttulo4"/>
        <w:rPr>
          <w:b/>
        </w:rPr>
      </w:pPr>
      <w:r w:rsidRPr="00F419DD">
        <w:rPr>
          <w:b/>
        </w:rPr>
        <w:t xml:space="preserve">Artículo 37 Respecto a la libertad y a la integridad física y psíquica </w:t>
      </w:r>
    </w:p>
    <w:p w:rsidR="005C4737" w:rsidRDefault="005C4737" w:rsidP="004551E9">
      <w:r w:rsidRPr="00CE16AD">
        <w:t>Toda persona física tiene derecho a la protección de su libertad e integridad física o psíquica sin discriminación y en igualdad de condiciones con los demás. Nadie podrá ser obligado contra su voluntad a ingresar a una institución para cuidados médicos o asistenciales, o a recibir tratamiento o intervención médica. La declaración de incompetencia de una persona para tomar decisiones de carácter personal conforme artículo 8, no autoriza a su facilitador o a cualquier familiar, a otorgar consentimiento con, o por, la persona en este tipo de decisiones.</w:t>
      </w:r>
    </w:p>
    <w:p w:rsidR="00F419DD" w:rsidRPr="00F419DD" w:rsidRDefault="00F419DD" w:rsidP="004551E9">
      <w:pPr>
        <w:rPr>
          <w:b/>
        </w:rPr>
      </w:pPr>
    </w:p>
    <w:p w:rsidR="005C4737" w:rsidRPr="00F419DD" w:rsidRDefault="005C4737" w:rsidP="004551E9">
      <w:pPr>
        <w:pStyle w:val="Ttulo4"/>
        <w:rPr>
          <w:b/>
        </w:rPr>
      </w:pPr>
      <w:r w:rsidRPr="00F419DD">
        <w:rPr>
          <w:b/>
        </w:rPr>
        <w:t xml:space="preserve">Artículo 38 Excepciones </w:t>
      </w:r>
    </w:p>
    <w:p w:rsidR="005C4737" w:rsidRPr="00CE16AD" w:rsidRDefault="005C4737" w:rsidP="004551E9">
      <w:r w:rsidRPr="00CE16AD">
        <w:t xml:space="preserve">No se requerirá de la voluntad de la persona para su ingreso a una institución para cuidados médicos o asistenciales, o a recibir tratamiento o intervención médica en las siguientes situaciones: </w:t>
      </w:r>
    </w:p>
    <w:p w:rsidR="005C4737" w:rsidRPr="00CE16AD" w:rsidRDefault="005C4737" w:rsidP="004551E9">
      <w:r w:rsidRPr="00CE16AD">
        <w:t xml:space="preserve">1) En situaciones de salud pública o emergencia sanitaria decretadas por el Poder Ejecutivo o autoridad competente; </w:t>
      </w:r>
    </w:p>
    <w:p w:rsidR="005C4737" w:rsidRPr="00CE16AD" w:rsidRDefault="005C4737" w:rsidP="004551E9">
      <w:r w:rsidRPr="00CE16AD">
        <w:t>2) En situaciones de grave e inminente riesgo de muerte para la persona;</w:t>
      </w:r>
    </w:p>
    <w:p w:rsidR="005C4737" w:rsidRDefault="005C4737" w:rsidP="004551E9">
      <w:r w:rsidRPr="00CE16AD">
        <w:lastRenderedPageBreak/>
        <w:t xml:space="preserve">3) En situaciones de grave e inminente riesgo de lesión irreparable para la integridad física y psíquica de la persona.    </w:t>
      </w:r>
    </w:p>
    <w:p w:rsidR="00F419DD" w:rsidRPr="00CE16AD" w:rsidRDefault="00F419DD" w:rsidP="004551E9"/>
    <w:p w:rsidR="005C4737" w:rsidRPr="00F419DD" w:rsidRDefault="005C4737" w:rsidP="004551E9">
      <w:pPr>
        <w:pStyle w:val="Ttulo4"/>
        <w:rPr>
          <w:b/>
        </w:rPr>
      </w:pPr>
      <w:r w:rsidRPr="00F419DD">
        <w:rPr>
          <w:b/>
        </w:rPr>
        <w:t>Artículo 39 Ingreso y tratamiento involuntario</w:t>
      </w:r>
    </w:p>
    <w:p w:rsidR="005C4737" w:rsidRPr="00CE16AD" w:rsidRDefault="005C4737" w:rsidP="004551E9">
      <w:r w:rsidRPr="00CE16AD">
        <w:t xml:space="preserve">No se requerirá de la voluntad de la persona para su ingreso a una institución para cuidados médicos o asistenciales, o a recibir tratamiento o intervención médica en situaciones de riesgo grave e inminente riesgo de muerte, o de lesión irreparable para la integridad física y psíquica de la persona siempre que exista una resolución judicial donde se acredite sumariamente los siguiente recaudos: </w:t>
      </w:r>
    </w:p>
    <w:p w:rsidR="005C4737" w:rsidRPr="00CE16AD" w:rsidRDefault="005C4737" w:rsidP="004551E9">
      <w:r w:rsidRPr="00CE16AD">
        <w:t xml:space="preserve">1) Que se demuestre que ningún otra medida menos restrictiva es posible o efectiva; </w:t>
      </w:r>
    </w:p>
    <w:p w:rsidR="005C4737" w:rsidRPr="00CE16AD" w:rsidRDefault="005C4737" w:rsidP="004551E9">
      <w:r w:rsidRPr="00CE16AD">
        <w:t>2) Que se acredite de forma fehaciente el riesgo grave e inminente de muerte o de lesión irreparable para la integridad física y psíquica de la persona. La existencia de una discapacidad, edad avanzada, o situación de vulnerabilidad social, nunca podrá ser prueba suficiente para acreditar el riesgo grave e inminente.</w:t>
      </w:r>
    </w:p>
    <w:p w:rsidR="005C4737" w:rsidRPr="00CE16AD" w:rsidRDefault="005C4737" w:rsidP="004551E9">
      <w:r w:rsidRPr="00CE16AD">
        <w:t xml:space="preserve">3) Que se establezca de forma precisa y detallada el tratamiento médico o asistencial a llevarse a cabo, el profesional o equipo responsable, la modalidad, el tiempo necesario y el mecanismo control del mismo. Cualquier otra práctica o tratamiento no autorizado en la sentencia judicial que sea objeto la persona se considerará falta grave del profesional o equipo responsable. </w:t>
      </w:r>
    </w:p>
    <w:p w:rsidR="005C4737" w:rsidRDefault="005C4737" w:rsidP="004551E9">
      <w:r w:rsidRPr="00CE16AD">
        <w:t xml:space="preserve">4) Que la evaluación del riesgo grave e inminente de muerte o de de lesión irreparable para la integridad física y psíquica de la persona se base en al menos un dictamen médico, un dictamen psicológico y un dictamen de trabajador social que de forma unánime así lo determinen.  </w:t>
      </w:r>
    </w:p>
    <w:p w:rsidR="00F419DD" w:rsidRPr="00F419DD" w:rsidRDefault="00F419DD" w:rsidP="004551E9">
      <w:pPr>
        <w:rPr>
          <w:b/>
        </w:rPr>
      </w:pPr>
    </w:p>
    <w:p w:rsidR="005C4737" w:rsidRPr="00F419DD" w:rsidRDefault="005C4737" w:rsidP="004551E9">
      <w:pPr>
        <w:pStyle w:val="Ttulo4"/>
        <w:rPr>
          <w:b/>
        </w:rPr>
      </w:pPr>
      <w:r w:rsidRPr="00F419DD">
        <w:rPr>
          <w:b/>
        </w:rPr>
        <w:t>Artículo 40 Del proceso</w:t>
      </w:r>
    </w:p>
    <w:p w:rsidR="005C4737" w:rsidRDefault="005C4737" w:rsidP="004551E9">
      <w:r w:rsidRPr="00CE16AD">
        <w:lastRenderedPageBreak/>
        <w:t>El proceso referido en el artículo precedente será de carácter contradictorio. La persona objeto de la intervención será parte en el proceso y deberá contar con patrocinio letrado, o a falta de este, con la defensa pública. Corresponde a quien solicite la intervención la carga de prueba de todos los requisitos del artículo precedente.</w:t>
      </w:r>
    </w:p>
    <w:p w:rsidR="00F419DD" w:rsidRPr="00CE16AD" w:rsidRDefault="00F419DD" w:rsidP="004551E9"/>
    <w:p w:rsidR="005C4737" w:rsidRPr="00F419DD" w:rsidRDefault="005C4737" w:rsidP="004551E9">
      <w:pPr>
        <w:pStyle w:val="Ttulo4"/>
        <w:rPr>
          <w:b/>
        </w:rPr>
      </w:pPr>
      <w:r w:rsidRPr="00F419DD">
        <w:rPr>
          <w:b/>
        </w:rPr>
        <w:t xml:space="preserve">Artículo 41 Efectos </w:t>
      </w:r>
    </w:p>
    <w:p w:rsidR="005C4737" w:rsidRDefault="005C4737" w:rsidP="004551E9">
      <w:r w:rsidRPr="00CE16AD">
        <w:t xml:space="preserve">La sentencia que decrete la intervención sobre la persona tendrá efectos únicamente respecto del ingreso, permanencia y condiciones del tratamiento necesario para evitar el riesgo grave e inminente de muerte o de lesión irreparable para la integridad física y psíquica de la persona. Para el resto de decisiones la persona conserva su plena capacidad de obrar.   </w:t>
      </w:r>
    </w:p>
    <w:p w:rsidR="00F419DD" w:rsidRPr="00CE16AD" w:rsidRDefault="00F419DD" w:rsidP="004551E9"/>
    <w:p w:rsidR="005C4737" w:rsidRPr="00F419DD" w:rsidRDefault="005C4737" w:rsidP="004551E9">
      <w:pPr>
        <w:pStyle w:val="Ttulo4"/>
        <w:rPr>
          <w:b/>
        </w:rPr>
      </w:pPr>
      <w:r w:rsidRPr="00F419DD">
        <w:rPr>
          <w:b/>
        </w:rPr>
        <w:t>Artículo 42 Protección de cuerpo humano</w:t>
      </w:r>
    </w:p>
    <w:p w:rsidR="005C4737" w:rsidRDefault="005C4737" w:rsidP="004551E9">
      <w:r w:rsidRPr="00CE16AD">
        <w:t xml:space="preserve">Toda persona física tiene derecho a la protección de su cuerpo incluso luego de su muerte. Se prohíbe toda esterilización o práctica que tenga como objeto anular los órganos reproductivos de la persona, sin el respectivo consentimiento libre e informado.  </w:t>
      </w:r>
    </w:p>
    <w:p w:rsidR="00F419DD" w:rsidRPr="00F419DD" w:rsidRDefault="00F419DD" w:rsidP="004551E9">
      <w:pPr>
        <w:rPr>
          <w:b/>
        </w:rPr>
      </w:pPr>
    </w:p>
    <w:p w:rsidR="005C4737" w:rsidRPr="00F419DD" w:rsidRDefault="005C4737" w:rsidP="004551E9">
      <w:pPr>
        <w:pStyle w:val="Ttulo4"/>
        <w:rPr>
          <w:b/>
        </w:rPr>
      </w:pPr>
      <w:r w:rsidRPr="00F419DD">
        <w:rPr>
          <w:b/>
        </w:rPr>
        <w:t xml:space="preserve">Artículo 43 Derecho a la inscripción </w:t>
      </w:r>
    </w:p>
    <w:p w:rsidR="005C4737" w:rsidRDefault="005C4737" w:rsidP="004551E9">
      <w:r w:rsidRPr="00CE16AD">
        <w:t xml:space="preserve">Toda persona física que nazca en territorio nacional tiene derecho a su inscripción inmediata y gratuita en el registro de la personas, a un nombre, a un documento nacional de identidad y a la nacionalidad. Sin perjuicio de ello la falta de inscripción no le priva a la persona de goce y ejercicio de los derechos civiles reconocidos en este título. </w:t>
      </w:r>
    </w:p>
    <w:p w:rsidR="00F419DD" w:rsidRPr="00CE16AD" w:rsidRDefault="00F419DD" w:rsidP="004551E9"/>
    <w:p w:rsidR="005C4737" w:rsidRPr="00F419DD" w:rsidRDefault="005C4737" w:rsidP="004551E9">
      <w:pPr>
        <w:pStyle w:val="Ttulo4"/>
        <w:rPr>
          <w:b/>
        </w:rPr>
      </w:pPr>
      <w:r w:rsidRPr="00F419DD">
        <w:rPr>
          <w:b/>
        </w:rPr>
        <w:t>Artículo 44 Derecho a la identidad de filiación</w:t>
      </w:r>
    </w:p>
    <w:p w:rsidR="005C4737" w:rsidRDefault="005C4737" w:rsidP="004551E9">
      <w:r w:rsidRPr="00CE16AD">
        <w:t xml:space="preserve">Toda persona tiene derecho a conocer la identidad de sus progenitores o de sus hijos o nietos. Cuando sea absolutamente necesario y existan indicios, el juez podrá ordenar que una o varias personas presenten material genético </w:t>
      </w:r>
      <w:r w:rsidRPr="00CE16AD">
        <w:lastRenderedPageBreak/>
        <w:t xml:space="preserve">que permita una prueba de ADN siempre que dichas muestras se obtengan por técnicas no invasivas. </w:t>
      </w:r>
    </w:p>
    <w:p w:rsidR="00F419DD" w:rsidRPr="00CE16AD" w:rsidRDefault="00F419DD" w:rsidP="004551E9"/>
    <w:p w:rsidR="005C4737" w:rsidRPr="00F419DD" w:rsidRDefault="005C4737" w:rsidP="004551E9">
      <w:pPr>
        <w:pStyle w:val="Ttulo4"/>
        <w:rPr>
          <w:b/>
        </w:rPr>
      </w:pPr>
      <w:r w:rsidRPr="00F419DD">
        <w:rPr>
          <w:b/>
        </w:rPr>
        <w:t>Artículo 45 Cambio de sexto</w:t>
      </w:r>
    </w:p>
    <w:p w:rsidR="005C4737" w:rsidRPr="00CE16AD" w:rsidRDefault="005C4737" w:rsidP="004551E9">
      <w:r w:rsidRPr="00CE16AD">
        <w:t>Sin perjuicio de su género toda persona que tiene derecho al cambio de sexo y al cambio de su nombre.</w:t>
      </w:r>
    </w:p>
    <w:p w:rsidR="00CD178D" w:rsidRPr="00E72B02" w:rsidRDefault="00CD178D" w:rsidP="004551E9"/>
    <w:p w:rsidR="007F76D0" w:rsidRPr="00E72B02" w:rsidRDefault="007F76D0" w:rsidP="004551E9">
      <w:pPr>
        <w:rPr>
          <w:lang w:val="es-ES_tradnl"/>
        </w:rPr>
      </w:pPr>
      <w:r w:rsidRPr="00E72B02">
        <w:rPr>
          <w:lang w:val="es-ES_tradnl"/>
        </w:rPr>
        <w:br w:type="page"/>
      </w:r>
    </w:p>
    <w:p w:rsidR="00CD178D" w:rsidRPr="00F419DD" w:rsidRDefault="00F419DD" w:rsidP="002C1D94">
      <w:pPr>
        <w:pStyle w:val="Ttulo15"/>
        <w:rPr>
          <w:sz w:val="24"/>
          <w:szCs w:val="24"/>
        </w:rPr>
      </w:pPr>
      <w:r w:rsidRPr="00F419DD">
        <w:rPr>
          <w:sz w:val="24"/>
          <w:szCs w:val="24"/>
        </w:rPr>
        <w:lastRenderedPageBreak/>
        <w:t>BIBLIOGRAFÍA</w:t>
      </w:r>
    </w:p>
    <w:p w:rsidR="00A0756F" w:rsidRPr="00F419DD" w:rsidRDefault="00A0756F" w:rsidP="002C1D94">
      <w:pPr>
        <w:pStyle w:val="TITULO14"/>
        <w:rPr>
          <w:sz w:val="24"/>
          <w:szCs w:val="24"/>
          <w:lang w:val="es-ES_tradnl"/>
        </w:rPr>
      </w:pPr>
    </w:p>
    <w:p w:rsidR="003B6E85" w:rsidRPr="00F419DD" w:rsidRDefault="00F419DD" w:rsidP="002C1D94">
      <w:pPr>
        <w:pStyle w:val="Ttulo15"/>
        <w:rPr>
          <w:sz w:val="24"/>
          <w:szCs w:val="24"/>
        </w:rPr>
      </w:pPr>
      <w:r w:rsidRPr="00F419DD">
        <w:rPr>
          <w:sz w:val="24"/>
          <w:szCs w:val="24"/>
        </w:rPr>
        <w:t>I.) FUENTES DOCTRINALES</w:t>
      </w:r>
    </w:p>
    <w:p w:rsidR="003B6E85" w:rsidRPr="003B6E85" w:rsidRDefault="003B6E85" w:rsidP="004551E9"/>
    <w:p w:rsidR="003E2638" w:rsidRDefault="003B6E85" w:rsidP="004551E9">
      <w:pPr>
        <w:pStyle w:val="Ttulo3"/>
        <w:rPr>
          <w:lang w:val="es-ES_tradnl"/>
        </w:rPr>
      </w:pPr>
      <w:r>
        <w:rPr>
          <w:lang w:val="es-ES_tradnl"/>
        </w:rPr>
        <w:t xml:space="preserve">I.1) </w:t>
      </w:r>
      <w:r w:rsidR="00B25A34">
        <w:rPr>
          <w:lang w:val="es-ES_tradnl"/>
        </w:rPr>
        <w:t>Manuales y Obras Generales</w:t>
      </w:r>
    </w:p>
    <w:p w:rsidR="003B6E85" w:rsidRPr="003B6E85" w:rsidRDefault="003B6E85" w:rsidP="004551E9">
      <w:pPr>
        <w:rPr>
          <w:lang w:val="es-ES_tradnl"/>
        </w:rPr>
      </w:pPr>
    </w:p>
    <w:p w:rsidR="003E2638" w:rsidRPr="001704A8" w:rsidRDefault="003E2638" w:rsidP="004551E9">
      <w:pPr>
        <w:pStyle w:val="Prrafodelista"/>
        <w:rPr>
          <w:lang w:val="es-ES_tradnl"/>
        </w:rPr>
      </w:pPr>
      <w:r w:rsidRPr="001704A8">
        <w:rPr>
          <w:caps/>
          <w:lang w:val="es-ES_tradnl"/>
        </w:rPr>
        <w:t>Abramovich, V. &amp; Courtis, C.,</w:t>
      </w:r>
      <w:r w:rsidRPr="001704A8">
        <w:rPr>
          <w:lang w:val="es-ES_tradnl"/>
        </w:rPr>
        <w:t xml:space="preserve"> (2002) </w:t>
      </w:r>
      <w:r w:rsidRPr="001704A8">
        <w:rPr>
          <w:i/>
          <w:lang w:val="es-ES_tradnl"/>
        </w:rPr>
        <w:t>Los derechos sociales como derechos exigibles</w:t>
      </w:r>
      <w:r w:rsidRPr="001704A8">
        <w:rPr>
          <w:lang w:val="es-ES_tradnl"/>
        </w:rPr>
        <w:t>, Trotta, Madrid</w:t>
      </w:r>
    </w:p>
    <w:p w:rsidR="003E2638" w:rsidRPr="003E2638" w:rsidRDefault="003E2638" w:rsidP="004551E9">
      <w:pPr>
        <w:pStyle w:val="Prrafodelista"/>
      </w:pPr>
      <w:r w:rsidRPr="003E2638">
        <w:rPr>
          <w:caps/>
        </w:rPr>
        <w:t>Abregú, M. &amp; Courtis, C</w:t>
      </w:r>
      <w:r w:rsidRPr="003E2638">
        <w:t xml:space="preserve">. (Comp.) (2007), </w:t>
      </w:r>
      <w:r w:rsidRPr="003E2638">
        <w:rPr>
          <w:i/>
        </w:rPr>
        <w:t>La aplicación de los tratados sobre derechos humanos por los tribunales locales</w:t>
      </w:r>
      <w:r w:rsidRPr="003E2638">
        <w:t>, CELS, Editores del Puerto, Buenos Aires.</w:t>
      </w:r>
    </w:p>
    <w:p w:rsidR="003E2638" w:rsidRPr="003E2638" w:rsidRDefault="003E2638" w:rsidP="004551E9">
      <w:pPr>
        <w:pStyle w:val="Prrafodelista"/>
      </w:pPr>
      <w:r w:rsidRPr="003E2638">
        <w:rPr>
          <w:caps/>
        </w:rPr>
        <w:t>Acosta Estévez J. y Espaliat Larson A.,</w:t>
      </w:r>
      <w:r w:rsidRPr="003E2638">
        <w:t xml:space="preserve"> (1990) La Interpretación en el Derecho Internacional Público y Derecho Comunitario Europeo, PPU, Barcelona</w:t>
      </w:r>
    </w:p>
    <w:p w:rsidR="003E2638" w:rsidRPr="003E2638" w:rsidRDefault="003E2638" w:rsidP="004551E9">
      <w:pPr>
        <w:pStyle w:val="Prrafodelista"/>
      </w:pPr>
      <w:r w:rsidRPr="003E2638">
        <w:rPr>
          <w:rStyle w:val="Textoennegrita"/>
          <w:szCs w:val="20"/>
          <w:lang w:val="es-ES"/>
        </w:rPr>
        <w:t>Aguado Díaz, A.,</w:t>
      </w:r>
      <w:r w:rsidRPr="003E2638">
        <w:t xml:space="preserve"> (1995) </w:t>
      </w:r>
      <w:r w:rsidRPr="003E2638">
        <w:rPr>
          <w:i/>
        </w:rPr>
        <w:t>Historia de las deficiencias,</w:t>
      </w:r>
      <w:r w:rsidRPr="003E2638">
        <w:t xml:space="preserve"> Escuela Libre Editorial, Colección Tesis y Praxis, Madrid.</w:t>
      </w:r>
    </w:p>
    <w:p w:rsidR="003E2638" w:rsidRPr="003E2638" w:rsidRDefault="003E2638" w:rsidP="004551E9">
      <w:pPr>
        <w:pStyle w:val="Prrafodelista"/>
      </w:pPr>
      <w:r w:rsidRPr="003E2638">
        <w:rPr>
          <w:caps/>
        </w:rPr>
        <w:t>Alcarín Martínez, González-Badía Fraga, Molina Fernández</w:t>
      </w:r>
      <w:r w:rsidRPr="003E2638">
        <w:t xml:space="preserve">, (Coords), (2006) </w:t>
      </w:r>
      <w:r w:rsidRPr="003E2638">
        <w:rPr>
          <w:i/>
        </w:rPr>
        <w:t>Régimen jurídico de las personas con discapacidad en España y en la Unión Europea</w:t>
      </w:r>
      <w:r w:rsidRPr="003E2638">
        <w:t>, Comareas, Granada.</w:t>
      </w:r>
    </w:p>
    <w:p w:rsidR="003E2638" w:rsidRPr="004551E9" w:rsidRDefault="003E2638" w:rsidP="004551E9">
      <w:pPr>
        <w:pStyle w:val="Prrafodelista"/>
        <w:rPr>
          <w:lang w:val="en-US"/>
        </w:rPr>
      </w:pPr>
      <w:r w:rsidRPr="004551E9">
        <w:rPr>
          <w:caps/>
          <w:lang w:val="en-US"/>
        </w:rPr>
        <w:t>Alfredsson &amp; Asbjørn</w:t>
      </w:r>
      <w:r w:rsidRPr="004551E9">
        <w:rPr>
          <w:lang w:val="en-US"/>
        </w:rPr>
        <w:t xml:space="preserve"> (Eds) (1999) The Universal Declaration of Human Rights: a common standard of achievement, Martinus Nijhoff Publishers</w:t>
      </w:r>
    </w:p>
    <w:p w:rsidR="003E2638" w:rsidRPr="001704A8" w:rsidRDefault="003E2638" w:rsidP="004551E9">
      <w:pPr>
        <w:pStyle w:val="Prrafodelista"/>
      </w:pPr>
      <w:r w:rsidRPr="001704A8">
        <w:rPr>
          <w:caps/>
        </w:rPr>
        <w:t>Ambos, K.,</w:t>
      </w:r>
      <w:r w:rsidRPr="001704A8">
        <w:t xml:space="preserve"> (2006) Temas de derecho penal internacional y europeo, Marcial Pons.</w:t>
      </w:r>
    </w:p>
    <w:p w:rsidR="003E2638" w:rsidRPr="003E2638" w:rsidRDefault="003E2638" w:rsidP="004551E9">
      <w:pPr>
        <w:pStyle w:val="Prrafodelista"/>
      </w:pPr>
      <w:r w:rsidRPr="003E2638">
        <w:rPr>
          <w:caps/>
        </w:rPr>
        <w:t>Ansuátegui Roig, F. J.,</w:t>
      </w:r>
      <w:r w:rsidRPr="003E2638">
        <w:t xml:space="preserve"> (Coord.), (1999), </w:t>
      </w:r>
      <w:r w:rsidRPr="003E2638">
        <w:rPr>
          <w:i/>
        </w:rPr>
        <w:t>Problemas de la Eutanasia</w:t>
      </w:r>
      <w:r w:rsidRPr="003E2638">
        <w:t>, Dykinson, Madrid</w:t>
      </w:r>
    </w:p>
    <w:p w:rsidR="003E2638" w:rsidRPr="003E2638" w:rsidRDefault="003E2638" w:rsidP="004551E9">
      <w:pPr>
        <w:pStyle w:val="Prrafodelista"/>
      </w:pPr>
      <w:r w:rsidRPr="003E2638">
        <w:t xml:space="preserve">AÑÓN ROIG, M. J. (1994) </w:t>
      </w:r>
      <w:r w:rsidRPr="003E2638">
        <w:rPr>
          <w:i/>
        </w:rPr>
        <w:t>Necesidades y derechos. Un ensayo de fundamentación,</w:t>
      </w:r>
      <w:r w:rsidRPr="003E2638">
        <w:t xml:space="preserve"> Centro de Estudios Constitucionales, Madrid.</w:t>
      </w:r>
    </w:p>
    <w:p w:rsidR="003E2638" w:rsidRPr="001704A8" w:rsidRDefault="003E2638" w:rsidP="004551E9">
      <w:pPr>
        <w:pStyle w:val="Prrafodelista"/>
      </w:pPr>
      <w:r w:rsidRPr="004551E9">
        <w:rPr>
          <w:lang w:val="en-US"/>
        </w:rPr>
        <w:lastRenderedPageBreak/>
        <w:t xml:space="preserve">ARNARDÓTTIR, O.M. and QUINN, G. (2009), The UN Convention on the Rights of Persons with Disabilities. </w:t>
      </w:r>
      <w:r w:rsidRPr="001704A8">
        <w:t>European and Scandinavian Perspectives, Martinus Nijhoff Publishers.</w:t>
      </w:r>
    </w:p>
    <w:p w:rsidR="003E2638" w:rsidRPr="001704A8" w:rsidRDefault="003E2638" w:rsidP="004551E9">
      <w:pPr>
        <w:pStyle w:val="Prrafodelista"/>
      </w:pPr>
      <w:r w:rsidRPr="001704A8">
        <w:rPr>
          <w:caps/>
        </w:rPr>
        <w:t>Asís Roig</w:t>
      </w:r>
      <w:r>
        <w:rPr>
          <w:caps/>
        </w:rPr>
        <w:t>,</w:t>
      </w:r>
      <w:r w:rsidRPr="001704A8">
        <w:rPr>
          <w:caps/>
        </w:rPr>
        <w:t xml:space="preserve"> R, (2000)</w:t>
      </w:r>
      <w:r w:rsidRPr="001704A8">
        <w:t xml:space="preserve"> Las paradojas de los derechos fundamentales como límites al poder, Dykinson, Madrid</w:t>
      </w:r>
    </w:p>
    <w:p w:rsidR="003E2638" w:rsidRPr="003E2638" w:rsidRDefault="003E2638" w:rsidP="004551E9">
      <w:pPr>
        <w:pStyle w:val="Prrafodelista"/>
      </w:pPr>
      <w:r w:rsidRPr="003E2638">
        <w:t xml:space="preserve">ASIS ROIG, R. &amp; PALACIOS, A., (2007) </w:t>
      </w:r>
      <w:r w:rsidRPr="003E2638">
        <w:rPr>
          <w:i/>
        </w:rPr>
        <w:t>Derechos Humanos y Situaciones de Dependencia,</w:t>
      </w:r>
      <w:r w:rsidRPr="003E2638">
        <w:t xml:space="preserve"> Dykinson, Madrid.</w:t>
      </w:r>
    </w:p>
    <w:p w:rsidR="003E2638" w:rsidRPr="003E2638" w:rsidRDefault="003E2638" w:rsidP="004551E9">
      <w:pPr>
        <w:pStyle w:val="Prrafodelista"/>
      </w:pPr>
      <w:r w:rsidRPr="003E2638">
        <w:t>ASÍS ROIG, R</w:t>
      </w:r>
      <w:r>
        <w:t>,</w:t>
      </w:r>
      <w:r w:rsidRPr="003E2638">
        <w:t xml:space="preserve"> (2001) </w:t>
      </w:r>
      <w:r w:rsidRPr="003E2638">
        <w:rPr>
          <w:i/>
        </w:rPr>
        <w:t>Sobre el concepto y el  fundamento de los derechos: una aproximación dualista</w:t>
      </w:r>
      <w:r w:rsidRPr="003E2638">
        <w:t>, col. Cuadernos “Bartolomé de las Casas”, núm. 17, Dykinson, Madrid.</w:t>
      </w:r>
    </w:p>
    <w:p w:rsidR="003E2638" w:rsidRPr="003E2638" w:rsidRDefault="003E2638" w:rsidP="004551E9">
      <w:pPr>
        <w:pStyle w:val="Prrafodelista"/>
      </w:pPr>
      <w:r w:rsidRPr="003E2638">
        <w:t>ASIS ROIG, R, (</w:t>
      </w:r>
      <w:r>
        <w:t>2013</w:t>
      </w:r>
      <w:r w:rsidRPr="003E2638">
        <w:t xml:space="preserve">), </w:t>
      </w:r>
      <w:r w:rsidRPr="003E2638">
        <w:rPr>
          <w:i/>
        </w:rPr>
        <w:t>Sobre discapacidad y derechos</w:t>
      </w:r>
      <w:r w:rsidRPr="003E2638">
        <w:t>, Instituto de Derechos Humanos Bartolomé de las Casas, Dykinson.</w:t>
      </w:r>
    </w:p>
    <w:p w:rsidR="003E2638" w:rsidRPr="003E2638" w:rsidRDefault="003E2638" w:rsidP="004551E9">
      <w:pPr>
        <w:pStyle w:val="Prrafodelista"/>
      </w:pPr>
      <w:r w:rsidRPr="003E2638">
        <w:t xml:space="preserve">Asís ROIG, R., Aiello, A. L., Bariffi, F., Campoy, I., &amp; Palacios, A., (2007) </w:t>
      </w:r>
      <w:r w:rsidRPr="003E2638">
        <w:rPr>
          <w:i/>
        </w:rPr>
        <w:t>Sobre la accesibilidad universal en el Derecho</w:t>
      </w:r>
      <w:r w:rsidRPr="003E2638">
        <w:t>, Dykinson, Madrid.</w:t>
      </w:r>
    </w:p>
    <w:p w:rsidR="003E2638" w:rsidRPr="004551E9" w:rsidRDefault="003E2638" w:rsidP="004551E9">
      <w:pPr>
        <w:pStyle w:val="Prrafodelista"/>
        <w:rPr>
          <w:lang w:val="en-US"/>
        </w:rPr>
      </w:pPr>
      <w:r w:rsidRPr="004551E9">
        <w:rPr>
          <w:lang w:val="en-US"/>
        </w:rPr>
        <w:t xml:space="preserve">BACH, M. &amp; KERZNER, L., (2010) </w:t>
      </w:r>
      <w:r w:rsidRPr="004551E9">
        <w:rPr>
          <w:i/>
          <w:lang w:val="en-US"/>
        </w:rPr>
        <w:t>A New Paradigm for Protecting Autonomy and the Right to Legal Capacity</w:t>
      </w:r>
      <w:r w:rsidRPr="004551E9">
        <w:rPr>
          <w:lang w:val="en-US"/>
        </w:rPr>
        <w:t>, Prepared for the Law Commission of Ontario, October 2010</w:t>
      </w:r>
    </w:p>
    <w:p w:rsidR="003E2638" w:rsidRPr="003E2638" w:rsidRDefault="003E2638" w:rsidP="004551E9">
      <w:pPr>
        <w:pStyle w:val="Prrafodelista"/>
      </w:pPr>
      <w:r w:rsidRPr="003E2638">
        <w:rPr>
          <w:caps/>
        </w:rPr>
        <w:t xml:space="preserve">Bariffi, F. &amp; Palacios A., (Coord), (2012), </w:t>
      </w:r>
      <w:r w:rsidRPr="003E2638">
        <w:t>Capacidad Jurídica, Discapacidad y Derechos Humanos: una revisión desde la Convención Internacional sobre los Derechos de las Personas con Discapacidad, Ediar, Buenos Aires.</w:t>
      </w:r>
    </w:p>
    <w:p w:rsidR="003E2638" w:rsidRPr="001704A8" w:rsidRDefault="003E2638" w:rsidP="004551E9">
      <w:pPr>
        <w:pStyle w:val="Prrafodelista"/>
      </w:pPr>
      <w:r w:rsidRPr="001704A8">
        <w:t>BARIFFI</w:t>
      </w:r>
      <w:r>
        <w:t xml:space="preserve">, F. &amp; </w:t>
      </w:r>
      <w:r w:rsidRPr="001704A8">
        <w:t>PALACIOS A.</w:t>
      </w:r>
      <w:r>
        <w:t>,</w:t>
      </w:r>
      <w:r w:rsidRPr="001704A8">
        <w:t xml:space="preserve"> (Comps.) (2008), Capacidad Jurídica y Discapacidad, Un Estudio de Derecho Privado Comparado a la luz de la Convención Internacional sobre los Derechos de las Personas con Discapacidad, Cuaderno de trabajo nº 1 / Argentina; Cuaderno de trabajo nº 2 / Brasil; Cuaderno de trabajo nº 3 / Portugal; Cuaderno de trabajo nº 4 / Chile; Cuaderno de trabajo nº 5 / Colombia; Cuaderno de trabajo nº 6 / Italia; Cuaderno de trabajo nº 7 / España; Tomo 1: Derecho Común; Cuaderno de trabajo nº 7 / España; Tomo 2: Derecho Foral; Cuaderno de trabajo nº 8 / Costa </w:t>
      </w:r>
      <w:r w:rsidRPr="001704A8">
        <w:lastRenderedPageBreak/>
        <w:t>Rica; Cuaderno de trabajo nº 9 / Canadá; Cuaderno de trabajo nº 10 / USA; Cuaderno de trabajo nº 11 / Suecia; Cuaderno de trabajo nº 12 / Méjico; Cuaderno de trabajo nº 13 / Reino Unido., Congreso Permanente sobre Discapacidad y Derechos Humanos, Aprosuba, Cáceres</w:t>
      </w:r>
    </w:p>
    <w:p w:rsidR="003E2638" w:rsidRPr="001704A8" w:rsidRDefault="003E2638" w:rsidP="004551E9">
      <w:pPr>
        <w:pStyle w:val="Prrafodelista"/>
      </w:pPr>
      <w:r w:rsidRPr="001704A8">
        <w:t xml:space="preserve">BARIFFI, F., BARRANCO, M., MORENO, L., PALACIOS, A., UTRAY, F., VIDA, J., (2008) </w:t>
      </w:r>
      <w:r w:rsidRPr="001704A8">
        <w:rPr>
          <w:i/>
        </w:rPr>
        <w:t>La accesibilidad universal en los medios audiovisuales de comunicación</w:t>
      </w:r>
      <w:r w:rsidRPr="001704A8">
        <w:t>, Icono Imagen Gráfica SA: Ministerio de Educación de España, Madrid.</w:t>
      </w:r>
    </w:p>
    <w:p w:rsidR="003E2638" w:rsidRPr="001704A8" w:rsidRDefault="003E2638" w:rsidP="004551E9">
      <w:pPr>
        <w:pStyle w:val="Prrafodelista"/>
        <w:rPr>
          <w:lang w:val="en-GB"/>
        </w:rPr>
      </w:pPr>
      <w:r w:rsidRPr="001704A8">
        <w:rPr>
          <w:lang w:val="en-GB"/>
        </w:rPr>
        <w:t>BARNES C. &amp; MERCER,</w:t>
      </w:r>
      <w:r w:rsidRPr="004551E9">
        <w:rPr>
          <w:lang w:val="en-US"/>
        </w:rPr>
        <w:t xml:space="preserve"> </w:t>
      </w:r>
      <w:r w:rsidRPr="001704A8">
        <w:rPr>
          <w:lang w:val="en-GB"/>
        </w:rPr>
        <w:t xml:space="preserve">G. (2003), </w:t>
      </w:r>
      <w:r w:rsidRPr="001704A8">
        <w:rPr>
          <w:i/>
          <w:lang w:val="en-GB"/>
        </w:rPr>
        <w:t xml:space="preserve">Disability, </w:t>
      </w:r>
      <w:r w:rsidRPr="001704A8">
        <w:rPr>
          <w:lang w:val="en-GB"/>
        </w:rPr>
        <w:t>Polity Press, Cambridge.</w:t>
      </w:r>
    </w:p>
    <w:p w:rsidR="003E2638" w:rsidRPr="001704A8" w:rsidRDefault="003E2638" w:rsidP="004551E9">
      <w:pPr>
        <w:pStyle w:val="Prrafodelista"/>
        <w:rPr>
          <w:lang w:val="en-GB"/>
        </w:rPr>
      </w:pPr>
      <w:r w:rsidRPr="001704A8">
        <w:rPr>
          <w:lang w:val="en-GB"/>
        </w:rPr>
        <w:t xml:space="preserve">BARNES, C. OLIVER, M. &amp; BARTON L. (eds.), (2002) </w:t>
      </w:r>
      <w:r w:rsidRPr="001704A8">
        <w:rPr>
          <w:i/>
          <w:iCs/>
          <w:lang w:val="en-GB"/>
        </w:rPr>
        <w:t xml:space="preserve">Disability Studies Today, </w:t>
      </w:r>
      <w:r w:rsidRPr="001704A8">
        <w:rPr>
          <w:lang w:val="en-GB"/>
        </w:rPr>
        <w:t>Polity Press, Oxford.</w:t>
      </w:r>
    </w:p>
    <w:p w:rsidR="003E2638" w:rsidRPr="004551E9" w:rsidRDefault="003E2638" w:rsidP="004551E9">
      <w:pPr>
        <w:pStyle w:val="Prrafodelista"/>
        <w:rPr>
          <w:noProof/>
          <w:lang w:val="en-US"/>
        </w:rPr>
      </w:pPr>
      <w:r w:rsidRPr="004551E9">
        <w:rPr>
          <w:noProof/>
          <w:lang w:val="en-US"/>
        </w:rPr>
        <w:t xml:space="preserve">BARNES, C., (2000), </w:t>
      </w:r>
      <w:r w:rsidRPr="004551E9">
        <w:rPr>
          <w:i/>
          <w:noProof/>
          <w:lang w:val="en-US"/>
        </w:rPr>
        <w:t>Disabled People in Britain and Discrimination. A case for Anti-discrimination Legislation</w:t>
      </w:r>
      <w:r w:rsidRPr="004551E9">
        <w:rPr>
          <w:noProof/>
          <w:lang w:val="en-US"/>
        </w:rPr>
        <w:t>, third edition, Hurst and Company, London in association with the British Council of Organizations of Disabled People</w:t>
      </w:r>
      <w:r w:rsidRPr="004551E9">
        <w:rPr>
          <w:i/>
          <w:noProof/>
          <w:lang w:val="en-US"/>
        </w:rPr>
        <w:t xml:space="preserve">, </w:t>
      </w:r>
      <w:r w:rsidRPr="004551E9">
        <w:rPr>
          <w:noProof/>
          <w:lang w:val="en-US"/>
        </w:rPr>
        <w:t>United Kingdom.</w:t>
      </w:r>
    </w:p>
    <w:p w:rsidR="003E2638" w:rsidRPr="003E2638" w:rsidRDefault="003E2638" w:rsidP="004551E9">
      <w:pPr>
        <w:pStyle w:val="Prrafodelista"/>
        <w:rPr>
          <w:noProof/>
        </w:rPr>
      </w:pPr>
      <w:r w:rsidRPr="003E2638">
        <w:rPr>
          <w:noProof/>
        </w:rPr>
        <w:t xml:space="preserve">BARTON, L. (comp.), (1998) </w:t>
      </w:r>
      <w:r w:rsidRPr="003E2638">
        <w:rPr>
          <w:i/>
          <w:noProof/>
        </w:rPr>
        <w:t>Discapacidad y Sociedad</w:t>
      </w:r>
      <w:r w:rsidRPr="003E2638">
        <w:rPr>
          <w:noProof/>
        </w:rPr>
        <w:t>, Morata S.L., Madrid.</w:t>
      </w:r>
    </w:p>
    <w:p w:rsidR="003E2638" w:rsidRPr="004551E9" w:rsidRDefault="003E2638" w:rsidP="004551E9">
      <w:pPr>
        <w:pStyle w:val="Prrafodelista"/>
        <w:rPr>
          <w:lang w:val="en-US"/>
        </w:rPr>
      </w:pPr>
      <w:r w:rsidRPr="004551E9">
        <w:rPr>
          <w:caps/>
          <w:lang w:val="en-US"/>
        </w:rPr>
        <w:t>Benedek, W., Gregory, C., Kozma, J., Nowak, M., Strohal, C. and Theuermann</w:t>
      </w:r>
      <w:r w:rsidRPr="004551E9">
        <w:rPr>
          <w:lang w:val="en-US"/>
        </w:rPr>
        <w:t xml:space="preserve">, E. (eds.) (2009) </w:t>
      </w:r>
      <w:r w:rsidRPr="004551E9">
        <w:rPr>
          <w:i/>
          <w:lang w:val="en-US"/>
        </w:rPr>
        <w:t>Global Standards – Local Action. 15 Years Vienna World Conference on Human Rights</w:t>
      </w:r>
      <w:r w:rsidRPr="004551E9">
        <w:rPr>
          <w:lang w:val="en-US"/>
        </w:rPr>
        <w:t>, Vienna/Graz: Intersentia.</w:t>
      </w:r>
    </w:p>
    <w:p w:rsidR="003E2638" w:rsidRPr="001704A8" w:rsidRDefault="003E2638" w:rsidP="004551E9">
      <w:pPr>
        <w:pStyle w:val="Prrafodelista"/>
      </w:pPr>
      <w:r w:rsidRPr="001704A8">
        <w:rPr>
          <w:caps/>
        </w:rPr>
        <w:t>Bernuz Beneitez, M. J.</w:t>
      </w:r>
      <w:r w:rsidRPr="001704A8">
        <w:t xml:space="preserve"> (coord.), (2009), </w:t>
      </w:r>
      <w:r w:rsidRPr="001704A8">
        <w:rPr>
          <w:i/>
        </w:rPr>
        <w:t>El cine y los derechos de la infancia</w:t>
      </w:r>
      <w:r w:rsidRPr="001704A8">
        <w:t>, col. Cine y Derecho, núm. 30, Tirant lo Blanch, Valencia</w:t>
      </w:r>
    </w:p>
    <w:p w:rsidR="003E2638" w:rsidRPr="003E2638" w:rsidRDefault="003E2638" w:rsidP="004551E9">
      <w:pPr>
        <w:pStyle w:val="Prrafodelista"/>
      </w:pPr>
      <w:r w:rsidRPr="003E2638">
        <w:rPr>
          <w:caps/>
        </w:rPr>
        <w:t>Bidart Campos, G.,</w:t>
      </w:r>
      <w:r w:rsidRPr="003E2638">
        <w:t xml:space="preserve"> (1994) La interpretación del sistema de derechos humanos, Buenos Aires, Ediar.</w:t>
      </w:r>
    </w:p>
    <w:p w:rsidR="003E2638" w:rsidRPr="003E2638" w:rsidRDefault="003E2638" w:rsidP="004551E9">
      <w:pPr>
        <w:pStyle w:val="Prrafodelista"/>
      </w:pPr>
      <w:r w:rsidRPr="003E2638">
        <w:t>BIEL PORTERO, I., (2011), Los derechos humanos de las personas con discapacidad, Triant Lo Blanc, Valencia</w:t>
      </w:r>
    </w:p>
    <w:p w:rsidR="003E2638" w:rsidRPr="003E2638" w:rsidRDefault="003E2638" w:rsidP="004551E9">
      <w:pPr>
        <w:pStyle w:val="Prrafodelista"/>
      </w:pPr>
      <w:r w:rsidRPr="003E2638">
        <w:rPr>
          <w:caps/>
        </w:rPr>
        <w:lastRenderedPageBreak/>
        <w:t xml:space="preserve">Blanc Altemir, </w:t>
      </w:r>
      <w:r w:rsidRPr="003E2638">
        <w:t>A. (Editor) (2001), La Protección Internacional de los Derechos Humanos a los Cincuenta Años de la Declaración Universal, Tecnos, Madrid.</w:t>
      </w:r>
    </w:p>
    <w:p w:rsidR="003E2638" w:rsidRPr="004551E9" w:rsidRDefault="003E2638" w:rsidP="004551E9">
      <w:pPr>
        <w:pStyle w:val="Prrafodelista"/>
        <w:rPr>
          <w:lang w:val="en-US"/>
        </w:rPr>
      </w:pPr>
      <w:r w:rsidRPr="004551E9">
        <w:rPr>
          <w:caps/>
          <w:lang w:val="en-US"/>
        </w:rPr>
        <w:t>Blanck, P.</w:t>
      </w:r>
      <w:r w:rsidRPr="004551E9">
        <w:rPr>
          <w:lang w:val="en-US"/>
        </w:rPr>
        <w:t xml:space="preserve"> (Ed.), (2002), </w:t>
      </w:r>
      <w:r w:rsidRPr="004551E9">
        <w:rPr>
          <w:i/>
          <w:lang w:val="en-US"/>
        </w:rPr>
        <w:t>Disability Rights,</w:t>
      </w:r>
      <w:r w:rsidRPr="004551E9">
        <w:rPr>
          <w:lang w:val="en-US"/>
        </w:rPr>
        <w:t xml:space="preserve"> Ashgate, Syracuse University.</w:t>
      </w:r>
    </w:p>
    <w:p w:rsidR="003E2638" w:rsidRPr="003E2638" w:rsidRDefault="003E2638" w:rsidP="004551E9">
      <w:pPr>
        <w:pStyle w:val="Prrafodelista"/>
      </w:pPr>
      <w:r w:rsidRPr="003E2638">
        <w:t xml:space="preserve">BOBBIO, N., (1991) </w:t>
      </w:r>
      <w:r w:rsidRPr="003E2638">
        <w:rPr>
          <w:i/>
        </w:rPr>
        <w:t>El tiempo de los derechos</w:t>
      </w:r>
      <w:r w:rsidRPr="003E2638">
        <w:t>, Trad. De R. de Asís, Sistema, Madrid.</w:t>
      </w:r>
    </w:p>
    <w:p w:rsidR="003E2638" w:rsidRPr="004551E9" w:rsidRDefault="003E2638" w:rsidP="004551E9">
      <w:pPr>
        <w:pStyle w:val="Prrafodelista"/>
        <w:rPr>
          <w:lang w:val="en-US"/>
        </w:rPr>
      </w:pPr>
      <w:r w:rsidRPr="004551E9">
        <w:rPr>
          <w:caps/>
          <w:lang w:val="en-US"/>
        </w:rPr>
        <w:t>Brems, E., (2001)</w:t>
      </w:r>
      <w:r w:rsidRPr="004551E9">
        <w:rPr>
          <w:lang w:val="en-US"/>
        </w:rPr>
        <w:t xml:space="preserve"> </w:t>
      </w:r>
      <w:r w:rsidRPr="004551E9">
        <w:rPr>
          <w:i/>
          <w:lang w:val="en-US"/>
        </w:rPr>
        <w:t>Human Rights: Universality and Diversity</w:t>
      </w:r>
      <w:r w:rsidRPr="004551E9">
        <w:rPr>
          <w:lang w:val="en-US"/>
        </w:rPr>
        <w:t>, International Studies in Human Rights vol. 66, Martines Nijhoff Publishers.</w:t>
      </w:r>
    </w:p>
    <w:p w:rsidR="003E2638" w:rsidRPr="004551E9" w:rsidRDefault="003E2638" w:rsidP="004551E9">
      <w:pPr>
        <w:pStyle w:val="Prrafodelista"/>
        <w:rPr>
          <w:lang w:val="en-US"/>
        </w:rPr>
      </w:pPr>
      <w:r w:rsidRPr="004551E9">
        <w:rPr>
          <w:caps/>
          <w:lang w:val="en-US"/>
        </w:rPr>
        <w:t>Brownlie I</w:t>
      </w:r>
      <w:r w:rsidRPr="004551E9">
        <w:rPr>
          <w:lang w:val="en-US"/>
        </w:rPr>
        <w:t xml:space="preserve"> (1998), </w:t>
      </w:r>
      <w:r w:rsidRPr="004551E9">
        <w:rPr>
          <w:i/>
          <w:lang w:val="en-US"/>
        </w:rPr>
        <w:t>Principles of Public International Law</w:t>
      </w:r>
      <w:r w:rsidRPr="004551E9">
        <w:rPr>
          <w:lang w:val="en-US"/>
        </w:rPr>
        <w:t>, fifth edition, Clarendon Press</w:t>
      </w:r>
    </w:p>
    <w:p w:rsidR="003E2638" w:rsidRPr="003E2638" w:rsidRDefault="003E2638" w:rsidP="004551E9">
      <w:pPr>
        <w:pStyle w:val="Prrafodelista"/>
        <w:rPr>
          <w:noProof/>
        </w:rPr>
      </w:pPr>
      <w:r w:rsidRPr="003E2638">
        <w:rPr>
          <w:caps/>
        </w:rPr>
        <w:t>Cabra de Luna, M.A., Bariffi, F., &amp; Palacios, A.</w:t>
      </w:r>
      <w:r w:rsidRPr="003E2638">
        <w:t>, (2007) Derechos Humanos de las Personas con Discapacidad: La Convención Internacional de las Naciones Unidas, Editorial Areces, Madrid.</w:t>
      </w:r>
    </w:p>
    <w:p w:rsidR="003E2638" w:rsidRPr="001704A8" w:rsidRDefault="003E2638" w:rsidP="004551E9">
      <w:pPr>
        <w:pStyle w:val="Prrafodelista"/>
      </w:pPr>
      <w:r w:rsidRPr="001704A8">
        <w:t xml:space="preserve">CAMPOY CERVERA, I. &amp; PALACIOS, A. (Ed.), (2007) </w:t>
      </w:r>
      <w:r w:rsidRPr="001704A8">
        <w:rPr>
          <w:i/>
        </w:rPr>
        <w:t>Igualdad, no discriminación y discapacidad</w:t>
      </w:r>
      <w:r w:rsidRPr="001704A8">
        <w:t>, Debates del Instituto Bartolomé de las Casas n°8, Dykinson, Madrid.</w:t>
      </w:r>
    </w:p>
    <w:p w:rsidR="003E2638" w:rsidRPr="001704A8" w:rsidRDefault="003E2638" w:rsidP="004551E9">
      <w:pPr>
        <w:pStyle w:val="Prrafodelista"/>
      </w:pPr>
      <w:r w:rsidRPr="001704A8">
        <w:rPr>
          <w:caps/>
        </w:rPr>
        <w:t>Campoy Cervera</w:t>
      </w:r>
      <w:r w:rsidRPr="001704A8">
        <w:t>, I. (Coord.),(2004) Los derechos de las personas con discapacidad: Perspectivas sociales, jurídicas y filosóficas, Dykinson, Madrid.</w:t>
      </w:r>
    </w:p>
    <w:p w:rsidR="003E2638" w:rsidRPr="004551E9" w:rsidRDefault="003E2638" w:rsidP="004551E9">
      <w:pPr>
        <w:pStyle w:val="Prrafodelista"/>
        <w:rPr>
          <w:lang w:val="en-US"/>
        </w:rPr>
      </w:pPr>
      <w:r w:rsidRPr="004551E9">
        <w:rPr>
          <w:caps/>
          <w:lang w:val="en-US"/>
        </w:rPr>
        <w:t>Cançado Trindade, A. A.,</w:t>
      </w:r>
      <w:r w:rsidRPr="004551E9">
        <w:rPr>
          <w:lang w:val="en-US"/>
        </w:rPr>
        <w:t xml:space="preserve"> (2011) </w:t>
      </w:r>
      <w:r w:rsidRPr="004551E9">
        <w:rPr>
          <w:i/>
          <w:lang w:val="en-US"/>
        </w:rPr>
        <w:t>The Access of Individuals to International Justice</w:t>
      </w:r>
      <w:r w:rsidRPr="004551E9">
        <w:rPr>
          <w:lang w:val="en-US"/>
        </w:rPr>
        <w:t>, Oxford University Press</w:t>
      </w:r>
    </w:p>
    <w:p w:rsidR="003E2638" w:rsidRPr="003E2638" w:rsidRDefault="003E2638" w:rsidP="004551E9">
      <w:pPr>
        <w:pStyle w:val="Prrafodelista"/>
        <w:rPr>
          <w:noProof/>
        </w:rPr>
      </w:pPr>
      <w:r w:rsidRPr="003E2638">
        <w:rPr>
          <w:caps/>
          <w:noProof/>
        </w:rPr>
        <w:t>Carrillo Salcedo J.A.,</w:t>
      </w:r>
      <w:r w:rsidRPr="003E2638">
        <w:rPr>
          <w:noProof/>
        </w:rPr>
        <w:t xml:space="preserve"> (1995), Soberanía de los Estados y Derechos Humanos en Derecho Internacional Contemporáneo, Tecnos, Madrid</w:t>
      </w:r>
    </w:p>
    <w:p w:rsidR="003E2638" w:rsidRPr="001704A8" w:rsidRDefault="003E2638" w:rsidP="004551E9">
      <w:pPr>
        <w:pStyle w:val="Prrafodelista"/>
        <w:rPr>
          <w:lang w:val="en-GB"/>
        </w:rPr>
      </w:pPr>
      <w:r w:rsidRPr="001704A8">
        <w:rPr>
          <w:caps/>
          <w:lang w:val="en-GB"/>
        </w:rPr>
        <w:t xml:space="preserve">Cassese, A., </w:t>
      </w:r>
      <w:r w:rsidRPr="001704A8">
        <w:rPr>
          <w:lang w:val="en-GB"/>
        </w:rPr>
        <w:t xml:space="preserve">(2003) </w:t>
      </w:r>
      <w:r w:rsidRPr="001704A8">
        <w:rPr>
          <w:i/>
          <w:lang w:val="en-GB"/>
        </w:rPr>
        <w:t>International Criminal Law</w:t>
      </w:r>
      <w:r w:rsidRPr="001704A8">
        <w:rPr>
          <w:lang w:val="en-GB"/>
        </w:rPr>
        <w:t xml:space="preserve">, first edition, Oxford University Press. </w:t>
      </w:r>
    </w:p>
    <w:p w:rsidR="003E2638" w:rsidRPr="003E2638" w:rsidRDefault="003E2638" w:rsidP="004551E9">
      <w:pPr>
        <w:pStyle w:val="Prrafodelista"/>
      </w:pPr>
      <w:r w:rsidRPr="003E2638">
        <w:rPr>
          <w:caps/>
        </w:rPr>
        <w:lastRenderedPageBreak/>
        <w:t>Cayo Pérez Bueno</w:t>
      </w:r>
      <w:r w:rsidRPr="003E2638">
        <w:t xml:space="preserve"> L, (dir); </w:t>
      </w:r>
      <w:r w:rsidRPr="003E2638">
        <w:rPr>
          <w:caps/>
        </w:rPr>
        <w:t>Sastre A</w:t>
      </w:r>
      <w:r w:rsidRPr="003E2638">
        <w:t xml:space="preserve"> (ed), (2009) Hacia un derecho de la discapacidad: estudios en homenaje al profesor Rafael de Lorenzo, Aranzadi </w:t>
      </w:r>
      <w:proofErr w:type="spellStart"/>
      <w:r w:rsidRPr="003E2638">
        <w:t>Thomson</w:t>
      </w:r>
      <w:proofErr w:type="spellEnd"/>
      <w:r w:rsidRPr="003E2638">
        <w:t xml:space="preserve"> Reuters, Navarra</w:t>
      </w:r>
    </w:p>
    <w:p w:rsidR="003E2638" w:rsidRPr="001704A8" w:rsidRDefault="003E2638" w:rsidP="004551E9">
      <w:pPr>
        <w:pStyle w:val="Prrafodelista"/>
      </w:pPr>
      <w:r w:rsidRPr="003E2638">
        <w:t xml:space="preserve">CERMI (2012),  La transversalidad de género en las políticas públicas de discapacidad. </w:t>
      </w:r>
      <w:r w:rsidRPr="001704A8">
        <w:t>Manual Volumen I, Ediciones Cinca, Madrid</w:t>
      </w:r>
    </w:p>
    <w:p w:rsidR="003E2638" w:rsidRPr="003E2638" w:rsidRDefault="003E2638" w:rsidP="004551E9">
      <w:pPr>
        <w:pStyle w:val="Prrafodelista"/>
      </w:pPr>
      <w:r>
        <w:t>CIFUENTES, S.</w:t>
      </w:r>
      <w:r w:rsidRPr="003E2638">
        <w:t xml:space="preserve"> (2004) </w:t>
      </w:r>
      <w:r w:rsidRPr="003E2638">
        <w:rPr>
          <w:i/>
        </w:rPr>
        <w:t>Negocio Jurídico</w:t>
      </w:r>
      <w:r w:rsidRPr="003E2638">
        <w:t xml:space="preserve">, Ed. </w:t>
      </w:r>
      <w:proofErr w:type="spellStart"/>
      <w:r w:rsidRPr="003E2638">
        <w:t>Astrea</w:t>
      </w:r>
      <w:proofErr w:type="spellEnd"/>
      <w:r w:rsidRPr="003E2638">
        <w:t>, Buenos Aires</w:t>
      </w:r>
    </w:p>
    <w:p w:rsidR="003E2638" w:rsidRPr="003E2638" w:rsidRDefault="003E2638" w:rsidP="004551E9">
      <w:pPr>
        <w:pStyle w:val="Prrafodelista"/>
      </w:pPr>
      <w:r>
        <w:t>CIFUENTES, S.</w:t>
      </w:r>
      <w:r w:rsidRPr="003E2638">
        <w:t xml:space="preserve"> (2008) </w:t>
      </w:r>
      <w:r w:rsidRPr="003E2638">
        <w:rPr>
          <w:i/>
        </w:rPr>
        <w:t>Los derechos personalísimos</w:t>
      </w:r>
      <w:r w:rsidRPr="003E2638">
        <w:t>, ASTREA, Buenos Aires</w:t>
      </w:r>
    </w:p>
    <w:p w:rsidR="003E2638" w:rsidRPr="001704A8" w:rsidRDefault="003E2638" w:rsidP="004551E9">
      <w:pPr>
        <w:pStyle w:val="Prrafodelista"/>
      </w:pPr>
      <w:r w:rsidRPr="001704A8">
        <w:t xml:space="preserve">CUENCA GÓMEZ, P., (2012) </w:t>
      </w:r>
      <w:r w:rsidRPr="001704A8">
        <w:rPr>
          <w:i/>
        </w:rPr>
        <w:t>Los derechos fundamentales de las personas con discapacidad. Un análisis a la luz de la Convención de la ONU,</w:t>
      </w:r>
      <w:r w:rsidRPr="001704A8">
        <w:t xml:space="preserve"> Cuadernos de la Cátedra de Democracia y Derechos Humanos, Núm. 7, Universidad de Alcalá/Defensor del Pueblo, Madrid</w:t>
      </w:r>
    </w:p>
    <w:p w:rsidR="003E2638" w:rsidRPr="001704A8" w:rsidRDefault="003E2638" w:rsidP="004551E9">
      <w:pPr>
        <w:pStyle w:val="Prrafodelista"/>
      </w:pPr>
      <w:r w:rsidRPr="001704A8">
        <w:rPr>
          <w:caps/>
        </w:rPr>
        <w:t>Cuenca Gómez, P.,</w:t>
      </w:r>
      <w:r w:rsidRPr="001704A8">
        <w:t xml:space="preserve"> (ed.), (2010), Estudios sobre el impacto de la Convención Internacional sobre los Derechos de las Personas con discapacidad en el Ordenamiento jurídico español, Dykinson, Madrid</w:t>
      </w:r>
    </w:p>
    <w:p w:rsidR="003E2638" w:rsidRPr="004551E9" w:rsidRDefault="003E2638" w:rsidP="004551E9">
      <w:pPr>
        <w:pStyle w:val="Prrafodelista"/>
        <w:rPr>
          <w:lang w:val="en-US"/>
        </w:rPr>
      </w:pPr>
      <w:r w:rsidRPr="004551E9">
        <w:rPr>
          <w:lang w:val="en-US"/>
        </w:rPr>
        <w:t xml:space="preserve">CHARLTON J. I., (1998), Nothing </w:t>
      </w:r>
      <w:proofErr w:type="gramStart"/>
      <w:r w:rsidRPr="004551E9">
        <w:rPr>
          <w:lang w:val="en-US"/>
        </w:rPr>
        <w:t>About</w:t>
      </w:r>
      <w:proofErr w:type="gramEnd"/>
      <w:r w:rsidRPr="004551E9">
        <w:rPr>
          <w:lang w:val="en-US"/>
        </w:rPr>
        <w:t xml:space="preserve"> Us Without Us: Disability Oppression and Empowerment, University of California Press</w:t>
      </w:r>
    </w:p>
    <w:p w:rsidR="003E2638" w:rsidRPr="004551E9" w:rsidRDefault="003E2638" w:rsidP="004551E9">
      <w:pPr>
        <w:pStyle w:val="Prrafodelista"/>
        <w:rPr>
          <w:lang w:val="en-US" w:eastAsia="es-ES_tradnl"/>
        </w:rPr>
      </w:pPr>
      <w:r w:rsidRPr="004551E9">
        <w:rPr>
          <w:caps/>
          <w:lang w:val="en-US" w:eastAsia="es-ES_tradnl"/>
        </w:rPr>
        <w:t>De Beco G, Hoefmans A,</w:t>
      </w:r>
      <w:r w:rsidRPr="004551E9">
        <w:rPr>
          <w:lang w:val="en-US" w:eastAsia="es-ES_tradnl"/>
        </w:rPr>
        <w:t xml:space="preserve"> (2010) The UN Convention on the Rights of Persons with Disabilities: an Integral and Integrated Approach to the Implementation of Disability Rights, Background document prepared for the international conference ‘Work Forum for the Implementation of the UN Convention on the Rights of People with Disabilities’, 18-19 November 2010</w:t>
      </w:r>
      <w:r w:rsidR="00A50CAD" w:rsidRPr="004551E9">
        <w:rPr>
          <w:lang w:val="en-US" w:eastAsia="es-ES_tradnl"/>
        </w:rPr>
        <w:t>.</w:t>
      </w:r>
    </w:p>
    <w:p w:rsidR="00A50CAD" w:rsidRPr="004551E9" w:rsidRDefault="00A50CAD" w:rsidP="004551E9">
      <w:pPr>
        <w:pStyle w:val="Prrafodelista"/>
        <w:rPr>
          <w:lang w:val="en-US" w:eastAsia="es-ES_tradnl"/>
        </w:rPr>
      </w:pPr>
      <w:r w:rsidRPr="004551E9">
        <w:rPr>
          <w:lang w:val="en-US"/>
        </w:rPr>
        <w:t>DE BECCO, G.  (Ed.) (2013), Article 33 of the UN Convention on the Rights of Persons with Disabilities: National Structures for the Implementation and Monitoring of the Convention, Martinus Nijhoff Publishers, Leiden-Boston.</w:t>
      </w:r>
    </w:p>
    <w:p w:rsidR="003E2638" w:rsidRPr="003E2638" w:rsidRDefault="003E2638" w:rsidP="004551E9">
      <w:pPr>
        <w:pStyle w:val="Prrafodelista"/>
        <w:rPr>
          <w:lang w:val="es-ES"/>
        </w:rPr>
      </w:pPr>
      <w:r w:rsidRPr="001704A8">
        <w:lastRenderedPageBreak/>
        <w:t xml:space="preserve">DE LORENZO GARCÍA, R. y PÉREZ BUENO, L.C, (2007) </w:t>
      </w:r>
      <w:r w:rsidRPr="001704A8">
        <w:rPr>
          <w:i/>
        </w:rPr>
        <w:t>Tratado sobre discapacidad</w:t>
      </w:r>
      <w:r w:rsidRPr="001704A8">
        <w:t xml:space="preserve">, </w:t>
      </w:r>
      <w:proofErr w:type="spellStart"/>
      <w:r w:rsidRPr="001704A8">
        <w:t>Thomson</w:t>
      </w:r>
      <w:proofErr w:type="spellEnd"/>
      <w:r w:rsidRPr="001704A8">
        <w:t>, Ar</w:t>
      </w:r>
      <w:proofErr w:type="spellStart"/>
      <w:r w:rsidRPr="003E2638">
        <w:rPr>
          <w:lang w:val="es-ES"/>
        </w:rPr>
        <w:t>anzadi</w:t>
      </w:r>
      <w:proofErr w:type="spellEnd"/>
      <w:r w:rsidRPr="003E2638">
        <w:rPr>
          <w:lang w:val="es-ES"/>
        </w:rPr>
        <w:t>, Pamplona</w:t>
      </w:r>
    </w:p>
    <w:p w:rsidR="003E2638" w:rsidRPr="004551E9" w:rsidRDefault="003E2638" w:rsidP="004551E9">
      <w:pPr>
        <w:pStyle w:val="Prrafodelista"/>
        <w:rPr>
          <w:lang w:val="en-US"/>
        </w:rPr>
      </w:pPr>
      <w:r w:rsidRPr="004551E9">
        <w:rPr>
          <w:caps/>
          <w:lang w:val="en-US"/>
        </w:rPr>
        <w:t>Degener &amp; Koster-Dreese</w:t>
      </w:r>
      <w:r w:rsidRPr="004551E9">
        <w:rPr>
          <w:lang w:val="en-US"/>
        </w:rPr>
        <w:t xml:space="preserve">, eds., (1995), </w:t>
      </w:r>
      <w:r w:rsidRPr="004551E9">
        <w:rPr>
          <w:i/>
          <w:lang w:val="en-US"/>
        </w:rPr>
        <w:t xml:space="preserve">Human Rights and Disabled Persons, </w:t>
      </w:r>
      <w:r w:rsidRPr="004551E9">
        <w:rPr>
          <w:lang w:val="en-US"/>
        </w:rPr>
        <w:t xml:space="preserve">Dordrecht </w:t>
      </w:r>
      <w:proofErr w:type="spellStart"/>
      <w:r w:rsidRPr="004551E9">
        <w:rPr>
          <w:lang w:val="en-US"/>
        </w:rPr>
        <w:t>Kluwer</w:t>
      </w:r>
      <w:proofErr w:type="spellEnd"/>
      <w:r w:rsidRPr="004551E9">
        <w:rPr>
          <w:lang w:val="en-US"/>
        </w:rPr>
        <w:t xml:space="preserve"> Academic Publishers Group</w:t>
      </w:r>
    </w:p>
    <w:p w:rsidR="003E2638" w:rsidRPr="001704A8" w:rsidRDefault="003E2638" w:rsidP="004551E9">
      <w:pPr>
        <w:pStyle w:val="Prrafodelista"/>
        <w:rPr>
          <w:lang w:val="en-GB"/>
        </w:rPr>
      </w:pPr>
      <w:r w:rsidRPr="001704A8">
        <w:rPr>
          <w:lang w:val="en-GB"/>
        </w:rPr>
        <w:t xml:space="preserve">DEJONG, G. (1979) </w:t>
      </w:r>
      <w:proofErr w:type="gramStart"/>
      <w:r w:rsidRPr="001704A8">
        <w:rPr>
          <w:lang w:val="en-GB"/>
        </w:rPr>
        <w:t>The</w:t>
      </w:r>
      <w:proofErr w:type="gramEnd"/>
      <w:r w:rsidRPr="001704A8">
        <w:rPr>
          <w:lang w:val="en-GB"/>
        </w:rPr>
        <w:t xml:space="preserve"> Movement for Independent Living: Origins, Ideology and Implications for Disability Research, East Lansing: Michigan State University Press.</w:t>
      </w:r>
    </w:p>
    <w:p w:rsidR="003E2638" w:rsidRPr="001704A8" w:rsidRDefault="003E2638" w:rsidP="004551E9">
      <w:pPr>
        <w:pStyle w:val="Prrafodelista"/>
        <w:rPr>
          <w:lang w:val="es-ES_tradnl"/>
        </w:rPr>
      </w:pPr>
      <w:r w:rsidRPr="001704A8">
        <w:rPr>
          <w:caps/>
          <w:lang w:val="es-ES_tradnl"/>
        </w:rPr>
        <w:t>Diez de Velasco, M.</w:t>
      </w:r>
      <w:r w:rsidRPr="001704A8">
        <w:rPr>
          <w:lang w:val="es-ES_tradnl"/>
        </w:rPr>
        <w:t xml:space="preserve"> (</w:t>
      </w:r>
      <w:proofErr w:type="spellStart"/>
      <w:r w:rsidRPr="001704A8">
        <w:rPr>
          <w:lang w:val="es-ES_tradnl"/>
        </w:rPr>
        <w:t>Coord</w:t>
      </w:r>
      <w:proofErr w:type="spellEnd"/>
      <w:r w:rsidRPr="001704A8">
        <w:rPr>
          <w:lang w:val="es-ES_tradnl"/>
        </w:rPr>
        <w:t>), (2005),</w:t>
      </w:r>
      <w:r w:rsidRPr="003E2638">
        <w:rPr>
          <w:i/>
          <w:lang w:val="es-ES"/>
        </w:rPr>
        <w:t xml:space="preserve"> Instituciones de Derecho Internacional Público</w:t>
      </w:r>
      <w:r w:rsidRPr="001704A8">
        <w:rPr>
          <w:lang w:val="es-ES_tradnl"/>
        </w:rPr>
        <w:t xml:space="preserve">, 15º ed., </w:t>
      </w:r>
      <w:proofErr w:type="spellStart"/>
      <w:r w:rsidRPr="001704A8">
        <w:rPr>
          <w:lang w:val="es-ES_tradnl"/>
        </w:rPr>
        <w:t>Tecnos</w:t>
      </w:r>
      <w:proofErr w:type="spellEnd"/>
      <w:r w:rsidRPr="001704A8">
        <w:rPr>
          <w:lang w:val="es-ES_tradnl"/>
        </w:rPr>
        <w:t>, Madrid</w:t>
      </w:r>
    </w:p>
    <w:p w:rsidR="003E2638" w:rsidRPr="001704A8" w:rsidRDefault="003E2638" w:rsidP="004551E9">
      <w:pPr>
        <w:pStyle w:val="Prrafodelista"/>
      </w:pPr>
      <w:r w:rsidRPr="001704A8">
        <w:rPr>
          <w:caps/>
        </w:rPr>
        <w:t>Díez-Picazo. L,</w:t>
      </w:r>
      <w:r w:rsidRPr="001704A8">
        <w:t xml:space="preserve"> (2003) Sistema de derecho civil. Volumen I. Introducción, derecho de la persona, autonomía privada, persona jurídica, 11ª ed., Tecnos, Madrid</w:t>
      </w:r>
    </w:p>
    <w:p w:rsidR="003E2638" w:rsidRPr="004551E9" w:rsidRDefault="003E2638" w:rsidP="004551E9">
      <w:pPr>
        <w:pStyle w:val="Prrafodelista"/>
        <w:rPr>
          <w:lang w:val="en-US"/>
        </w:rPr>
      </w:pPr>
      <w:r w:rsidRPr="004551E9">
        <w:rPr>
          <w:caps/>
          <w:lang w:val="en-US"/>
        </w:rPr>
        <w:t>Driedger, D</w:t>
      </w:r>
      <w:r w:rsidRPr="004551E9">
        <w:rPr>
          <w:lang w:val="en-US"/>
        </w:rPr>
        <w:t xml:space="preserve"> (1989) </w:t>
      </w:r>
      <w:proofErr w:type="gramStart"/>
      <w:r w:rsidRPr="004551E9">
        <w:rPr>
          <w:lang w:val="en-US"/>
        </w:rPr>
        <w:t>The</w:t>
      </w:r>
      <w:proofErr w:type="gramEnd"/>
      <w:r w:rsidRPr="004551E9">
        <w:rPr>
          <w:lang w:val="en-US"/>
        </w:rPr>
        <w:t xml:space="preserve"> Last Civil Rights Movement: Disabled Peoples' International, C Hurst &amp; Co Publishers, London</w:t>
      </w:r>
    </w:p>
    <w:p w:rsidR="003E2638" w:rsidRPr="003E2638" w:rsidRDefault="003E2638" w:rsidP="004551E9">
      <w:pPr>
        <w:pStyle w:val="Prrafodelista"/>
      </w:pPr>
      <w:r w:rsidRPr="003E2638">
        <w:rPr>
          <w:caps/>
        </w:rPr>
        <w:t>Egea García, C. &amp; Sarabia Sánchez, A</w:t>
      </w:r>
      <w:r w:rsidRPr="003E2638">
        <w:t>., (2001) Experiencias de aplicación en España de la Clasificación Internacional de Deficiencias, Discapacidades y Minusvalías, Real Patronato de Discapacidad, Documentos 58/2001, Madrid</w:t>
      </w:r>
      <w:r w:rsidRPr="003E2638">
        <w:tab/>
      </w:r>
    </w:p>
    <w:p w:rsidR="003E2638" w:rsidRPr="001704A8" w:rsidRDefault="003E2638" w:rsidP="004551E9">
      <w:pPr>
        <w:pStyle w:val="Prrafodelista"/>
      </w:pPr>
      <w:r w:rsidRPr="004551E9">
        <w:rPr>
          <w:lang w:val="en-US"/>
        </w:rPr>
        <w:t xml:space="preserve">FABRIS, S. A., (Ed.) (2005) Trends in the </w:t>
      </w:r>
      <w:proofErr w:type="spellStart"/>
      <w:r w:rsidRPr="004551E9">
        <w:rPr>
          <w:lang w:val="en-US"/>
        </w:rPr>
        <w:t>Internacional</w:t>
      </w:r>
      <w:proofErr w:type="spellEnd"/>
      <w:r w:rsidRPr="004551E9">
        <w:rPr>
          <w:lang w:val="en-US"/>
        </w:rPr>
        <w:t xml:space="preserve"> Law of Human Rights. </w:t>
      </w:r>
      <w:proofErr w:type="spellStart"/>
      <w:r w:rsidRPr="001704A8">
        <w:t>Studies</w:t>
      </w:r>
      <w:proofErr w:type="spellEnd"/>
      <w:r w:rsidRPr="001704A8">
        <w:t xml:space="preserve"> in </w:t>
      </w:r>
      <w:proofErr w:type="spellStart"/>
      <w:r w:rsidRPr="001704A8">
        <w:t>honour</w:t>
      </w:r>
      <w:proofErr w:type="spellEnd"/>
      <w:r w:rsidRPr="001704A8">
        <w:t xml:space="preserve"> of Profesor Antonio Augusto Cançado Trindade, Porto Alegre.</w:t>
      </w:r>
    </w:p>
    <w:p w:rsidR="003E2638" w:rsidRPr="003E2638" w:rsidRDefault="003E2638" w:rsidP="004551E9">
      <w:pPr>
        <w:pStyle w:val="Prrafodelista"/>
      </w:pPr>
      <w:r w:rsidRPr="003E2638">
        <w:rPr>
          <w:caps/>
        </w:rPr>
        <w:t>Fernández de Casadevante Romaní C.,</w:t>
      </w:r>
      <w:r w:rsidRPr="003E2638">
        <w:t xml:space="preserve"> (1996), </w:t>
      </w:r>
      <w:r w:rsidRPr="003E2638">
        <w:rPr>
          <w:i/>
        </w:rPr>
        <w:t>La Interpretación de las Normas Internacionales</w:t>
      </w:r>
      <w:r w:rsidRPr="003E2638">
        <w:t>, Aranzadi, Pamplona</w:t>
      </w:r>
    </w:p>
    <w:p w:rsidR="003E2638" w:rsidRPr="001704A8" w:rsidRDefault="003E2638" w:rsidP="004551E9">
      <w:pPr>
        <w:pStyle w:val="Prrafodelista"/>
      </w:pPr>
      <w:r w:rsidRPr="003E2638">
        <w:t xml:space="preserve">FERNÁNDEZ GARCÍA, E., (2001) </w:t>
      </w:r>
      <w:r w:rsidRPr="003E2638">
        <w:rPr>
          <w:i/>
        </w:rPr>
        <w:t>Dignidad Humana y ciudadanía cosmopolita</w:t>
      </w:r>
      <w:r w:rsidRPr="003E2638">
        <w:t xml:space="preserve">, col. </w:t>
      </w:r>
      <w:r w:rsidRPr="001704A8">
        <w:t>Cuadernos “Bartolomé de las Casas”, núm. 21, Dykinson, Madrid.</w:t>
      </w:r>
    </w:p>
    <w:p w:rsidR="003E2638" w:rsidRPr="001704A8" w:rsidRDefault="003E2638" w:rsidP="004551E9">
      <w:pPr>
        <w:pStyle w:val="Prrafodelista"/>
      </w:pPr>
      <w:r w:rsidRPr="001704A8">
        <w:t xml:space="preserve">FERNANDEZ LIESA C. (Ed.), (2007), </w:t>
      </w:r>
      <w:r w:rsidRPr="001704A8">
        <w:rPr>
          <w:i/>
        </w:rPr>
        <w:t>La protección internacional de las personas con discapacidad</w:t>
      </w:r>
      <w:r w:rsidRPr="001704A8">
        <w:t>, Universidad Carlos III de Madrid y Boletín Oficial del Estado, Madrid.</w:t>
      </w:r>
    </w:p>
    <w:p w:rsidR="003E2638" w:rsidRPr="003E2638" w:rsidRDefault="003E2638" w:rsidP="004551E9">
      <w:pPr>
        <w:pStyle w:val="Prrafodelista"/>
      </w:pPr>
      <w:r w:rsidRPr="003E2638">
        <w:rPr>
          <w:caps/>
        </w:rPr>
        <w:lastRenderedPageBreak/>
        <w:t>Ferreirós Marcos, M. E.,</w:t>
      </w:r>
      <w:r w:rsidRPr="003E2638">
        <w:t xml:space="preserve"> (2007), Salud mental y derechos humanos: la cuestión del tratamiento ambulatorio involuntario, Colección CERMI nº 27; Cinca, Madrid</w:t>
      </w:r>
    </w:p>
    <w:p w:rsidR="003E2638" w:rsidRPr="004551E9" w:rsidRDefault="003E2638" w:rsidP="004551E9">
      <w:pPr>
        <w:pStyle w:val="Prrafodelista"/>
        <w:rPr>
          <w:lang w:val="en-US"/>
        </w:rPr>
      </w:pPr>
      <w:r w:rsidRPr="004551E9">
        <w:rPr>
          <w:lang w:val="en-US"/>
        </w:rPr>
        <w:t>FOX, M.H., et al., (2007) “Final Report of the Nobody Left Behind: Preparedness for Persons with Mobility Impairments Research Project,” Research and Training Center on Independent Living University of Kansas.</w:t>
      </w:r>
    </w:p>
    <w:p w:rsidR="003E2638" w:rsidRPr="004551E9" w:rsidRDefault="003E2638" w:rsidP="004551E9">
      <w:pPr>
        <w:pStyle w:val="Prrafodelista"/>
        <w:rPr>
          <w:lang w:val="en-US"/>
        </w:rPr>
      </w:pPr>
      <w:r w:rsidRPr="004551E9">
        <w:rPr>
          <w:caps/>
          <w:lang w:val="en-US"/>
        </w:rPr>
        <w:t xml:space="preserve">Freeman, Chinkin, Rudolf (Eds) </w:t>
      </w:r>
      <w:r w:rsidRPr="004551E9">
        <w:rPr>
          <w:lang w:val="en-US"/>
        </w:rPr>
        <w:t xml:space="preserve">(2012) </w:t>
      </w:r>
      <w:r w:rsidRPr="004551E9">
        <w:rPr>
          <w:i/>
          <w:lang w:val="en-US"/>
        </w:rPr>
        <w:t>CEDAW Commentary</w:t>
      </w:r>
      <w:r w:rsidRPr="004551E9">
        <w:rPr>
          <w:lang w:val="en-US"/>
        </w:rPr>
        <w:t>, Oxford University Press</w:t>
      </w:r>
    </w:p>
    <w:p w:rsidR="003E2638" w:rsidRPr="001704A8" w:rsidRDefault="003E2638" w:rsidP="004551E9">
      <w:pPr>
        <w:pStyle w:val="Prrafodelista"/>
      </w:pPr>
      <w:r w:rsidRPr="001704A8">
        <w:t xml:space="preserve">GARCÍA ALONSO, J. V., (coord.), (2003) </w:t>
      </w:r>
      <w:r w:rsidRPr="001704A8">
        <w:rPr>
          <w:i/>
        </w:rPr>
        <w:t>El movimiento de vida independiente. Experiencias Internacionales</w:t>
      </w:r>
      <w:r w:rsidRPr="001704A8">
        <w:t>, Fundación Luis Vives, Madrid.</w:t>
      </w:r>
    </w:p>
    <w:p w:rsidR="003E2638" w:rsidRPr="001704A8" w:rsidRDefault="003E2638" w:rsidP="004551E9">
      <w:pPr>
        <w:pStyle w:val="Prrafodelista"/>
      </w:pPr>
      <w:r w:rsidRPr="001704A8">
        <w:t xml:space="preserve">GOMEZ ISA, F. &amp; FEYTER K., (Eds.), (2009), </w:t>
      </w:r>
      <w:r w:rsidRPr="001704A8">
        <w:rPr>
          <w:i/>
        </w:rPr>
        <w:t xml:space="preserve">International </w:t>
      </w:r>
      <w:proofErr w:type="spellStart"/>
      <w:r w:rsidRPr="001704A8">
        <w:rPr>
          <w:i/>
        </w:rPr>
        <w:t>Human</w:t>
      </w:r>
      <w:proofErr w:type="spellEnd"/>
      <w:r w:rsidRPr="001704A8">
        <w:rPr>
          <w:i/>
        </w:rPr>
        <w:t xml:space="preserve"> </w:t>
      </w:r>
      <w:proofErr w:type="spellStart"/>
      <w:r w:rsidRPr="001704A8">
        <w:rPr>
          <w:i/>
        </w:rPr>
        <w:t>Rights</w:t>
      </w:r>
      <w:proofErr w:type="spellEnd"/>
      <w:r w:rsidRPr="001704A8">
        <w:rPr>
          <w:i/>
        </w:rPr>
        <w:t xml:space="preserve"> </w:t>
      </w:r>
      <w:proofErr w:type="spellStart"/>
      <w:r w:rsidRPr="001704A8">
        <w:rPr>
          <w:i/>
        </w:rPr>
        <w:t>Law</w:t>
      </w:r>
      <w:proofErr w:type="spellEnd"/>
      <w:r w:rsidRPr="001704A8">
        <w:rPr>
          <w:i/>
        </w:rPr>
        <w:t xml:space="preserve"> in a Global </w:t>
      </w:r>
      <w:proofErr w:type="spellStart"/>
      <w:r w:rsidRPr="001704A8">
        <w:rPr>
          <w:i/>
        </w:rPr>
        <w:t>Context</w:t>
      </w:r>
      <w:proofErr w:type="spellEnd"/>
      <w:r w:rsidRPr="001704A8">
        <w:rPr>
          <w:i/>
        </w:rPr>
        <w:t xml:space="preserve">, </w:t>
      </w:r>
      <w:proofErr w:type="spellStart"/>
      <w:r w:rsidRPr="001704A8">
        <w:t>University</w:t>
      </w:r>
      <w:proofErr w:type="spellEnd"/>
      <w:r w:rsidRPr="001704A8">
        <w:t xml:space="preserve"> of Deusto, Bilbao.</w:t>
      </w:r>
    </w:p>
    <w:p w:rsidR="003E2638" w:rsidRPr="003E2638" w:rsidRDefault="003E2638" w:rsidP="004551E9">
      <w:pPr>
        <w:pStyle w:val="Prrafodelista"/>
        <w:rPr>
          <w:lang w:val="es-ES"/>
        </w:rPr>
      </w:pPr>
      <w:r w:rsidRPr="001704A8">
        <w:rPr>
          <w:caps/>
        </w:rPr>
        <w:t>González</w:t>
      </w:r>
      <w:r w:rsidRPr="001704A8">
        <w:t xml:space="preserve"> </w:t>
      </w:r>
      <w:r w:rsidRPr="001704A8">
        <w:rPr>
          <w:caps/>
        </w:rPr>
        <w:t>Millán, R &amp; Pérez Bueno, L</w:t>
      </w:r>
      <w:r w:rsidRPr="001704A8">
        <w:t xml:space="preserve">. (Coord.), (2003) </w:t>
      </w:r>
      <w:r w:rsidRPr="001704A8">
        <w:rPr>
          <w:i/>
        </w:rPr>
        <w:t>Las múltiples dimensiones de la discapacidad. Estudios en homenaje a Manuel Ruiz Ortega</w:t>
      </w:r>
      <w:r w:rsidRPr="001704A8">
        <w:t>, Escuela Libre Editorial, Fundación ONCE, Madrid</w:t>
      </w:r>
      <w:r w:rsidRPr="003E2638">
        <w:rPr>
          <w:lang w:val="es-ES"/>
        </w:rPr>
        <w:t>.</w:t>
      </w:r>
    </w:p>
    <w:p w:rsidR="003E2638" w:rsidRPr="004551E9" w:rsidRDefault="003E2638" w:rsidP="004551E9">
      <w:pPr>
        <w:pStyle w:val="Prrafodelista"/>
        <w:rPr>
          <w:lang w:val="en-US"/>
        </w:rPr>
      </w:pPr>
      <w:r w:rsidRPr="004551E9">
        <w:rPr>
          <w:caps/>
          <w:lang w:val="en-US"/>
        </w:rPr>
        <w:t>Higgins, R.,</w:t>
      </w:r>
      <w:r w:rsidRPr="004551E9">
        <w:rPr>
          <w:lang w:val="en-US"/>
        </w:rPr>
        <w:t xml:space="preserve"> (1994) Problems &amp; Process: International Law and </w:t>
      </w:r>
      <w:proofErr w:type="gramStart"/>
      <w:r w:rsidRPr="004551E9">
        <w:rPr>
          <w:lang w:val="en-US"/>
        </w:rPr>
        <w:t>How</w:t>
      </w:r>
      <w:proofErr w:type="gramEnd"/>
      <w:r w:rsidRPr="004551E9">
        <w:rPr>
          <w:lang w:val="en-US"/>
        </w:rPr>
        <w:t xml:space="preserve"> we Use it, Clarendon Press, Oxford</w:t>
      </w:r>
    </w:p>
    <w:p w:rsidR="003E2638" w:rsidRPr="003E2638" w:rsidRDefault="003E2638" w:rsidP="004551E9">
      <w:pPr>
        <w:pStyle w:val="Prrafodelista"/>
      </w:pPr>
      <w:r w:rsidRPr="003E2638">
        <w:t xml:space="preserve">HURTADO, A. L., (1991) </w:t>
      </w:r>
      <w:r w:rsidRPr="003E2638">
        <w:rPr>
          <w:i/>
        </w:rPr>
        <w:t>La voluntad y la capacidad en los actos jurídicos</w:t>
      </w:r>
      <w:r w:rsidRPr="003E2638">
        <w:t>, 4ª edición, Editorial Jurídica de Chile</w:t>
      </w:r>
    </w:p>
    <w:p w:rsidR="003E2638" w:rsidRPr="004551E9" w:rsidRDefault="003E2638" w:rsidP="004551E9">
      <w:pPr>
        <w:pStyle w:val="Prrafodelista"/>
        <w:rPr>
          <w:lang w:val="en-US"/>
        </w:rPr>
      </w:pPr>
      <w:proofErr w:type="gramStart"/>
      <w:r w:rsidRPr="004551E9">
        <w:rPr>
          <w:caps/>
          <w:lang w:val="en-US"/>
        </w:rPr>
        <w:t>Jones &amp; Basser Marks</w:t>
      </w:r>
      <w:r w:rsidRPr="004551E9">
        <w:rPr>
          <w:lang w:val="en-US"/>
        </w:rPr>
        <w:t xml:space="preserve"> (editors) (1999), </w:t>
      </w:r>
      <w:r w:rsidRPr="004551E9">
        <w:rPr>
          <w:i/>
          <w:lang w:val="en-US"/>
        </w:rPr>
        <w:t>Disability, divers-ability, and legal change</w:t>
      </w:r>
      <w:r w:rsidRPr="004551E9">
        <w:rPr>
          <w:lang w:val="en-US"/>
        </w:rPr>
        <w:t xml:space="preserve">, </w:t>
      </w:r>
      <w:proofErr w:type="spellStart"/>
      <w:r w:rsidRPr="004551E9">
        <w:rPr>
          <w:lang w:val="en-US"/>
        </w:rPr>
        <w:t>Kluwer</w:t>
      </w:r>
      <w:proofErr w:type="spellEnd"/>
      <w:r w:rsidRPr="004551E9">
        <w:rPr>
          <w:lang w:val="en-US"/>
        </w:rPr>
        <w:t xml:space="preserve"> Law International.</w:t>
      </w:r>
      <w:proofErr w:type="gramEnd"/>
    </w:p>
    <w:p w:rsidR="003E2638" w:rsidRPr="004551E9" w:rsidRDefault="003E2638" w:rsidP="004551E9">
      <w:pPr>
        <w:pStyle w:val="Prrafodelista"/>
        <w:rPr>
          <w:lang w:val="en-US"/>
        </w:rPr>
      </w:pPr>
      <w:r w:rsidRPr="004551E9">
        <w:rPr>
          <w:lang w:val="en-US"/>
        </w:rPr>
        <w:t xml:space="preserve">KAMMINGA &amp; SCHEININ (2009) (Eds.) </w:t>
      </w:r>
      <w:proofErr w:type="gramStart"/>
      <w:r w:rsidRPr="004551E9">
        <w:rPr>
          <w:i/>
          <w:lang w:val="en-US"/>
        </w:rPr>
        <w:t>The</w:t>
      </w:r>
      <w:proofErr w:type="gramEnd"/>
      <w:r w:rsidRPr="004551E9">
        <w:rPr>
          <w:i/>
          <w:lang w:val="en-US"/>
        </w:rPr>
        <w:t xml:space="preserve"> Impact of Human Rights Law on General International Law</w:t>
      </w:r>
      <w:r w:rsidRPr="004551E9">
        <w:rPr>
          <w:lang w:val="en-US"/>
        </w:rPr>
        <w:t>, Oxford University Press</w:t>
      </w:r>
    </w:p>
    <w:p w:rsidR="003E2638" w:rsidRPr="004551E9" w:rsidRDefault="003E2638" w:rsidP="004551E9">
      <w:pPr>
        <w:pStyle w:val="Prrafodelista"/>
        <w:rPr>
          <w:lang w:val="en-US"/>
        </w:rPr>
      </w:pPr>
      <w:r w:rsidRPr="004551E9">
        <w:rPr>
          <w:caps/>
          <w:lang w:val="en-US"/>
        </w:rPr>
        <w:t>Kesb, A.,</w:t>
      </w:r>
      <w:r w:rsidRPr="004551E9">
        <w:rPr>
          <w:lang w:val="en-US"/>
        </w:rPr>
        <w:t xml:space="preserve"> (2012) </w:t>
      </w:r>
      <w:proofErr w:type="gramStart"/>
      <w:r w:rsidRPr="004551E9">
        <w:rPr>
          <w:lang w:val="en-US"/>
        </w:rPr>
        <w:t>The</w:t>
      </w:r>
      <w:proofErr w:type="gramEnd"/>
      <w:r w:rsidRPr="004551E9">
        <w:rPr>
          <w:lang w:val="en-US"/>
        </w:rPr>
        <w:t xml:space="preserve"> Right to Have Rights: Citizenship, Humanity, and International Law, Oxford University Press</w:t>
      </w:r>
    </w:p>
    <w:p w:rsidR="003E2638" w:rsidRPr="001704A8" w:rsidRDefault="003E2638" w:rsidP="004551E9">
      <w:pPr>
        <w:pStyle w:val="Prrafodelista"/>
        <w:rPr>
          <w:lang w:eastAsia="es-AR"/>
        </w:rPr>
      </w:pPr>
      <w:r w:rsidRPr="001704A8">
        <w:rPr>
          <w:lang w:eastAsia="es-AR"/>
        </w:rPr>
        <w:t>LA ORDEN, J., (2007) (</w:t>
      </w:r>
      <w:proofErr w:type="spellStart"/>
      <w:r w:rsidRPr="001704A8">
        <w:rPr>
          <w:lang w:eastAsia="es-AR"/>
        </w:rPr>
        <w:t>dir.</w:t>
      </w:r>
      <w:proofErr w:type="spellEnd"/>
      <w:r w:rsidRPr="001704A8">
        <w:rPr>
          <w:lang w:eastAsia="es-AR"/>
        </w:rPr>
        <w:t xml:space="preserve">), Los derechos de las personas con discapacidad. </w:t>
      </w:r>
      <w:proofErr w:type="spellStart"/>
      <w:r w:rsidRPr="001704A8">
        <w:rPr>
          <w:lang w:eastAsia="es-AR"/>
        </w:rPr>
        <w:t>Vol</w:t>
      </w:r>
      <w:proofErr w:type="spellEnd"/>
      <w:r w:rsidRPr="001704A8">
        <w:rPr>
          <w:lang w:eastAsia="es-AR"/>
        </w:rPr>
        <w:t xml:space="preserve"> I. Aspectos jurídicos, CGPJ, Madrid.</w:t>
      </w:r>
    </w:p>
    <w:p w:rsidR="003E2638" w:rsidRPr="001704A8" w:rsidRDefault="003E2638" w:rsidP="004551E9">
      <w:pPr>
        <w:pStyle w:val="Prrafodelista"/>
      </w:pPr>
      <w:r w:rsidRPr="001704A8">
        <w:rPr>
          <w:caps/>
        </w:rPr>
        <w:lastRenderedPageBreak/>
        <w:t>Lidón Heras, L.,</w:t>
      </w:r>
      <w:r w:rsidRPr="001704A8">
        <w:t xml:space="preserve"> (2011) La Convención sobre los derechos de las personas con discapacidad. ¿Por qué una toma de conciencia? Una propuesta para los medios de comunicación, Editorial Universitaria Ramón Areces, Madrid</w:t>
      </w:r>
    </w:p>
    <w:p w:rsidR="003E2638" w:rsidRPr="004551E9" w:rsidRDefault="003E2638" w:rsidP="004551E9">
      <w:pPr>
        <w:pStyle w:val="Prrafodelista"/>
        <w:rPr>
          <w:lang w:val="en-US"/>
        </w:rPr>
      </w:pPr>
      <w:r w:rsidRPr="004551E9">
        <w:rPr>
          <w:caps/>
          <w:lang w:val="en-US"/>
        </w:rPr>
        <w:t>Lijnzaad, E.</w:t>
      </w:r>
      <w:r w:rsidRPr="004551E9">
        <w:rPr>
          <w:lang w:val="en-US"/>
        </w:rPr>
        <w:t xml:space="preserve"> (1995), Reservations to Un-Human Rights Treaties: Ratify and Ruin</w:t>
      </w:r>
      <w:proofErr w:type="gramStart"/>
      <w:r w:rsidRPr="004551E9">
        <w:rPr>
          <w:lang w:val="en-US"/>
        </w:rPr>
        <w:t>?,</w:t>
      </w:r>
      <w:proofErr w:type="gramEnd"/>
      <w:r w:rsidRPr="004551E9">
        <w:rPr>
          <w:lang w:val="en-US"/>
        </w:rPr>
        <w:t xml:space="preserve"> Martinus Nijhoff Publishers</w:t>
      </w:r>
    </w:p>
    <w:p w:rsidR="003E2638" w:rsidRPr="003E2638" w:rsidRDefault="003E2638" w:rsidP="004551E9">
      <w:pPr>
        <w:pStyle w:val="Prrafodelista"/>
      </w:pPr>
      <w:r w:rsidRPr="003E2638">
        <w:rPr>
          <w:caps/>
        </w:rPr>
        <w:t>Llorens, L. R. &amp; Rajmil, A. B.,</w:t>
      </w:r>
      <w:r w:rsidRPr="003E2638">
        <w:t xml:space="preserve"> (2010) Derecho de autoprotección : previsiones para la eventual pérdida del discernimiento, </w:t>
      </w:r>
      <w:proofErr w:type="spellStart"/>
      <w:r w:rsidRPr="003E2638">
        <w:t>Astrea</w:t>
      </w:r>
      <w:proofErr w:type="spellEnd"/>
      <w:r w:rsidRPr="003E2638">
        <w:t xml:space="preserve">, Buenos Aires; </w:t>
      </w:r>
    </w:p>
    <w:p w:rsidR="003E2638" w:rsidRPr="003E2638" w:rsidRDefault="003E2638" w:rsidP="004551E9">
      <w:pPr>
        <w:pStyle w:val="Prrafodelista"/>
      </w:pPr>
      <w:r w:rsidRPr="003E2638">
        <w:rPr>
          <w:caps/>
        </w:rPr>
        <w:t>Mariño Menéndez</w:t>
      </w:r>
      <w:r>
        <w:rPr>
          <w:caps/>
        </w:rPr>
        <w:t>,</w:t>
      </w:r>
      <w:r w:rsidRPr="003E2638">
        <w:rPr>
          <w:caps/>
        </w:rPr>
        <w:t xml:space="preserve"> F. </w:t>
      </w:r>
      <w:r w:rsidRPr="003E2638">
        <w:t xml:space="preserve">et. al., </w:t>
      </w:r>
      <w:r w:rsidRPr="003E2638">
        <w:rPr>
          <w:caps/>
        </w:rPr>
        <w:t xml:space="preserve"> (</w:t>
      </w:r>
      <w:r w:rsidRPr="003E2638">
        <w:t xml:space="preserve">1995), </w:t>
      </w:r>
      <w:r w:rsidRPr="003E2638">
        <w:rPr>
          <w:i/>
        </w:rPr>
        <w:t>Derecho de Extranjería, asilo y refugio</w:t>
      </w:r>
      <w:r w:rsidRPr="003E2638">
        <w:t>, Instituto Nacional de Servicios Sociales (INSERSO), Madrid.</w:t>
      </w:r>
    </w:p>
    <w:p w:rsidR="003E2638" w:rsidRPr="003E2638" w:rsidRDefault="003E2638" w:rsidP="004551E9">
      <w:pPr>
        <w:pStyle w:val="Prrafodelista"/>
      </w:pPr>
      <w:r w:rsidRPr="003E2638">
        <w:t xml:space="preserve">MARIÑO MENÉNDEZ, F. (2005), </w:t>
      </w:r>
      <w:r w:rsidRPr="003E2638">
        <w:rPr>
          <w:i/>
        </w:rPr>
        <w:t>Derecho Internacional Público: Parte General</w:t>
      </w:r>
      <w:r w:rsidRPr="003E2638">
        <w:t xml:space="preserve">, 4ª edición, </w:t>
      </w:r>
      <w:proofErr w:type="spellStart"/>
      <w:r w:rsidRPr="003E2638">
        <w:t>Trotta</w:t>
      </w:r>
      <w:proofErr w:type="spellEnd"/>
      <w:r w:rsidRPr="003E2638">
        <w:t>, Madrid.</w:t>
      </w:r>
    </w:p>
    <w:p w:rsidR="003E2638" w:rsidRPr="004551E9" w:rsidRDefault="003E2638" w:rsidP="004551E9">
      <w:pPr>
        <w:pStyle w:val="Prrafodelista"/>
        <w:rPr>
          <w:lang w:val="en-US"/>
        </w:rPr>
      </w:pPr>
      <w:proofErr w:type="gramStart"/>
      <w:r w:rsidRPr="004551E9">
        <w:rPr>
          <w:lang w:val="en-US"/>
        </w:rPr>
        <w:t>MERON, T., (1989), Human rights and humanitarian norms as customary law, Oxford University Press.</w:t>
      </w:r>
      <w:proofErr w:type="gramEnd"/>
    </w:p>
    <w:p w:rsidR="003E2638" w:rsidRPr="003E2638" w:rsidRDefault="003E2638" w:rsidP="004551E9">
      <w:pPr>
        <w:pStyle w:val="Prrafodelista"/>
        <w:rPr>
          <w:noProof/>
        </w:rPr>
      </w:pPr>
      <w:r w:rsidRPr="001704A8">
        <w:rPr>
          <w:noProof/>
        </w:rPr>
        <w:t xml:space="preserve">MORRIS, J. (ed.) </w:t>
      </w:r>
      <w:r w:rsidRPr="003E2638">
        <w:rPr>
          <w:noProof/>
        </w:rPr>
        <w:t>(1996), Encuentros con desconocidas. Feminismo y discapacidad, Narcea, Madrid.</w:t>
      </w:r>
    </w:p>
    <w:p w:rsidR="003E2638" w:rsidRPr="004551E9" w:rsidRDefault="003E2638" w:rsidP="004551E9">
      <w:pPr>
        <w:pStyle w:val="Pie"/>
        <w:rPr>
          <w:lang w:val="en-US"/>
        </w:rPr>
      </w:pPr>
      <w:r w:rsidRPr="004551E9">
        <w:rPr>
          <w:lang w:val="en-US"/>
        </w:rPr>
        <w:t xml:space="preserve">MORRIS, J., (1991), Pride against prejudice. A Personal Politics of Disability, Women´s Press Ltd., London;  </w:t>
      </w:r>
    </w:p>
    <w:p w:rsidR="003E2638" w:rsidRPr="003E2638" w:rsidRDefault="003E2638" w:rsidP="004551E9">
      <w:pPr>
        <w:pStyle w:val="Prrafodelista"/>
      </w:pPr>
      <w:r w:rsidRPr="003E2638">
        <w:t>NINO, C. S., (1989) Ética y derechos humanos. Un ensayo de fundamentación, Ariel Derecho, Barcelona.</w:t>
      </w:r>
    </w:p>
    <w:p w:rsidR="003E2638" w:rsidRPr="001704A8" w:rsidRDefault="003E2638" w:rsidP="004551E9">
      <w:pPr>
        <w:pStyle w:val="Prrafodelista"/>
      </w:pPr>
      <w:r w:rsidRPr="001704A8">
        <w:rPr>
          <w:caps/>
        </w:rPr>
        <w:t>Nogueira &amp; Schapiro</w:t>
      </w:r>
      <w:r w:rsidRPr="001704A8">
        <w:t xml:space="preserve"> (Coord.) (2012) </w:t>
      </w:r>
      <w:r w:rsidRPr="001704A8">
        <w:rPr>
          <w:i/>
        </w:rPr>
        <w:t>Acceso a la justicia y grupos vulnerables</w:t>
      </w:r>
      <w:r w:rsidRPr="001704A8">
        <w:t xml:space="preserve"> Librearía Editora Platense, La Plata.</w:t>
      </w:r>
    </w:p>
    <w:p w:rsidR="003E2638" w:rsidRPr="004551E9" w:rsidRDefault="003E2638" w:rsidP="004551E9">
      <w:pPr>
        <w:pStyle w:val="Prrafodelista"/>
        <w:rPr>
          <w:lang w:val="en-US"/>
        </w:rPr>
      </w:pPr>
      <w:r w:rsidRPr="004551E9">
        <w:rPr>
          <w:caps/>
          <w:lang w:val="en-US"/>
        </w:rPr>
        <w:t xml:space="preserve">Nowak M, (2005) </w:t>
      </w:r>
      <w:r w:rsidRPr="004551E9">
        <w:rPr>
          <w:lang w:val="en-US"/>
        </w:rPr>
        <w:t>U.N. Covenant on Civil and Political Rights: CCPR Commentary, 2</w:t>
      </w:r>
      <w:r w:rsidRPr="004551E9">
        <w:rPr>
          <w:vertAlign w:val="superscript"/>
          <w:lang w:val="en-US"/>
        </w:rPr>
        <w:t>nd</w:t>
      </w:r>
      <w:r w:rsidRPr="004551E9">
        <w:rPr>
          <w:lang w:val="en-US"/>
        </w:rPr>
        <w:t xml:space="preserve"> revised edition, N.P. Engel Publisher</w:t>
      </w:r>
    </w:p>
    <w:p w:rsidR="003E2638" w:rsidRPr="004551E9" w:rsidRDefault="003E2638" w:rsidP="004551E9">
      <w:pPr>
        <w:pStyle w:val="Prrafodelista"/>
        <w:rPr>
          <w:lang w:val="en-US"/>
        </w:rPr>
      </w:pPr>
      <w:r w:rsidRPr="004551E9">
        <w:rPr>
          <w:caps/>
          <w:lang w:val="en-US"/>
        </w:rPr>
        <w:t>Ooka Pang V., Fernekes W. F. &amp; Nelson J. L.,</w:t>
      </w:r>
      <w:r w:rsidRPr="004551E9">
        <w:rPr>
          <w:lang w:val="en-US"/>
        </w:rPr>
        <w:t xml:space="preserve"> (</w:t>
      </w:r>
      <w:proofErr w:type="spellStart"/>
      <w:proofErr w:type="gramStart"/>
      <w:r w:rsidRPr="004551E9">
        <w:rPr>
          <w:lang w:val="en-US"/>
        </w:rPr>
        <w:t>eds</w:t>
      </w:r>
      <w:proofErr w:type="spellEnd"/>
      <w:proofErr w:type="gramEnd"/>
      <w:r w:rsidRPr="004551E9">
        <w:rPr>
          <w:lang w:val="en-US"/>
        </w:rPr>
        <w:t xml:space="preserve">) (2010) </w:t>
      </w:r>
      <w:r w:rsidRPr="004551E9">
        <w:rPr>
          <w:i/>
          <w:lang w:val="en-US"/>
        </w:rPr>
        <w:t>The Human Impact of Natural Disasters: Issues for the Inquiry-Based Classroom</w:t>
      </w:r>
      <w:r w:rsidRPr="004551E9">
        <w:rPr>
          <w:lang w:val="en-US"/>
        </w:rPr>
        <w:t>, National Council for the Social Studies</w:t>
      </w:r>
    </w:p>
    <w:p w:rsidR="003E2638" w:rsidRPr="001704A8" w:rsidRDefault="003E2638" w:rsidP="004551E9">
      <w:pPr>
        <w:pStyle w:val="Prrafodelista"/>
      </w:pPr>
      <w:r w:rsidRPr="001704A8">
        <w:rPr>
          <w:caps/>
        </w:rPr>
        <w:t>Palacios, A., &amp; Bariffi, F.,</w:t>
      </w:r>
      <w:r w:rsidRPr="001704A8">
        <w:t xml:space="preserve"> (2007), La discapacidad como una cuestión de derechos humanos. Una aproximación a la Convención </w:t>
      </w:r>
      <w:r w:rsidRPr="001704A8">
        <w:lastRenderedPageBreak/>
        <w:t>Internacional sobre los Derechos de las Personas con Discapacidad, Cinca, Madrid.</w:t>
      </w:r>
    </w:p>
    <w:p w:rsidR="003E2638" w:rsidRPr="001704A8" w:rsidRDefault="003E2638" w:rsidP="004551E9">
      <w:pPr>
        <w:pStyle w:val="Prrafodelista"/>
      </w:pPr>
      <w:r w:rsidRPr="001704A8">
        <w:t>PALACIOS, A., &amp; ROMAÑACH, J., (2006), El modelo de la diversidad: La Bioética y los Derechos Humanos como herramientas para alcanzar la plena dignidad en la diversidad funcional, Diversitas-AIES, Madrid.</w:t>
      </w:r>
    </w:p>
    <w:p w:rsidR="003E2638" w:rsidRPr="001704A8" w:rsidRDefault="003E2638" w:rsidP="004551E9">
      <w:pPr>
        <w:pStyle w:val="Prrafodelista"/>
      </w:pPr>
      <w:r w:rsidRPr="001704A8">
        <w:t xml:space="preserve">PALACIOS, A., (2008), El modelo social de discapacidad: orígenes, caracterización y plasmación en la Convención Internacional sobre los Derechos de las Personas con Discapacidad, Colección CERMI, Ediciones Cinca, Madrid. </w:t>
      </w:r>
    </w:p>
    <w:p w:rsidR="003E2638" w:rsidRPr="003E2638" w:rsidRDefault="003E2638" w:rsidP="004551E9">
      <w:pPr>
        <w:pStyle w:val="Prrafodelista"/>
      </w:pPr>
      <w:r w:rsidRPr="003E2638">
        <w:t xml:space="preserve">PECES-BARBA MARTÍNEZ, G., FERNÁNDEZ GARCÍA, E., (Dir), (2003)  </w:t>
      </w:r>
      <w:r w:rsidRPr="003E2638">
        <w:rPr>
          <w:i/>
        </w:rPr>
        <w:t xml:space="preserve">Historia de los Derechos Fundamentales, </w:t>
      </w:r>
      <w:r w:rsidRPr="003E2638">
        <w:t>Tomo I, Dykinson, Madrid.</w:t>
      </w:r>
    </w:p>
    <w:p w:rsidR="003E2638" w:rsidRPr="001704A8" w:rsidRDefault="003E2638" w:rsidP="004551E9">
      <w:pPr>
        <w:pStyle w:val="Prrafodelista"/>
      </w:pPr>
      <w:r w:rsidRPr="003E2638">
        <w:t xml:space="preserve">PECES-BARBA, G. (2003) </w:t>
      </w:r>
      <w:r w:rsidRPr="003E2638">
        <w:rPr>
          <w:i/>
        </w:rPr>
        <w:t>La dignidad de la persona desde la Filosofía del Derecho</w:t>
      </w:r>
      <w:r w:rsidRPr="003E2638">
        <w:t xml:space="preserve">, col. </w:t>
      </w:r>
      <w:r w:rsidRPr="001704A8">
        <w:t>Cuadernos “Bartolomé de las Casas”, núm. 26, Dykinson, Madrid.</w:t>
      </w:r>
    </w:p>
    <w:p w:rsidR="003E2638" w:rsidRPr="003E2638" w:rsidRDefault="003E2638" w:rsidP="004551E9">
      <w:pPr>
        <w:pStyle w:val="Prrafodelista"/>
      </w:pPr>
      <w:r w:rsidRPr="003E2638">
        <w:rPr>
          <w:caps/>
        </w:rPr>
        <w:t>Pérez Bueno, L. C.,</w:t>
      </w:r>
      <w:r w:rsidRPr="003E2638">
        <w:t xml:space="preserve"> (Dir.) (2012), 2003-2012: 10 años de legislación sobre no discriminación de personas con discapacidad en España. Estudios en homenaje a Miguel Ángel Cabra de Luna, CERMI, Fundación Derecho y Discapacidad, Madrid.</w:t>
      </w:r>
    </w:p>
    <w:p w:rsidR="003E2638" w:rsidRPr="004551E9" w:rsidRDefault="003E2638" w:rsidP="004551E9">
      <w:pPr>
        <w:pStyle w:val="Prrafodelista"/>
        <w:rPr>
          <w:lang w:val="en-US"/>
        </w:rPr>
      </w:pPr>
      <w:r w:rsidRPr="004551E9">
        <w:rPr>
          <w:lang w:val="en-US"/>
        </w:rPr>
        <w:t xml:space="preserve">PORTMANN, R. (2010), </w:t>
      </w:r>
      <w:r w:rsidRPr="004551E9">
        <w:rPr>
          <w:i/>
          <w:lang w:val="en-US"/>
        </w:rPr>
        <w:t>Legal Personality in International Law</w:t>
      </w:r>
      <w:r w:rsidRPr="004551E9">
        <w:rPr>
          <w:lang w:val="en-US"/>
        </w:rPr>
        <w:t>, Cambridge studies in international and comparative law, Cambridge University Press</w:t>
      </w:r>
    </w:p>
    <w:p w:rsidR="003E2638" w:rsidRPr="003E2638" w:rsidRDefault="003E2638" w:rsidP="004551E9">
      <w:pPr>
        <w:pStyle w:val="Prrafodelista"/>
      </w:pPr>
      <w:r w:rsidRPr="003E2638">
        <w:t>QUINN, G. &amp; DEGENER, T., (2002a), Derechos Humanos y Discapacidad. Uso actual y posibilidades futuras de los instrumentos de derechos humanos de las Naciones Unidas en el contexto de la discapacidad, OACDH HR/PUB/02/1, Naciones Unidas.</w:t>
      </w:r>
    </w:p>
    <w:p w:rsidR="003E2638" w:rsidRPr="004551E9" w:rsidRDefault="003E2638" w:rsidP="004551E9">
      <w:pPr>
        <w:pStyle w:val="Prrafodelista"/>
        <w:rPr>
          <w:lang w:val="en-US"/>
        </w:rPr>
      </w:pPr>
      <w:r w:rsidRPr="004551E9">
        <w:rPr>
          <w:lang w:val="en-US"/>
        </w:rPr>
        <w:t xml:space="preserve">QUINN, G. &amp; DEGENER, T., (2002b) </w:t>
      </w:r>
      <w:r w:rsidRPr="004551E9">
        <w:rPr>
          <w:i/>
          <w:lang w:val="en-US"/>
        </w:rPr>
        <w:t>A Survey of International, Comparative and Regional Disability Law Reform</w:t>
      </w:r>
      <w:r w:rsidRPr="004551E9">
        <w:rPr>
          <w:lang w:val="en-US"/>
        </w:rPr>
        <w:t xml:space="preserve">, </w:t>
      </w:r>
      <w:proofErr w:type="spellStart"/>
      <w:r w:rsidRPr="004551E9">
        <w:rPr>
          <w:lang w:val="en-US"/>
        </w:rPr>
        <w:t>accesible</w:t>
      </w:r>
      <w:proofErr w:type="spellEnd"/>
      <w:r w:rsidRPr="004551E9">
        <w:rPr>
          <w:lang w:val="en-US"/>
        </w:rPr>
        <w:t xml:space="preserve"> en: </w:t>
      </w:r>
      <w:hyperlink r:id="rId8" w:history="1">
        <w:r w:rsidRPr="004551E9">
          <w:rPr>
            <w:rStyle w:val="Hipervnculo"/>
            <w:color w:val="auto"/>
            <w:sz w:val="20"/>
            <w:szCs w:val="20"/>
            <w:lang w:val="en-US"/>
          </w:rPr>
          <w:t>http://www.dredf.org/international/degener_quinn.html</w:t>
        </w:r>
      </w:hyperlink>
    </w:p>
    <w:p w:rsidR="003E2638" w:rsidRPr="001704A8" w:rsidRDefault="003E2638" w:rsidP="004551E9">
      <w:pPr>
        <w:pStyle w:val="Prrafodelista"/>
      </w:pPr>
      <w:r w:rsidRPr="001704A8">
        <w:lastRenderedPageBreak/>
        <w:t xml:space="preserve">RABINOVICH BERKMAN, R D, (2000) </w:t>
      </w:r>
      <w:r w:rsidRPr="001704A8">
        <w:rPr>
          <w:i/>
        </w:rPr>
        <w:t>Derecho Civil, Parte General</w:t>
      </w:r>
      <w:r w:rsidRPr="001704A8">
        <w:t xml:space="preserve">, </w:t>
      </w:r>
      <w:proofErr w:type="spellStart"/>
      <w:r w:rsidRPr="001704A8">
        <w:t>Astrea</w:t>
      </w:r>
      <w:proofErr w:type="spellEnd"/>
      <w:r w:rsidRPr="001704A8">
        <w:t>, Buenos Aires</w:t>
      </w:r>
    </w:p>
    <w:p w:rsidR="003E2638" w:rsidRPr="004551E9" w:rsidRDefault="003E2638" w:rsidP="004551E9">
      <w:pPr>
        <w:pStyle w:val="Prrafodelista"/>
        <w:rPr>
          <w:lang w:val="en-US"/>
        </w:rPr>
      </w:pPr>
      <w:r w:rsidRPr="004551E9">
        <w:rPr>
          <w:lang w:val="en-US"/>
        </w:rPr>
        <w:t xml:space="preserve">READ, J., &amp; CLEMENTS, L., (Ed.), (2008) Disabled People and the Right to Life: The Protection and Violation of Disabled People’s Most Basic Human Right, </w:t>
      </w:r>
      <w:proofErr w:type="spellStart"/>
      <w:r w:rsidRPr="004551E9">
        <w:rPr>
          <w:lang w:val="en-US"/>
        </w:rPr>
        <w:t>Routledge</w:t>
      </w:r>
      <w:proofErr w:type="spellEnd"/>
      <w:r w:rsidRPr="004551E9">
        <w:rPr>
          <w:lang w:val="en-US"/>
        </w:rPr>
        <w:t>, New York</w:t>
      </w:r>
    </w:p>
    <w:p w:rsidR="003E2638" w:rsidRPr="004551E9" w:rsidRDefault="003E2638" w:rsidP="004551E9">
      <w:pPr>
        <w:pStyle w:val="Prrafodelista"/>
        <w:rPr>
          <w:lang w:val="en-US"/>
        </w:rPr>
      </w:pPr>
      <w:r w:rsidRPr="004551E9">
        <w:rPr>
          <w:caps/>
          <w:lang w:val="en-US"/>
        </w:rPr>
        <w:t>Rehof L. A,</w:t>
      </w:r>
      <w:r w:rsidRPr="004551E9">
        <w:rPr>
          <w:lang w:val="en-US"/>
        </w:rPr>
        <w:t xml:space="preserve"> (1993) Guide to the “</w:t>
      </w:r>
      <w:proofErr w:type="spellStart"/>
      <w:r w:rsidRPr="004551E9">
        <w:rPr>
          <w:lang w:val="en-US"/>
        </w:rPr>
        <w:t>Travaux</w:t>
      </w:r>
      <w:proofErr w:type="spellEnd"/>
      <w:r w:rsidRPr="004551E9">
        <w:rPr>
          <w:lang w:val="en-US"/>
        </w:rPr>
        <w:t xml:space="preserve"> </w:t>
      </w:r>
      <w:proofErr w:type="spellStart"/>
      <w:r w:rsidRPr="004551E9">
        <w:rPr>
          <w:lang w:val="en-US"/>
        </w:rPr>
        <w:t>Préparatoires</w:t>
      </w:r>
      <w:proofErr w:type="spellEnd"/>
      <w:r w:rsidRPr="004551E9">
        <w:rPr>
          <w:lang w:val="en-US"/>
        </w:rPr>
        <w:t>” of the United Nations Convention on the Elimination of All Forms of Discrimination against Women, Martinus Nijhoff</w:t>
      </w:r>
    </w:p>
    <w:p w:rsidR="003E2638" w:rsidRPr="001704A8" w:rsidRDefault="003E2638" w:rsidP="004551E9">
      <w:pPr>
        <w:pStyle w:val="Prrafodelista"/>
      </w:pPr>
      <w:r w:rsidRPr="001704A8">
        <w:t xml:space="preserve">RIBOTTA, S. &amp; ROSSETTI, A., (eds.), (2010), Los Derechos Sociales en el Siglo XXI. </w:t>
      </w:r>
      <w:r w:rsidRPr="003E2638">
        <w:rPr>
          <w:lang w:val="es-ES"/>
        </w:rPr>
        <w:t xml:space="preserve">Un desafío clave para el Derechos y la justicia, Madrid, </w:t>
      </w:r>
      <w:proofErr w:type="spellStart"/>
      <w:r w:rsidRPr="003E2638">
        <w:rPr>
          <w:lang w:val="es-ES"/>
        </w:rPr>
        <w:t>Dykinson</w:t>
      </w:r>
      <w:proofErr w:type="spellEnd"/>
    </w:p>
    <w:p w:rsidR="003E2638" w:rsidRPr="003E2638" w:rsidRDefault="003E2638" w:rsidP="004551E9">
      <w:pPr>
        <w:pStyle w:val="Prrafodelista"/>
      </w:pPr>
      <w:r w:rsidRPr="003E2638">
        <w:rPr>
          <w:caps/>
        </w:rPr>
        <w:t>Rodríguez-Pinzón &amp; Guevara</w:t>
      </w:r>
      <w:r w:rsidRPr="003E2638">
        <w:t xml:space="preserve"> (Comp.), (2004) </w:t>
      </w:r>
      <w:r w:rsidRPr="003E2638">
        <w:rPr>
          <w:i/>
        </w:rPr>
        <w:t>Derecho Internacional de los Derechos Humanos</w:t>
      </w:r>
      <w:r w:rsidRPr="003E2638">
        <w:t xml:space="preserve">, </w:t>
      </w:r>
      <w:proofErr w:type="spellStart"/>
      <w:r w:rsidRPr="003E2638">
        <w:t>Fontamara</w:t>
      </w:r>
      <w:proofErr w:type="spellEnd"/>
      <w:r w:rsidRPr="003E2638">
        <w:t>, México,.</w:t>
      </w:r>
    </w:p>
    <w:p w:rsidR="003E2638" w:rsidRPr="003E2638" w:rsidRDefault="003E2638" w:rsidP="004551E9">
      <w:pPr>
        <w:pStyle w:val="Prrafodelista"/>
      </w:pPr>
      <w:r w:rsidRPr="003E2638">
        <w:t xml:space="preserve">ROSALES P. (Coord.), </w:t>
      </w:r>
      <w:r w:rsidRPr="001704A8">
        <w:t xml:space="preserve">(2012) </w:t>
      </w:r>
      <w:r w:rsidRPr="003E2638">
        <w:t xml:space="preserve">Convención sobre los Derechos de las Personas con Discapacidad (Ley 26.378) Comentada, </w:t>
      </w:r>
      <w:proofErr w:type="spellStart"/>
      <w:r w:rsidRPr="003E2638">
        <w:t>Abeledo</w:t>
      </w:r>
      <w:proofErr w:type="spellEnd"/>
      <w:r w:rsidRPr="003E2638">
        <w:t xml:space="preserve"> </w:t>
      </w:r>
      <w:proofErr w:type="spellStart"/>
      <w:r w:rsidRPr="003E2638">
        <w:t>Perrot</w:t>
      </w:r>
      <w:proofErr w:type="spellEnd"/>
      <w:r w:rsidRPr="003E2638">
        <w:t>, Buenos Aires</w:t>
      </w:r>
    </w:p>
    <w:p w:rsidR="00AE4F19" w:rsidRPr="00AE4F19" w:rsidRDefault="00AE4F19" w:rsidP="004551E9">
      <w:pPr>
        <w:pStyle w:val="Prrafodelista"/>
      </w:pPr>
      <w:r w:rsidRPr="00AE4F19">
        <w:t xml:space="preserve">SALMON, E. S. (2012) </w:t>
      </w:r>
      <w:r w:rsidRPr="00AE4F19">
        <w:rPr>
          <w:i/>
        </w:rPr>
        <w:t xml:space="preserve">Introducción al Derecho Internacional Humanitario </w:t>
      </w:r>
      <w:r w:rsidRPr="00AE4F19">
        <w:t>(3a Edición), Comité Internacional de la Cruz Roja, Lima.</w:t>
      </w:r>
    </w:p>
    <w:p w:rsidR="002C317F" w:rsidRPr="002C317F" w:rsidRDefault="00AE4F19" w:rsidP="004551E9">
      <w:pPr>
        <w:pStyle w:val="Prrafodelista"/>
      </w:pPr>
      <w:r w:rsidRPr="00AE4F19">
        <w:t xml:space="preserve">SALMON, E. S. (2011), </w:t>
      </w:r>
      <w:r w:rsidRPr="00AE4F19">
        <w:rPr>
          <w:i/>
        </w:rPr>
        <w:t>Jurisprudencia de la Corte Interamericana de Derechos Humanos</w:t>
      </w:r>
      <w:r w:rsidRPr="00AE4F19">
        <w:t>, Colección Textos de Jurisprudencia (1a Edición), Universidad del Rosario, Bogotá.</w:t>
      </w:r>
    </w:p>
    <w:p w:rsidR="003E2638" w:rsidRPr="003E2638" w:rsidRDefault="003E2638" w:rsidP="004551E9">
      <w:pPr>
        <w:pStyle w:val="Prrafodelista"/>
        <w:rPr>
          <w:lang w:val="es-ES"/>
        </w:rPr>
      </w:pPr>
      <w:r w:rsidRPr="001704A8">
        <w:rPr>
          <w:caps/>
        </w:rPr>
        <w:t xml:space="preserve">Sánchez de la Torre A, (2005) </w:t>
      </w:r>
      <w:r w:rsidRPr="001704A8">
        <w:t xml:space="preserve">(Editor) La capacidad jurídica. </w:t>
      </w:r>
      <w:r w:rsidRPr="003E2638">
        <w:rPr>
          <w:lang w:val="es-ES"/>
        </w:rPr>
        <w:t xml:space="preserve">Fundamentos de conocimiento jurídico, </w:t>
      </w:r>
      <w:proofErr w:type="spellStart"/>
      <w:r w:rsidRPr="003E2638">
        <w:rPr>
          <w:lang w:val="es-ES"/>
        </w:rPr>
        <w:t>Dykinson</w:t>
      </w:r>
      <w:proofErr w:type="spellEnd"/>
      <w:r w:rsidRPr="003E2638">
        <w:rPr>
          <w:lang w:val="es-ES"/>
        </w:rPr>
        <w:t>, Madrid</w:t>
      </w:r>
    </w:p>
    <w:p w:rsidR="003E2638" w:rsidRPr="004551E9" w:rsidRDefault="003E2638" w:rsidP="004551E9">
      <w:pPr>
        <w:pStyle w:val="Prrafodelista"/>
        <w:rPr>
          <w:lang w:val="en-US"/>
        </w:rPr>
      </w:pPr>
      <w:r w:rsidRPr="004551E9">
        <w:rPr>
          <w:lang w:val="en-US"/>
        </w:rPr>
        <w:t xml:space="preserve">SAULLE, M. R., (1981), </w:t>
      </w:r>
      <w:r w:rsidRPr="004551E9">
        <w:rPr>
          <w:i/>
          <w:lang w:val="en-US"/>
        </w:rPr>
        <w:t>The Disabled persons and the international organizations</w:t>
      </w:r>
      <w:r w:rsidRPr="004551E9">
        <w:rPr>
          <w:lang w:val="en-US"/>
        </w:rPr>
        <w:t xml:space="preserve">, International Documentation </w:t>
      </w:r>
      <w:proofErr w:type="spellStart"/>
      <w:r w:rsidRPr="004551E9">
        <w:rPr>
          <w:lang w:val="en-US"/>
        </w:rPr>
        <w:t>Ent</w:t>
      </w:r>
      <w:proofErr w:type="spellEnd"/>
      <w:r w:rsidRPr="004551E9">
        <w:rPr>
          <w:lang w:val="en-US"/>
        </w:rPr>
        <w:t xml:space="preserve">. </w:t>
      </w:r>
      <w:proofErr w:type="gramStart"/>
      <w:r w:rsidRPr="004551E9">
        <w:rPr>
          <w:lang w:val="en-US"/>
        </w:rPr>
        <w:t>Roma.</w:t>
      </w:r>
      <w:proofErr w:type="gramEnd"/>
    </w:p>
    <w:p w:rsidR="003E2638" w:rsidRPr="004551E9" w:rsidRDefault="003E2638" w:rsidP="004551E9">
      <w:pPr>
        <w:pStyle w:val="Prrafodelista"/>
        <w:rPr>
          <w:lang w:val="en-US"/>
        </w:rPr>
      </w:pPr>
      <w:r w:rsidRPr="004551E9">
        <w:rPr>
          <w:lang w:val="en-US"/>
        </w:rPr>
        <w:t xml:space="preserve">SEPULVEDA M. M., (2003) </w:t>
      </w:r>
      <w:proofErr w:type="gramStart"/>
      <w:r w:rsidRPr="004551E9">
        <w:rPr>
          <w:lang w:val="en-US"/>
        </w:rPr>
        <w:t>The</w:t>
      </w:r>
      <w:proofErr w:type="gramEnd"/>
      <w:r w:rsidRPr="004551E9">
        <w:rPr>
          <w:lang w:val="en-US"/>
        </w:rPr>
        <w:t xml:space="preserve"> Nature of the Obligations Under the International Covenant on Economic, Social and Cultural Rights, Intersentia, Utrecht</w:t>
      </w:r>
    </w:p>
    <w:p w:rsidR="003E2638" w:rsidRPr="001704A8" w:rsidRDefault="003E2638" w:rsidP="004551E9">
      <w:pPr>
        <w:pStyle w:val="Prrafodelista"/>
        <w:rPr>
          <w:lang w:val="en-GB"/>
        </w:rPr>
      </w:pPr>
      <w:proofErr w:type="gramStart"/>
      <w:r w:rsidRPr="001704A8">
        <w:rPr>
          <w:lang w:val="en-GB"/>
        </w:rPr>
        <w:lastRenderedPageBreak/>
        <w:t>SHAPIRO, J. (1994) No Pity.</w:t>
      </w:r>
      <w:proofErr w:type="gramEnd"/>
      <w:r w:rsidRPr="001704A8">
        <w:rPr>
          <w:lang w:val="en-GB"/>
        </w:rPr>
        <w:t xml:space="preserve"> </w:t>
      </w:r>
      <w:proofErr w:type="gramStart"/>
      <w:r w:rsidRPr="001704A8">
        <w:rPr>
          <w:iCs/>
          <w:lang w:val="en-GB"/>
        </w:rPr>
        <w:t>People with Disabilities Forging a New Civil Rights Movement</w:t>
      </w:r>
      <w:r w:rsidRPr="001704A8">
        <w:rPr>
          <w:lang w:val="en-GB"/>
        </w:rPr>
        <w:t>, Times Books, Random House, New York.</w:t>
      </w:r>
      <w:proofErr w:type="gramEnd"/>
    </w:p>
    <w:p w:rsidR="003E2638" w:rsidRPr="001704A8" w:rsidRDefault="003E2638" w:rsidP="004551E9">
      <w:pPr>
        <w:pStyle w:val="Prrafodelista"/>
        <w:rPr>
          <w:noProof/>
          <w:lang w:val="en-GB"/>
        </w:rPr>
      </w:pPr>
      <w:r w:rsidRPr="004551E9">
        <w:rPr>
          <w:noProof/>
          <w:lang w:val="en-US"/>
        </w:rPr>
        <w:t xml:space="preserve">SILVERS, A., WASSERMAN, D. &amp; MAHOWALD, M. B. (1998) Disability, Difference, Discrimination. </w:t>
      </w:r>
      <w:r w:rsidRPr="001704A8">
        <w:rPr>
          <w:noProof/>
          <w:lang w:val="en-GB"/>
        </w:rPr>
        <w:t>Perspective on Justice in Bioethics and Public Policy, Rowman &amp; Littlefield Publishers, Inc.</w:t>
      </w:r>
    </w:p>
    <w:p w:rsidR="003E2638" w:rsidRPr="004551E9" w:rsidRDefault="003E2638" w:rsidP="004551E9">
      <w:pPr>
        <w:pStyle w:val="Prrafodelista"/>
        <w:rPr>
          <w:lang w:val="en-US"/>
        </w:rPr>
      </w:pPr>
      <w:r w:rsidRPr="004551E9">
        <w:rPr>
          <w:caps/>
          <w:lang w:val="en-US"/>
        </w:rPr>
        <w:t xml:space="preserve">Smith, R. K. M., </w:t>
      </w:r>
      <w:r w:rsidRPr="004551E9">
        <w:rPr>
          <w:lang w:val="en-US"/>
        </w:rPr>
        <w:t xml:space="preserve">(2007) </w:t>
      </w:r>
      <w:r w:rsidRPr="004551E9">
        <w:rPr>
          <w:i/>
          <w:lang w:val="en-US"/>
        </w:rPr>
        <w:t>Textbook on International Human Rights</w:t>
      </w:r>
      <w:r w:rsidRPr="004551E9">
        <w:rPr>
          <w:lang w:val="en-US"/>
        </w:rPr>
        <w:t>, 3</w:t>
      </w:r>
      <w:r w:rsidRPr="004551E9">
        <w:rPr>
          <w:vertAlign w:val="superscript"/>
          <w:lang w:val="en-US"/>
        </w:rPr>
        <w:t>rd</w:t>
      </w:r>
      <w:r w:rsidRPr="004551E9">
        <w:rPr>
          <w:lang w:val="en-US"/>
        </w:rPr>
        <w:t xml:space="preserve"> Ed., Oxford University Press</w:t>
      </w:r>
    </w:p>
    <w:p w:rsidR="003E2638" w:rsidRPr="001704A8" w:rsidRDefault="003E2638" w:rsidP="004551E9">
      <w:pPr>
        <w:pStyle w:val="Prrafodelista"/>
        <w:rPr>
          <w:lang w:val="en-GB"/>
        </w:rPr>
      </w:pPr>
      <w:r w:rsidRPr="001704A8">
        <w:rPr>
          <w:caps/>
          <w:lang w:val="en-GB"/>
        </w:rPr>
        <w:t>Steiner, H. &amp; Alston, P., (2000</w:t>
      </w:r>
      <w:proofErr w:type="gramStart"/>
      <w:r w:rsidRPr="001704A8">
        <w:rPr>
          <w:caps/>
          <w:lang w:val="en-GB"/>
        </w:rPr>
        <w:t xml:space="preserve">) </w:t>
      </w:r>
      <w:r w:rsidRPr="001704A8">
        <w:rPr>
          <w:lang w:val="en-GB"/>
        </w:rPr>
        <w:t xml:space="preserve"> </w:t>
      </w:r>
      <w:r w:rsidRPr="001704A8">
        <w:rPr>
          <w:i/>
          <w:lang w:val="en-GB"/>
        </w:rPr>
        <w:t>International</w:t>
      </w:r>
      <w:proofErr w:type="gramEnd"/>
      <w:r w:rsidRPr="001704A8">
        <w:rPr>
          <w:i/>
          <w:lang w:val="en-GB"/>
        </w:rPr>
        <w:t xml:space="preserve"> Human Rights in Context, Law, Politics, Moral, </w:t>
      </w:r>
      <w:r w:rsidRPr="001704A8">
        <w:rPr>
          <w:lang w:val="en-GB"/>
        </w:rPr>
        <w:t>2</w:t>
      </w:r>
      <w:r w:rsidRPr="001704A8">
        <w:rPr>
          <w:vertAlign w:val="superscript"/>
          <w:lang w:val="en-GB"/>
        </w:rPr>
        <w:t>nd</w:t>
      </w:r>
      <w:r w:rsidRPr="001704A8">
        <w:rPr>
          <w:lang w:val="en-GB"/>
        </w:rPr>
        <w:t xml:space="preserve"> Ed., Oxford University Press</w:t>
      </w:r>
    </w:p>
    <w:p w:rsidR="003E2638" w:rsidRPr="004551E9" w:rsidRDefault="003E2638" w:rsidP="004551E9">
      <w:pPr>
        <w:pStyle w:val="Prrafodelista"/>
        <w:rPr>
          <w:lang w:val="en-US"/>
        </w:rPr>
      </w:pPr>
      <w:r w:rsidRPr="004551E9">
        <w:rPr>
          <w:rStyle w:val="Textoennegrita"/>
          <w:szCs w:val="20"/>
          <w:lang w:val="en-US"/>
        </w:rPr>
        <w:t>Stiker, H. J.,</w:t>
      </w:r>
      <w:r w:rsidRPr="004551E9">
        <w:rPr>
          <w:lang w:val="en-US"/>
        </w:rPr>
        <w:t xml:space="preserve"> (1999) </w:t>
      </w:r>
      <w:r w:rsidRPr="004551E9">
        <w:rPr>
          <w:i/>
          <w:iCs/>
          <w:lang w:val="en-US"/>
        </w:rPr>
        <w:t xml:space="preserve">A History of Disability, </w:t>
      </w:r>
      <w:r w:rsidRPr="004551E9">
        <w:rPr>
          <w:lang w:val="en-US"/>
        </w:rPr>
        <w:t xml:space="preserve">Translated by William Sayers, Ann Arbor, </w:t>
      </w:r>
      <w:proofErr w:type="gramStart"/>
      <w:r w:rsidRPr="004551E9">
        <w:rPr>
          <w:lang w:val="en-US"/>
        </w:rPr>
        <w:t>The</w:t>
      </w:r>
      <w:proofErr w:type="gramEnd"/>
      <w:r w:rsidRPr="004551E9">
        <w:rPr>
          <w:lang w:val="en-US"/>
        </w:rPr>
        <w:t xml:space="preserve"> University of Michigan Press.</w:t>
      </w:r>
    </w:p>
    <w:p w:rsidR="003E2638" w:rsidRPr="003E2638" w:rsidRDefault="003E2638" w:rsidP="004551E9">
      <w:pPr>
        <w:pStyle w:val="Prrafodelista"/>
      </w:pPr>
      <w:r w:rsidRPr="001704A8">
        <w:rPr>
          <w:rStyle w:val="PieCar"/>
          <w:caps/>
          <w:sz w:val="20"/>
          <w:szCs w:val="20"/>
        </w:rPr>
        <w:t>Villán Durán, C.,</w:t>
      </w:r>
      <w:r w:rsidRPr="003E2638">
        <w:t xml:space="preserve"> (2002) Curso de Derecho Internacional de los Derechos Humanos, </w:t>
      </w:r>
      <w:proofErr w:type="spellStart"/>
      <w:r w:rsidRPr="003E2638">
        <w:t>Trotta</w:t>
      </w:r>
      <w:proofErr w:type="spellEnd"/>
    </w:p>
    <w:p w:rsidR="003E2638" w:rsidRPr="004551E9" w:rsidRDefault="003E2638" w:rsidP="004551E9">
      <w:pPr>
        <w:pStyle w:val="Prrafodelista"/>
        <w:rPr>
          <w:lang w:val="en-US"/>
        </w:rPr>
      </w:pPr>
      <w:r w:rsidRPr="004551E9">
        <w:rPr>
          <w:lang w:val="en-US"/>
        </w:rPr>
        <w:t>VILLIGER, M. E., (2009) Commentary on the 1969 Vienna Convention on the Law of Treaties, Martinus Nijhoff Publishers, Leiden</w:t>
      </w:r>
    </w:p>
    <w:p w:rsidR="003E2638" w:rsidRPr="003E2638" w:rsidRDefault="003E2638" w:rsidP="004551E9">
      <w:pPr>
        <w:pStyle w:val="Prrafodelista"/>
      </w:pPr>
      <w:r w:rsidRPr="003E2638">
        <w:t xml:space="preserve">VV.AA., (1993) </w:t>
      </w:r>
      <w:r w:rsidRPr="003E2638">
        <w:rPr>
          <w:i/>
          <w:iCs/>
        </w:rPr>
        <w:t xml:space="preserve">La Discapacidad y la Rehabilitación en Juan Luis Vives. Homo </w:t>
      </w:r>
      <w:proofErr w:type="spellStart"/>
      <w:r w:rsidRPr="003E2638">
        <w:rPr>
          <w:i/>
          <w:iCs/>
        </w:rPr>
        <w:t>homini</w:t>
      </w:r>
      <w:proofErr w:type="spellEnd"/>
      <w:r w:rsidRPr="003E2638">
        <w:rPr>
          <w:i/>
          <w:iCs/>
        </w:rPr>
        <w:t xml:space="preserve"> par</w:t>
      </w:r>
      <w:r w:rsidRPr="003E2638">
        <w:t>, R. PUIG DE LA BELLACASA, Real Patronato de Prevención y de Atención a Personas con Minusvalía, Madrid.</w:t>
      </w:r>
    </w:p>
    <w:p w:rsidR="003E2638" w:rsidRPr="001704A8" w:rsidRDefault="003E2638" w:rsidP="004551E9">
      <w:pPr>
        <w:pStyle w:val="Pie"/>
        <w:rPr>
          <w:lang w:val="en-GB"/>
        </w:rPr>
      </w:pPr>
      <w:r w:rsidRPr="004551E9">
        <w:rPr>
          <w:lang w:val="en-US"/>
        </w:rPr>
        <w:t xml:space="preserve">WENDELL, S., (1996), </w:t>
      </w:r>
      <w:proofErr w:type="gramStart"/>
      <w:r w:rsidRPr="004551E9">
        <w:rPr>
          <w:lang w:val="en-US"/>
        </w:rPr>
        <w:t>The</w:t>
      </w:r>
      <w:proofErr w:type="gramEnd"/>
      <w:r w:rsidRPr="004551E9">
        <w:rPr>
          <w:lang w:val="en-US"/>
        </w:rPr>
        <w:t xml:space="preserve"> Rejected Body. </w:t>
      </w:r>
      <w:proofErr w:type="gramStart"/>
      <w:r w:rsidRPr="004551E9">
        <w:rPr>
          <w:lang w:val="en-US"/>
        </w:rPr>
        <w:t xml:space="preserve">Feminist Philosophical Reflections on Disability, </w:t>
      </w:r>
      <w:proofErr w:type="spellStart"/>
      <w:r w:rsidRPr="004551E9">
        <w:rPr>
          <w:lang w:val="en-US"/>
        </w:rPr>
        <w:t>Routledge</w:t>
      </w:r>
      <w:proofErr w:type="spellEnd"/>
      <w:r w:rsidRPr="004551E9">
        <w:rPr>
          <w:lang w:val="en-US"/>
        </w:rPr>
        <w:t>, New York</w:t>
      </w:r>
      <w:r w:rsidRPr="001704A8">
        <w:rPr>
          <w:lang w:val="en-GB"/>
        </w:rPr>
        <w:t>.</w:t>
      </w:r>
      <w:proofErr w:type="gramEnd"/>
      <w:r w:rsidRPr="001704A8">
        <w:rPr>
          <w:lang w:val="en-GB"/>
        </w:rPr>
        <w:t xml:space="preserve"> </w:t>
      </w:r>
    </w:p>
    <w:p w:rsidR="00CC747C" w:rsidRPr="003E2638" w:rsidRDefault="00CC747C" w:rsidP="004551E9">
      <w:pPr>
        <w:rPr>
          <w:lang w:val="en-GB"/>
        </w:rPr>
      </w:pPr>
    </w:p>
    <w:p w:rsidR="00727959" w:rsidRDefault="003B6E85" w:rsidP="002C1D94">
      <w:pPr>
        <w:pStyle w:val="TITULO15"/>
      </w:pPr>
      <w:r>
        <w:t xml:space="preserve">I.2.) </w:t>
      </w:r>
      <w:r w:rsidR="00B25A34" w:rsidRPr="00B25A34">
        <w:t>Capítulos de libros, artículos de revista y colaboraciones en volúmenes colectivos</w:t>
      </w:r>
    </w:p>
    <w:p w:rsidR="003B6E85" w:rsidRPr="003B6E85" w:rsidRDefault="003B6E85" w:rsidP="004551E9"/>
    <w:p w:rsidR="003B6E85" w:rsidRPr="003B6E85" w:rsidRDefault="003B6E85" w:rsidP="004551E9">
      <w:pPr>
        <w:pStyle w:val="Pie"/>
      </w:pPr>
      <w:r w:rsidRPr="003B6E85">
        <w:rPr>
          <w:noProof/>
        </w:rPr>
        <w:t xml:space="preserve">ABBERLEY, P., (1998) “Trabajo, Utopía y deficiencia”, en BARTON, L. (comp.), </w:t>
      </w:r>
      <w:r w:rsidRPr="003B6E85">
        <w:rPr>
          <w:i/>
          <w:noProof/>
        </w:rPr>
        <w:t>Discapacidad y Sociedad</w:t>
      </w:r>
      <w:r w:rsidRPr="003B6E85">
        <w:rPr>
          <w:noProof/>
        </w:rPr>
        <w:t xml:space="preserve">, Morata S.L., Madrid. </w:t>
      </w:r>
    </w:p>
    <w:p w:rsidR="003B6E85" w:rsidRPr="002440CA" w:rsidRDefault="003B6E85" w:rsidP="004551E9">
      <w:pPr>
        <w:pStyle w:val="Pie"/>
      </w:pPr>
      <w:r w:rsidRPr="002440CA">
        <w:rPr>
          <w:caps/>
        </w:rPr>
        <w:t>Ansuátegui Roig, F. J.,</w:t>
      </w:r>
      <w:r w:rsidRPr="002440CA">
        <w:t xml:space="preserve"> (1999), “Eutanasia: dilemas relevantes”, en </w:t>
      </w:r>
      <w:r w:rsidRPr="002440CA">
        <w:rPr>
          <w:i/>
        </w:rPr>
        <w:t>Problemas de la Eutanasia</w:t>
      </w:r>
      <w:r w:rsidRPr="002440CA">
        <w:t xml:space="preserve">, </w:t>
      </w:r>
      <w:r w:rsidRPr="002440CA">
        <w:rPr>
          <w:caps/>
        </w:rPr>
        <w:t>Ansuátegui Roig, F. J.,</w:t>
      </w:r>
      <w:r w:rsidRPr="002440CA">
        <w:t xml:space="preserve"> (Coord.), </w:t>
      </w:r>
      <w:proofErr w:type="spellStart"/>
      <w:r w:rsidRPr="002440CA">
        <w:t>Dykinson</w:t>
      </w:r>
      <w:proofErr w:type="spellEnd"/>
      <w:r w:rsidRPr="002440CA">
        <w:t>, Madrid</w:t>
      </w:r>
    </w:p>
    <w:p w:rsidR="00F419DD" w:rsidRDefault="003B6E85" w:rsidP="00F419DD">
      <w:pPr>
        <w:pStyle w:val="Prrafodelista"/>
      </w:pPr>
      <w:r w:rsidRPr="00916035">
        <w:lastRenderedPageBreak/>
        <w:t xml:space="preserve">ANSUATEGUI ROIG, F. J., (2010) “Argumentos para una teoría de los derechos sociales”, en </w:t>
      </w:r>
      <w:r w:rsidRPr="00916035">
        <w:rPr>
          <w:i/>
        </w:rPr>
        <w:t>Los Derechos Sociales en el Siglo XXI. Un desafío clave para el Derechos y la justicia</w:t>
      </w:r>
      <w:r w:rsidRPr="00916035">
        <w:t>, RIBOTTA, S. &amp; ROSSETTI, A., (eds.), Madrid, Dykinson</w:t>
      </w:r>
    </w:p>
    <w:p w:rsidR="003B6E85" w:rsidRPr="002440CA" w:rsidRDefault="003B6E85" w:rsidP="00F419DD">
      <w:pPr>
        <w:pStyle w:val="Prrafodelista"/>
      </w:pPr>
      <w:r w:rsidRPr="002440CA">
        <w:t xml:space="preserve">ASÍS ROIG, R., (2004) “La incursión de la discapacidad en la teoría de los derechos”, en </w:t>
      </w:r>
      <w:r w:rsidRPr="002440CA">
        <w:rPr>
          <w:i/>
        </w:rPr>
        <w:t>Los derechos de las personas con discapacidad: Perspectivas sociales, jurídicas y filosóficas</w:t>
      </w:r>
      <w:r w:rsidRPr="002440CA">
        <w:t xml:space="preserve">, </w:t>
      </w:r>
      <w:r w:rsidRPr="002440CA">
        <w:rPr>
          <w:caps/>
        </w:rPr>
        <w:t>Campoy Cervera, I</w:t>
      </w:r>
      <w:r w:rsidRPr="002440CA">
        <w:t xml:space="preserve">. (Ed.), </w:t>
      </w:r>
      <w:proofErr w:type="spellStart"/>
      <w:r w:rsidRPr="002440CA">
        <w:t>Dykinson</w:t>
      </w:r>
      <w:proofErr w:type="spellEnd"/>
      <w:r w:rsidRPr="002440CA">
        <w:t>, Madrid.</w:t>
      </w:r>
    </w:p>
    <w:p w:rsidR="003B6E85" w:rsidRPr="00A50CAD" w:rsidRDefault="003B6E85" w:rsidP="004551E9">
      <w:pPr>
        <w:pStyle w:val="Prrafodelista"/>
      </w:pPr>
      <w:r w:rsidRPr="002440CA">
        <w:t xml:space="preserve">ASIS ROIG, R., (2012) “Sobre la Capacidad”, en Capacidad Jurídica, Discapacidad y Derechos Humanos: una revisión desde la Convención Internacional sobre los Derechos de las Personas con Discapacidad, </w:t>
      </w:r>
      <w:r w:rsidRPr="002440CA">
        <w:rPr>
          <w:caps/>
        </w:rPr>
        <w:t>Bariffi, F. &amp; Palacios A., (Coord),</w:t>
      </w:r>
      <w:r w:rsidRPr="002440CA">
        <w:t xml:space="preserve"> Ediar, Buenos Aires.</w:t>
      </w:r>
    </w:p>
    <w:p w:rsidR="003B6E85" w:rsidRPr="002440CA" w:rsidRDefault="003B6E85" w:rsidP="004551E9">
      <w:pPr>
        <w:pStyle w:val="Prrafodelista"/>
      </w:pPr>
      <w:r w:rsidRPr="00A50CAD">
        <w:t>ASIS ROIG, R., (2013) “Unas primeras reflexiones sobre la Ley general de derechos de las personas con discapacidad”, en Papeles el tiempo de los derechos, Número 12</w:t>
      </w:r>
      <w:r>
        <w:t>.</w:t>
      </w:r>
    </w:p>
    <w:p w:rsidR="003B6E85" w:rsidRPr="00916035" w:rsidRDefault="003B6E85" w:rsidP="004551E9">
      <w:pPr>
        <w:pStyle w:val="Prrafodelista"/>
      </w:pPr>
      <w:r w:rsidRPr="00916035">
        <w:t xml:space="preserve">BACH M., (2012) “El derecho a la capacidad jurídica a la luz de la Convención de la ONU sobre los derechos de las personas con discapacidad: conceptos fundamentales y lineamientos para una reforma legislativa” en Capacidad Jurídica, Discapacidad y Derechos Humanos: una revisión desde la Convención Internacional sobre los Derechos de las Personas con Discapacidad, BARIFFI, F. &amp; PALACIOS A., (COORD), Ediar, Buenos Aires. </w:t>
      </w:r>
    </w:p>
    <w:p w:rsidR="003B6E85" w:rsidRPr="00916035" w:rsidRDefault="003B6E85" w:rsidP="004551E9">
      <w:pPr>
        <w:pStyle w:val="Prrafodelista"/>
      </w:pPr>
      <w:r w:rsidRPr="00916035">
        <w:t xml:space="preserve">BARIFFI, F. &amp; PALACIOS, A., (2012) “Acceso a la Justicia y Discapacidad”, en </w:t>
      </w:r>
      <w:r w:rsidRPr="00916035">
        <w:rPr>
          <w:i/>
        </w:rPr>
        <w:t>Acceso a la justicia y grupos vulnerables</w:t>
      </w:r>
      <w:r w:rsidRPr="00916035">
        <w:t xml:space="preserve"> (</w:t>
      </w:r>
      <w:r w:rsidRPr="00916035">
        <w:rPr>
          <w:caps/>
        </w:rPr>
        <w:t>Nogueira &amp; Schapiro</w:t>
      </w:r>
      <w:r w:rsidRPr="00916035">
        <w:t xml:space="preserve"> Coord.), Librearía Editora Platense, La Plata</w:t>
      </w:r>
    </w:p>
    <w:p w:rsidR="003B6E85" w:rsidRPr="004551E9" w:rsidRDefault="003B6E85" w:rsidP="004551E9">
      <w:pPr>
        <w:pStyle w:val="Prrafodelista"/>
        <w:rPr>
          <w:lang w:val="en-US"/>
        </w:rPr>
      </w:pPr>
      <w:r w:rsidRPr="004551E9">
        <w:rPr>
          <w:lang w:val="en-US"/>
        </w:rPr>
        <w:t xml:space="preserve">BARIFFI, F. &amp; SMITH, M., (2013) “Same Old Game but with Some New Players: Assessing the Impact of Argentina’s National Mental Health Law on </w:t>
      </w:r>
      <w:proofErr w:type="spellStart"/>
      <w:r w:rsidRPr="004551E9">
        <w:rPr>
          <w:lang w:val="en-US"/>
        </w:rPr>
        <w:t>Realising</w:t>
      </w:r>
      <w:proofErr w:type="spellEnd"/>
      <w:r w:rsidRPr="004551E9">
        <w:rPr>
          <w:lang w:val="en-US"/>
        </w:rPr>
        <w:t xml:space="preserve"> its Obligations under the U.N. Convention on the Rights of Persons with Disabilities in Regard to </w:t>
      </w:r>
      <w:r w:rsidRPr="004551E9">
        <w:rPr>
          <w:lang w:val="en-US"/>
        </w:rPr>
        <w:lastRenderedPageBreak/>
        <w:t xml:space="preserve">the Rights to Liberty and Legal Capacity”, </w:t>
      </w:r>
      <w:r w:rsidRPr="004551E9">
        <w:rPr>
          <w:i/>
          <w:lang w:val="en-US"/>
        </w:rPr>
        <w:t>Nordic Journal of Human Rights</w:t>
      </w:r>
      <w:r w:rsidRPr="004551E9">
        <w:rPr>
          <w:lang w:val="en-US"/>
        </w:rPr>
        <w:t>, Vol. 31(3).</w:t>
      </w:r>
    </w:p>
    <w:p w:rsidR="003B6E85" w:rsidRPr="002440CA" w:rsidRDefault="003B6E85" w:rsidP="004551E9">
      <w:pPr>
        <w:pStyle w:val="Prrafodelista"/>
        <w:rPr>
          <w:lang w:val="es-ES_tradnl" w:eastAsia="es-ES_tradnl"/>
        </w:rPr>
      </w:pPr>
      <w:r w:rsidRPr="002440CA">
        <w:rPr>
          <w:caps/>
          <w:lang w:val="es-ES_tradnl" w:eastAsia="es-ES_tradnl"/>
        </w:rPr>
        <w:t>Bariffi</w:t>
      </w:r>
      <w:r>
        <w:rPr>
          <w:caps/>
          <w:lang w:val="es-ES_tradnl" w:eastAsia="es-ES_tradnl"/>
        </w:rPr>
        <w:t>,</w:t>
      </w:r>
      <w:r w:rsidRPr="002440CA">
        <w:rPr>
          <w:caps/>
          <w:lang w:val="es-ES_tradnl" w:eastAsia="es-ES_tradnl"/>
        </w:rPr>
        <w:t xml:space="preserve"> F.,</w:t>
      </w:r>
      <w:r w:rsidRPr="002440CA">
        <w:rPr>
          <w:lang w:val="es-ES_tradnl" w:eastAsia="es-ES_tradnl"/>
        </w:rPr>
        <w:t xml:space="preserve"> (2003) “Sobre la Universalidad de los Derechos Humanos: ¿Universalidad o Universalismo?”, </w:t>
      </w:r>
      <w:r w:rsidRPr="002440CA">
        <w:rPr>
          <w:i/>
          <w:lang w:val="es-ES_tradnl" w:eastAsia="es-ES_tradnl"/>
        </w:rPr>
        <w:t>Revista de Derecho de la Universidad Católica de Temuco</w:t>
      </w:r>
      <w:r w:rsidRPr="002440CA">
        <w:rPr>
          <w:lang w:val="es-ES_tradnl" w:eastAsia="es-ES_tradnl"/>
        </w:rPr>
        <w:t>, Vol. 4</w:t>
      </w:r>
    </w:p>
    <w:p w:rsidR="003B6E85" w:rsidRPr="00916035" w:rsidRDefault="003B6E85" w:rsidP="004551E9">
      <w:pPr>
        <w:pStyle w:val="Prrafodelista"/>
      </w:pPr>
      <w:r w:rsidRPr="00916035">
        <w:t>BARIFFI</w:t>
      </w:r>
      <w:r>
        <w:t>,</w:t>
      </w:r>
      <w:r w:rsidRPr="00916035">
        <w:t xml:space="preserve"> F</w:t>
      </w:r>
      <w:r>
        <w:t>.,</w:t>
      </w:r>
      <w:r w:rsidRPr="00916035">
        <w:t xml:space="preserve"> (2006), “El principio de la jurisdicción universal a la luz del carácter </w:t>
      </w:r>
      <w:r w:rsidRPr="00916035">
        <w:rPr>
          <w:i/>
        </w:rPr>
        <w:t>jus cogens</w:t>
      </w:r>
      <w:r w:rsidRPr="00916035">
        <w:t xml:space="preserve"> de ciertos crímenes internacionales”, en </w:t>
      </w:r>
      <w:r w:rsidRPr="00916035">
        <w:rPr>
          <w:i/>
        </w:rPr>
        <w:t>Revista Jurídica El Derecho, Universidad Católica de Buenos Aires</w:t>
      </w:r>
      <w:r w:rsidRPr="00916035">
        <w:t>, 18/05/2006</w:t>
      </w:r>
    </w:p>
    <w:p w:rsidR="003B6E85" w:rsidRPr="00916035" w:rsidRDefault="003B6E85" w:rsidP="004551E9">
      <w:pPr>
        <w:pStyle w:val="Prrafodelista"/>
      </w:pPr>
      <w:r w:rsidRPr="00916035">
        <w:t xml:space="preserve">BARIFFI, F., (2009) “Capacidad jurídica y capacidad de obrar de las personas con discapacidad a la luz de la Convención de la ONU”, en </w:t>
      </w:r>
      <w:r w:rsidRPr="00916035">
        <w:rPr>
          <w:i/>
        </w:rPr>
        <w:t>Hacia un Derecho de la Discapacidad. Estudios en homenaje al Profesor Rafael de Lorenzo</w:t>
      </w:r>
      <w:r w:rsidRPr="00916035">
        <w:t xml:space="preserve">, PÉREZ BUENO, L. C.  (Dir.), </w:t>
      </w:r>
      <w:proofErr w:type="spellStart"/>
      <w:r w:rsidRPr="00916035">
        <w:t>Thomson</w:t>
      </w:r>
      <w:proofErr w:type="spellEnd"/>
      <w:r w:rsidRPr="00916035">
        <w:t xml:space="preserve"> Reuters Aranzadi, Pamplona.</w:t>
      </w:r>
    </w:p>
    <w:p w:rsidR="003B6E85" w:rsidRPr="004551E9" w:rsidRDefault="003B6E85" w:rsidP="004551E9">
      <w:pPr>
        <w:pStyle w:val="Prrafodelista"/>
        <w:rPr>
          <w:lang w:val="en-US"/>
        </w:rPr>
      </w:pPr>
      <w:r>
        <w:t>BARIFFI,</w:t>
      </w:r>
      <w:r w:rsidRPr="00916035">
        <w:t xml:space="preserve"> F., (2010) “La Perspectiva de la Discapacidad en las Relaciones de Cooperación entre la Unión Europa – América Latina – Caribe” en </w:t>
      </w:r>
      <w:r w:rsidRPr="00916035">
        <w:rPr>
          <w:i/>
        </w:rPr>
        <w:t>Revista Nueva Mundo</w:t>
      </w:r>
      <w:r w:rsidRPr="00916035">
        <w:t xml:space="preserve">, Año I, Nº 2. </w:t>
      </w:r>
      <w:r w:rsidRPr="004551E9">
        <w:rPr>
          <w:lang w:val="en-US"/>
        </w:rPr>
        <w:t xml:space="preserve">Nueva </w:t>
      </w:r>
      <w:proofErr w:type="spellStart"/>
      <w:r w:rsidRPr="004551E9">
        <w:rPr>
          <w:lang w:val="en-US"/>
        </w:rPr>
        <w:t>Época</w:t>
      </w:r>
      <w:proofErr w:type="spellEnd"/>
      <w:r w:rsidRPr="004551E9">
        <w:rPr>
          <w:lang w:val="en-US"/>
        </w:rPr>
        <w:t>, Caracas</w:t>
      </w:r>
    </w:p>
    <w:p w:rsidR="003B6E85" w:rsidRPr="004551E9" w:rsidRDefault="003B6E85" w:rsidP="004551E9">
      <w:pPr>
        <w:pStyle w:val="Prrafodelista"/>
        <w:rPr>
          <w:lang w:val="en-US"/>
        </w:rPr>
      </w:pPr>
      <w:r w:rsidRPr="004551E9">
        <w:rPr>
          <w:lang w:val="en-US"/>
        </w:rPr>
        <w:t xml:space="preserve">BARIFFI, F., (2011a) Implementing the UN Convention on Disability in the European Union and Member States: A review of Substantive Obligations and Examples of Good Practices, accessible en; </w:t>
      </w:r>
      <w:hyperlink r:id="rId9" w:history="1">
        <w:r w:rsidRPr="004551E9">
          <w:rPr>
            <w:rStyle w:val="Hipervnculo"/>
            <w:sz w:val="20"/>
            <w:szCs w:val="20"/>
            <w:lang w:val="en-US"/>
          </w:rPr>
          <w:t>http://www.era-comm.eu/dalaw/uncrpd.html</w:t>
        </w:r>
      </w:hyperlink>
    </w:p>
    <w:p w:rsidR="003B6E85" w:rsidRDefault="003B6E85" w:rsidP="004551E9">
      <w:pPr>
        <w:pStyle w:val="Prrafodelista"/>
      </w:pPr>
      <w:r w:rsidRPr="00916035">
        <w:t xml:space="preserve">BARIFFI, F., (2011b) “El triángulo de garantía en la aplicación de la convención internacional sobre los derechos de las personas con discapacidad: recopilación de datos y estadísticas, aplicación y seguimiento a nivel nacional y cooperación internacional”, en </w:t>
      </w:r>
      <w:r w:rsidRPr="00916035">
        <w:rPr>
          <w:caps/>
        </w:rPr>
        <w:t>Cuenca Gómez, P.,</w:t>
      </w:r>
      <w:r w:rsidRPr="00916035">
        <w:t xml:space="preserve"> (ed.), </w:t>
      </w:r>
      <w:r w:rsidRPr="00916035">
        <w:rPr>
          <w:i/>
        </w:rPr>
        <w:t>Estudios sobre el impacto de la Convención Internacional sobre los Derechos de las Personas con discapacidad en el Ordenamiento jurídico español</w:t>
      </w:r>
      <w:r w:rsidRPr="00916035">
        <w:t>, Dykinson, Madrid</w:t>
      </w:r>
    </w:p>
    <w:p w:rsidR="003B6E85" w:rsidRPr="00916035" w:rsidRDefault="003B6E85" w:rsidP="004551E9">
      <w:pPr>
        <w:pStyle w:val="Prrafodelista"/>
      </w:pPr>
      <w:r w:rsidRPr="00916035">
        <w:lastRenderedPageBreak/>
        <w:t xml:space="preserve">BARIFFI, F., (2012a) “Recopilación de datos y estadísticas sobre discapacidad a la luz del artículo 31 de la CDPD” en ROSALES P. (Coord.), </w:t>
      </w:r>
      <w:r w:rsidRPr="00916035">
        <w:rPr>
          <w:i/>
        </w:rPr>
        <w:t>Convención sobre los Derechos de las Personas con Discapacidad (Ley 26.378) Comentada</w:t>
      </w:r>
      <w:r w:rsidRPr="00916035">
        <w:t xml:space="preserve">, </w:t>
      </w:r>
      <w:proofErr w:type="spellStart"/>
      <w:r w:rsidRPr="00916035">
        <w:t>Abeledo</w:t>
      </w:r>
      <w:proofErr w:type="spellEnd"/>
      <w:r w:rsidRPr="00916035">
        <w:t xml:space="preserve"> </w:t>
      </w:r>
      <w:proofErr w:type="spellStart"/>
      <w:r w:rsidRPr="00916035">
        <w:t>Perrot</w:t>
      </w:r>
      <w:proofErr w:type="spellEnd"/>
      <w:r w:rsidRPr="00916035">
        <w:t>, Buenos Aires.</w:t>
      </w:r>
    </w:p>
    <w:p w:rsidR="003B6E85" w:rsidRPr="00916035" w:rsidRDefault="003B6E85" w:rsidP="004551E9">
      <w:pPr>
        <w:pStyle w:val="Prrafodelista"/>
      </w:pPr>
      <w:r w:rsidRPr="00916035">
        <w:t xml:space="preserve">BARIFFI, F., (2012b) “Aplicación y seguimiento nacionales  a la luz del artículo 33 de la CDPD” en ROSALES P. (Coord.), </w:t>
      </w:r>
      <w:r w:rsidRPr="00916035">
        <w:rPr>
          <w:i/>
        </w:rPr>
        <w:t>Convención sobre los Derechos de las Personas con Discapacidad (Ley 26.378) Comentada</w:t>
      </w:r>
      <w:r w:rsidRPr="00916035">
        <w:t xml:space="preserve">, </w:t>
      </w:r>
      <w:proofErr w:type="spellStart"/>
      <w:r w:rsidRPr="00916035">
        <w:t>Abeledo</w:t>
      </w:r>
      <w:proofErr w:type="spellEnd"/>
      <w:r w:rsidRPr="00916035">
        <w:t xml:space="preserve"> </w:t>
      </w:r>
      <w:proofErr w:type="spellStart"/>
      <w:r w:rsidRPr="00916035">
        <w:t>Perrot</w:t>
      </w:r>
      <w:proofErr w:type="spellEnd"/>
      <w:r w:rsidRPr="00916035">
        <w:t>, Buenos Aires.</w:t>
      </w:r>
    </w:p>
    <w:p w:rsidR="003B6E85" w:rsidRPr="00916035" w:rsidRDefault="003B6E85" w:rsidP="004551E9">
      <w:pPr>
        <w:pStyle w:val="Prrafodelista"/>
      </w:pPr>
      <w:r w:rsidRPr="00916035">
        <w:t>BARIFFI, F.</w:t>
      </w:r>
      <w:r>
        <w:t>,</w:t>
      </w:r>
      <w:r w:rsidRPr="00916035">
        <w:t xml:space="preserve"> (2012c), “Capacidad jurídica y discapacidad: una visión del derecho comparado” en </w:t>
      </w:r>
      <w:r w:rsidRPr="002440CA">
        <w:t xml:space="preserve">Capacidad Jurídica, Discapacidad y Derechos Humanos: una revisión desde la Convención Internacional sobre los Derechos de las Personas con Discapacidad, </w:t>
      </w:r>
      <w:r w:rsidRPr="002440CA">
        <w:rPr>
          <w:caps/>
        </w:rPr>
        <w:t>Bariffi, F. &amp; Palacios A., (Coord),</w:t>
      </w:r>
      <w:r w:rsidRPr="002440CA">
        <w:t xml:space="preserve"> Ediar, Buenos Aires</w:t>
      </w:r>
      <w:r w:rsidRPr="00916035">
        <w:t xml:space="preserve">.  </w:t>
      </w:r>
    </w:p>
    <w:p w:rsidR="003B6E85" w:rsidRPr="00916035" w:rsidRDefault="003B6E85" w:rsidP="004551E9">
      <w:pPr>
        <w:pStyle w:val="Prrafodelista"/>
      </w:pPr>
      <w:r w:rsidRPr="00916035">
        <w:t xml:space="preserve">BARIFFI, F., (2012d) “El Régimen de Incapacidad del Código Civil Argentino a la luz de la Convención Internacional sobre los Derechos de las Personas con Discapacidad”, en </w:t>
      </w:r>
      <w:r w:rsidRPr="00916035">
        <w:rPr>
          <w:i/>
        </w:rPr>
        <w:t>Discapacidad Justicia y Estado</w:t>
      </w:r>
      <w:r w:rsidRPr="00916035">
        <w:t>, 1ra. Edición, Editorial Ministerio de Justicia y Derechos Humanos de la Nación, Buenos Aires, Noviembre 2012</w:t>
      </w:r>
    </w:p>
    <w:p w:rsidR="00F419DD" w:rsidRDefault="003B6E85" w:rsidP="00F419DD">
      <w:pPr>
        <w:pStyle w:val="Prrafodelista"/>
        <w:rPr>
          <w:lang w:val="en-US"/>
        </w:rPr>
      </w:pPr>
      <w:r w:rsidRPr="004551E9">
        <w:rPr>
          <w:lang w:val="en-US"/>
        </w:rPr>
        <w:t xml:space="preserve">BARIFFI, F., (2013), “Implementation of Article 33 CRPD in Spain: A Rather Erratic and Improvised Experience”, en DE BECCO, G.  (Ed.), Article 33 of the </w:t>
      </w:r>
      <w:r w:rsidRPr="004551E9">
        <w:rPr>
          <w:i/>
          <w:lang w:val="en-US"/>
        </w:rPr>
        <w:t>UN Convention on the Rights of Persons with Disabilities: National Structures for the Implementation and Monitoring of the Convention</w:t>
      </w:r>
      <w:r w:rsidRPr="004551E9">
        <w:rPr>
          <w:lang w:val="en-US"/>
        </w:rPr>
        <w:t>, Martinus Nijhoff Publishers, Leiden-Boston.</w:t>
      </w:r>
    </w:p>
    <w:p w:rsidR="003B6E85" w:rsidRPr="00F419DD" w:rsidRDefault="003B6E85" w:rsidP="00F419DD">
      <w:pPr>
        <w:pStyle w:val="Prrafodelista"/>
        <w:rPr>
          <w:lang w:val="es-ES"/>
        </w:rPr>
      </w:pPr>
      <w:r w:rsidRPr="002440CA">
        <w:rPr>
          <w:noProof/>
        </w:rPr>
        <w:t>BARNES, C. (1998), “Las teorías de la discapacidad y los orígenes de la opresión de las personas discapacita</w:t>
      </w:r>
      <w:r>
        <w:rPr>
          <w:noProof/>
        </w:rPr>
        <w:t xml:space="preserve">das en la sociedad occidental”, </w:t>
      </w:r>
      <w:r w:rsidRPr="002440CA">
        <w:rPr>
          <w:noProof/>
        </w:rPr>
        <w:t xml:space="preserve">en BARTON, L. (comp.), </w:t>
      </w:r>
      <w:r w:rsidRPr="002440CA">
        <w:rPr>
          <w:i/>
          <w:noProof/>
        </w:rPr>
        <w:t>Discapacidad y Sociedad</w:t>
      </w:r>
      <w:r w:rsidRPr="002440CA">
        <w:rPr>
          <w:noProof/>
        </w:rPr>
        <w:t xml:space="preserve">, Morata S.L., Madrid. </w:t>
      </w:r>
    </w:p>
    <w:p w:rsidR="003B6E85" w:rsidRPr="004551E9" w:rsidRDefault="003B6E85" w:rsidP="004551E9">
      <w:pPr>
        <w:pStyle w:val="Prrafodelista"/>
        <w:rPr>
          <w:lang w:val="en-US"/>
        </w:rPr>
      </w:pPr>
      <w:r w:rsidRPr="004551E9">
        <w:rPr>
          <w:caps/>
          <w:lang w:val="en-US"/>
        </w:rPr>
        <w:lastRenderedPageBreak/>
        <w:t>Bassiouni,</w:t>
      </w:r>
      <w:r w:rsidRPr="004551E9">
        <w:rPr>
          <w:lang w:val="en-US"/>
        </w:rPr>
        <w:t xml:space="preserve"> C. M., (1996) “International Crimes: Jus </w:t>
      </w:r>
      <w:proofErr w:type="spellStart"/>
      <w:r w:rsidRPr="004551E9">
        <w:rPr>
          <w:lang w:val="en-US"/>
        </w:rPr>
        <w:t>Cogens</w:t>
      </w:r>
      <w:proofErr w:type="spellEnd"/>
      <w:r w:rsidRPr="004551E9">
        <w:rPr>
          <w:lang w:val="en-US"/>
        </w:rPr>
        <w:t xml:space="preserve"> and </w:t>
      </w:r>
      <w:proofErr w:type="spellStart"/>
      <w:r w:rsidRPr="004551E9">
        <w:rPr>
          <w:lang w:val="en-US"/>
        </w:rPr>
        <w:t>Obligatio</w:t>
      </w:r>
      <w:proofErr w:type="spellEnd"/>
      <w:r w:rsidRPr="004551E9">
        <w:rPr>
          <w:lang w:val="en-US"/>
        </w:rPr>
        <w:t xml:space="preserve"> </w:t>
      </w:r>
      <w:proofErr w:type="spellStart"/>
      <w:r w:rsidRPr="004551E9">
        <w:rPr>
          <w:lang w:val="en-US"/>
        </w:rPr>
        <w:t>Erga</w:t>
      </w:r>
      <w:proofErr w:type="spellEnd"/>
      <w:r w:rsidRPr="004551E9">
        <w:rPr>
          <w:lang w:val="en-US"/>
        </w:rPr>
        <w:t xml:space="preserve"> </w:t>
      </w:r>
      <w:proofErr w:type="spellStart"/>
      <w:r w:rsidRPr="004551E9">
        <w:rPr>
          <w:lang w:val="en-US"/>
        </w:rPr>
        <w:t>Onmes</w:t>
      </w:r>
      <w:proofErr w:type="spellEnd"/>
      <w:r w:rsidRPr="004551E9">
        <w:rPr>
          <w:lang w:val="en-US"/>
        </w:rPr>
        <w:t xml:space="preserve">”, </w:t>
      </w:r>
      <w:r w:rsidRPr="004551E9">
        <w:rPr>
          <w:i/>
          <w:lang w:val="en-US"/>
        </w:rPr>
        <w:t>Law and Contemporary Problems</w:t>
      </w:r>
      <w:r w:rsidRPr="004551E9">
        <w:rPr>
          <w:lang w:val="en-US"/>
        </w:rPr>
        <w:t>, Vol. 59.4</w:t>
      </w:r>
    </w:p>
    <w:p w:rsidR="003B6E85" w:rsidRPr="00916035" w:rsidRDefault="003B6E85" w:rsidP="004551E9">
      <w:pPr>
        <w:pStyle w:val="Prrafodelista"/>
      </w:pPr>
      <w:r w:rsidRPr="00916035">
        <w:rPr>
          <w:caps/>
        </w:rPr>
        <w:t>Bengoechea Gil, M. A.,</w:t>
      </w:r>
      <w:r w:rsidRPr="00916035">
        <w:t xml:space="preserve"> (2010) “Mujeres con discapacidad: diferencia, exclusión y doble discriminación. Marco legislativo y propuestas para fomentar la igualdad” en </w:t>
      </w:r>
      <w:r w:rsidRPr="00916035">
        <w:rPr>
          <w:caps/>
        </w:rPr>
        <w:t>Cuenca Gómez, P.,</w:t>
      </w:r>
      <w:r w:rsidRPr="00916035">
        <w:t xml:space="preserve"> (ed.), </w:t>
      </w:r>
      <w:r w:rsidRPr="00916035">
        <w:rPr>
          <w:i/>
        </w:rPr>
        <w:t>Estudios sobre el impacto de la Convención Internacional sobre los Derechos de las Personas con discapacidad en el Ordenamiento jurídico español</w:t>
      </w:r>
      <w:r w:rsidRPr="00916035">
        <w:t>, Dykinson, Madrid</w:t>
      </w:r>
    </w:p>
    <w:p w:rsidR="003B6E85" w:rsidRPr="00916035" w:rsidRDefault="003B6E85" w:rsidP="004551E9">
      <w:pPr>
        <w:pStyle w:val="Prrafodelista"/>
      </w:pPr>
      <w:r w:rsidRPr="00916035">
        <w:rPr>
          <w:caps/>
        </w:rPr>
        <w:t>Bersanelli S. L.,</w:t>
      </w:r>
      <w:r w:rsidRPr="00916035">
        <w:t xml:space="preserve"> (2012) “Comentario al art.24” en ROSALES P. (Coord.), </w:t>
      </w:r>
      <w:r w:rsidRPr="00916035">
        <w:rPr>
          <w:i/>
        </w:rPr>
        <w:t>Convención sobre los Derechos de las Personas con Discapacidad (Ley 26.378) Comentada</w:t>
      </w:r>
      <w:r w:rsidRPr="00916035">
        <w:t xml:space="preserve">, </w:t>
      </w:r>
      <w:proofErr w:type="spellStart"/>
      <w:r w:rsidRPr="00916035">
        <w:t>Abeledo</w:t>
      </w:r>
      <w:proofErr w:type="spellEnd"/>
      <w:r w:rsidRPr="00916035">
        <w:t xml:space="preserve"> </w:t>
      </w:r>
      <w:proofErr w:type="spellStart"/>
      <w:r w:rsidRPr="00916035">
        <w:t>Perrot</w:t>
      </w:r>
      <w:proofErr w:type="spellEnd"/>
      <w:r w:rsidRPr="00916035">
        <w:t>, Buenos Aires.</w:t>
      </w:r>
    </w:p>
    <w:p w:rsidR="003B6E85" w:rsidRPr="00916035" w:rsidRDefault="003B6E85" w:rsidP="004551E9">
      <w:pPr>
        <w:pStyle w:val="Prrafodelista"/>
      </w:pPr>
      <w:r w:rsidRPr="00916035">
        <w:rPr>
          <w:caps/>
        </w:rPr>
        <w:t>Blázquez Martín, D.,</w:t>
      </w:r>
      <w:r w:rsidRPr="00916035">
        <w:t xml:space="preserve"> (2010) “La garantía en igualdad de la libertad y seguridad de las personas con discapacidad tras la ratificación de la convención” en </w:t>
      </w:r>
      <w:r w:rsidRPr="00916035">
        <w:rPr>
          <w:caps/>
        </w:rPr>
        <w:t>Cuenca Gómez, P.,</w:t>
      </w:r>
      <w:r w:rsidRPr="00916035">
        <w:t xml:space="preserve"> (ed.), (2010), </w:t>
      </w:r>
      <w:r w:rsidRPr="00916035">
        <w:rPr>
          <w:i/>
        </w:rPr>
        <w:t>Estudios sobre el impacto de la Convención Internacional sobre los Derechos de las Personas con discapacidad en el Ordenamiento jurídico español</w:t>
      </w:r>
      <w:r w:rsidRPr="00916035">
        <w:t>, Dykinson, Madrid</w:t>
      </w:r>
    </w:p>
    <w:p w:rsidR="003B6E85" w:rsidRPr="004551E9" w:rsidRDefault="003B6E85" w:rsidP="004551E9">
      <w:pPr>
        <w:pStyle w:val="Prrafodelista"/>
        <w:rPr>
          <w:lang w:val="en-US"/>
        </w:rPr>
      </w:pPr>
      <w:r w:rsidRPr="004551E9">
        <w:rPr>
          <w:lang w:val="en-US"/>
        </w:rPr>
        <w:t xml:space="preserve">BOGDAN M &amp; KOFOD OLSEN, (1999) “Article 6”, en </w:t>
      </w:r>
      <w:r w:rsidRPr="004551E9">
        <w:rPr>
          <w:i/>
          <w:lang w:val="en-US"/>
        </w:rPr>
        <w:t>The Universal Declaration of Human Rights: a common standard of achievement,</w:t>
      </w:r>
      <w:r w:rsidRPr="004551E9">
        <w:rPr>
          <w:lang w:val="en-US"/>
        </w:rPr>
        <w:t xml:space="preserve"> </w:t>
      </w:r>
      <w:r w:rsidRPr="004551E9">
        <w:rPr>
          <w:caps/>
          <w:lang w:val="en-US"/>
        </w:rPr>
        <w:t>Alfredsson &amp; Asbjørn</w:t>
      </w:r>
      <w:r w:rsidRPr="004551E9">
        <w:rPr>
          <w:lang w:val="en-US"/>
        </w:rPr>
        <w:t xml:space="preserve"> (Eds), Martinus Nijhoff Publishers.</w:t>
      </w:r>
    </w:p>
    <w:p w:rsidR="003B6E85" w:rsidRPr="00916035" w:rsidRDefault="003B6E85" w:rsidP="004551E9">
      <w:pPr>
        <w:pStyle w:val="Prrafodelista"/>
      </w:pPr>
      <w:r w:rsidRPr="00916035">
        <w:t xml:space="preserve">CABRA DE LUNA, M. A. &amp; BARIFFI, F., (2012) “Discapacidad, seguridad humana y fuerzas armadas” en </w:t>
      </w:r>
      <w:r w:rsidRPr="00916035">
        <w:rPr>
          <w:i/>
        </w:rPr>
        <w:t>Instituto Español de Estudios Estratégicos</w:t>
      </w:r>
      <w:r w:rsidRPr="00916035">
        <w:t>, DIEEEO76-2012</w:t>
      </w:r>
    </w:p>
    <w:p w:rsidR="003B6E85" w:rsidRPr="00916035" w:rsidRDefault="003B6E85" w:rsidP="004551E9">
      <w:pPr>
        <w:pStyle w:val="Prrafodelista"/>
      </w:pPr>
      <w:r w:rsidRPr="00916035">
        <w:rPr>
          <w:caps/>
        </w:rPr>
        <w:t>Cabra de Luna, M. A.,</w:t>
      </w:r>
      <w:r w:rsidRPr="00916035">
        <w:t xml:space="preserve"> (2006), “La protección jurídica de las personas con discapacidad en la normativa comunitaria y en los instrumentos internacionales”, en </w:t>
      </w:r>
      <w:r w:rsidRPr="00916035">
        <w:rPr>
          <w:i/>
        </w:rPr>
        <w:t>Régimen jurídico de las personas con discapacidad en España y en la Unión Europea</w:t>
      </w:r>
      <w:r w:rsidRPr="00916035">
        <w:t xml:space="preserve">, </w:t>
      </w:r>
      <w:r w:rsidRPr="00916035">
        <w:rPr>
          <w:caps/>
        </w:rPr>
        <w:t xml:space="preserve">Alcarín </w:t>
      </w:r>
      <w:r w:rsidRPr="00916035">
        <w:rPr>
          <w:caps/>
        </w:rPr>
        <w:lastRenderedPageBreak/>
        <w:t>Martínez, González-Badía Fraga, Molina Fernández</w:t>
      </w:r>
      <w:r w:rsidRPr="00916035">
        <w:t xml:space="preserve"> , (Coords), Comareas, Granada.</w:t>
      </w:r>
    </w:p>
    <w:p w:rsidR="003B6E85" w:rsidRPr="00916035" w:rsidRDefault="003B6E85" w:rsidP="004551E9">
      <w:pPr>
        <w:pStyle w:val="Prrafodelista"/>
      </w:pPr>
      <w:r w:rsidRPr="00916035">
        <w:rPr>
          <w:caps/>
        </w:rPr>
        <w:t>Campoy Cervera, I. y Palacios, A.,</w:t>
      </w:r>
      <w:r w:rsidRPr="00916035">
        <w:t xml:space="preserve"> (2010) “Niños y niñas con discapacidad: reflexión general y concreción en España”, en </w:t>
      </w:r>
      <w:r w:rsidRPr="00916035">
        <w:rPr>
          <w:caps/>
        </w:rPr>
        <w:t>Cuenca Gómez, P.,</w:t>
      </w:r>
      <w:r w:rsidRPr="00916035">
        <w:t xml:space="preserve"> (ed.), </w:t>
      </w:r>
      <w:r w:rsidRPr="00916035">
        <w:rPr>
          <w:i/>
        </w:rPr>
        <w:t>Estudios sobre el impacto de la Convención Internacional sobre los Derechos de las Personas con discapacidad en el Ordenamiento jurídico español</w:t>
      </w:r>
      <w:r w:rsidRPr="00916035">
        <w:t>, Dykinson, Madrid.</w:t>
      </w:r>
    </w:p>
    <w:p w:rsidR="003B6E85" w:rsidRPr="003B6E85" w:rsidRDefault="003B6E85" w:rsidP="004551E9">
      <w:pPr>
        <w:pStyle w:val="Prrafodelista"/>
      </w:pPr>
      <w:r w:rsidRPr="00916035">
        <w:rPr>
          <w:caps/>
        </w:rPr>
        <w:t>Campoy Cervera, I., (2009)</w:t>
      </w:r>
      <w:r w:rsidRPr="00916035">
        <w:t xml:space="preserve"> “Los derechos de los niños con discapacidad”, en </w:t>
      </w:r>
      <w:r w:rsidRPr="00916035">
        <w:rPr>
          <w:caps/>
        </w:rPr>
        <w:t>Bernuz Beneitez, M. J.</w:t>
      </w:r>
      <w:r w:rsidRPr="00916035">
        <w:t xml:space="preserve"> (coord.), </w:t>
      </w:r>
      <w:r w:rsidRPr="00916035">
        <w:rPr>
          <w:i/>
        </w:rPr>
        <w:t>El cine y los derechos de la infancia</w:t>
      </w:r>
      <w:r w:rsidRPr="00916035">
        <w:t xml:space="preserve">, col. </w:t>
      </w:r>
      <w:r w:rsidRPr="003B6E85">
        <w:t>Cine y Derecho, núm. 30, Tirant lo Blanch, Valencia</w:t>
      </w:r>
    </w:p>
    <w:p w:rsidR="003B6E85" w:rsidRPr="00916035" w:rsidRDefault="003B6E85" w:rsidP="004551E9">
      <w:pPr>
        <w:pStyle w:val="Prrafodelista"/>
      </w:pPr>
      <w:r w:rsidRPr="00916035">
        <w:t>CAMPOY CERVERA, I., (en prensa), “La Construcción de un Modelo de Derechos Humanos para los Niños, con y sin Discapacidad”</w:t>
      </w:r>
    </w:p>
    <w:p w:rsidR="003B6E85" w:rsidRPr="00916035" w:rsidRDefault="003B6E85" w:rsidP="004551E9">
      <w:pPr>
        <w:pStyle w:val="Prrafodelista"/>
      </w:pPr>
      <w:r w:rsidRPr="00916035">
        <w:t xml:space="preserve">CARDONA LLORENS, J., (2007), “La Organización de las Naciones Unidas y las personas con discapacidad”, en </w:t>
      </w:r>
      <w:r w:rsidRPr="00916035">
        <w:rPr>
          <w:i/>
        </w:rPr>
        <w:t>La protección internacional de las personas con discapacidad</w:t>
      </w:r>
      <w:r w:rsidRPr="00916035">
        <w:t>, FERNANDEZ LIESA C. (Ed.), Universidad Carlos III de Madrid y Boletín Oficial del Estado, Madrid</w:t>
      </w:r>
    </w:p>
    <w:p w:rsidR="003B6E85" w:rsidRPr="004551E9" w:rsidRDefault="003B6E85" w:rsidP="004551E9">
      <w:pPr>
        <w:pStyle w:val="Prrafodelista"/>
        <w:rPr>
          <w:lang w:val="en-US"/>
        </w:rPr>
      </w:pPr>
      <w:r w:rsidRPr="00916035">
        <w:t xml:space="preserve">CARDONA LLORÉNS, J., y SANJOSÉ GIL, A., (2005) "Derechos Humanos y personas con discapacidad en el marco de las Naciones Unidas: ¿Hacia un cambio de rumbo?” en </w:t>
      </w:r>
      <w:proofErr w:type="spellStart"/>
      <w:r w:rsidRPr="00916035">
        <w:rPr>
          <w:i/>
        </w:rPr>
        <w:t>Trends</w:t>
      </w:r>
      <w:proofErr w:type="spellEnd"/>
      <w:r w:rsidRPr="00916035">
        <w:rPr>
          <w:i/>
        </w:rPr>
        <w:t xml:space="preserve"> in </w:t>
      </w:r>
      <w:proofErr w:type="spellStart"/>
      <w:r w:rsidRPr="00916035">
        <w:rPr>
          <w:i/>
        </w:rPr>
        <w:t>the</w:t>
      </w:r>
      <w:proofErr w:type="spellEnd"/>
      <w:r w:rsidRPr="00916035">
        <w:rPr>
          <w:i/>
        </w:rPr>
        <w:t xml:space="preserve"> Internacional </w:t>
      </w:r>
      <w:proofErr w:type="spellStart"/>
      <w:r w:rsidRPr="00916035">
        <w:rPr>
          <w:i/>
        </w:rPr>
        <w:t>Law</w:t>
      </w:r>
      <w:proofErr w:type="spellEnd"/>
      <w:r w:rsidRPr="00916035">
        <w:rPr>
          <w:i/>
        </w:rPr>
        <w:t xml:space="preserve"> of </w:t>
      </w:r>
      <w:proofErr w:type="spellStart"/>
      <w:r w:rsidRPr="00916035">
        <w:rPr>
          <w:i/>
        </w:rPr>
        <w:t>Human</w:t>
      </w:r>
      <w:proofErr w:type="spellEnd"/>
      <w:r w:rsidRPr="00916035">
        <w:rPr>
          <w:i/>
        </w:rPr>
        <w:t xml:space="preserve"> </w:t>
      </w:r>
      <w:proofErr w:type="spellStart"/>
      <w:r w:rsidRPr="00916035">
        <w:rPr>
          <w:i/>
        </w:rPr>
        <w:t>Rights</w:t>
      </w:r>
      <w:proofErr w:type="spellEnd"/>
      <w:r w:rsidRPr="00916035">
        <w:rPr>
          <w:i/>
        </w:rPr>
        <w:t xml:space="preserve">. </w:t>
      </w:r>
      <w:r w:rsidRPr="004551E9">
        <w:rPr>
          <w:i/>
          <w:lang w:val="en-US"/>
        </w:rPr>
        <w:t xml:space="preserve">Studies in </w:t>
      </w:r>
      <w:proofErr w:type="spellStart"/>
      <w:r w:rsidRPr="004551E9">
        <w:rPr>
          <w:i/>
          <w:lang w:val="en-US"/>
        </w:rPr>
        <w:t>honour</w:t>
      </w:r>
      <w:proofErr w:type="spellEnd"/>
      <w:r w:rsidRPr="004551E9">
        <w:rPr>
          <w:i/>
          <w:lang w:val="en-US"/>
        </w:rPr>
        <w:t xml:space="preserve"> of </w:t>
      </w:r>
      <w:proofErr w:type="spellStart"/>
      <w:r w:rsidRPr="004551E9">
        <w:rPr>
          <w:i/>
          <w:lang w:val="en-US"/>
        </w:rPr>
        <w:t>Profesor</w:t>
      </w:r>
      <w:proofErr w:type="spellEnd"/>
      <w:r w:rsidRPr="004551E9">
        <w:rPr>
          <w:i/>
          <w:lang w:val="en-US"/>
        </w:rPr>
        <w:t xml:space="preserve"> Antonio Augusto </w:t>
      </w:r>
      <w:proofErr w:type="spellStart"/>
      <w:r w:rsidRPr="004551E9">
        <w:rPr>
          <w:i/>
          <w:lang w:val="en-US"/>
        </w:rPr>
        <w:t>Cançado</w:t>
      </w:r>
      <w:proofErr w:type="spellEnd"/>
      <w:r w:rsidRPr="004551E9">
        <w:rPr>
          <w:i/>
          <w:lang w:val="en-US"/>
        </w:rPr>
        <w:t xml:space="preserve"> </w:t>
      </w:r>
      <w:proofErr w:type="spellStart"/>
      <w:r w:rsidRPr="004551E9">
        <w:rPr>
          <w:i/>
          <w:lang w:val="en-US"/>
        </w:rPr>
        <w:t>Trindade</w:t>
      </w:r>
      <w:proofErr w:type="spellEnd"/>
      <w:r w:rsidRPr="004551E9">
        <w:rPr>
          <w:lang w:val="en-US"/>
        </w:rPr>
        <w:t xml:space="preserve">, FABRIS, S. A., (Ed.) Porto </w:t>
      </w:r>
      <w:proofErr w:type="spellStart"/>
      <w:r w:rsidRPr="004551E9">
        <w:rPr>
          <w:lang w:val="en-US"/>
        </w:rPr>
        <w:t>Alegre</w:t>
      </w:r>
      <w:proofErr w:type="spellEnd"/>
    </w:p>
    <w:p w:rsidR="003B6E85" w:rsidRPr="004551E9" w:rsidRDefault="003B6E85" w:rsidP="004551E9">
      <w:pPr>
        <w:pStyle w:val="Prrafodelista"/>
        <w:rPr>
          <w:lang w:val="en-US"/>
        </w:rPr>
      </w:pPr>
      <w:r w:rsidRPr="004551E9">
        <w:rPr>
          <w:caps/>
          <w:lang w:val="en-US"/>
        </w:rPr>
        <w:t>Christoffersen, J.,</w:t>
      </w:r>
      <w:r w:rsidRPr="004551E9">
        <w:rPr>
          <w:lang w:val="en-US"/>
        </w:rPr>
        <w:t xml:space="preserve"> (2009) “Impact of General Principles of Treaty Interpretation”, en </w:t>
      </w:r>
      <w:r w:rsidRPr="004551E9">
        <w:rPr>
          <w:i/>
          <w:lang w:val="en-US"/>
        </w:rPr>
        <w:t>The Impact of Human Rights Law on General International Law</w:t>
      </w:r>
      <w:r w:rsidRPr="004551E9">
        <w:rPr>
          <w:lang w:val="en-US"/>
        </w:rPr>
        <w:t>, (KAMMINGA &amp; SCHEININ Eds.), Oxford University Press</w:t>
      </w:r>
    </w:p>
    <w:p w:rsidR="002C1D94" w:rsidRDefault="003B6E85" w:rsidP="002C1D94">
      <w:pPr>
        <w:pStyle w:val="Prrafodelista"/>
      </w:pPr>
      <w:r w:rsidRPr="00916035">
        <w:lastRenderedPageBreak/>
        <w:t xml:space="preserve">CISTERNAS S., (2012) “Las obligaciones internacionales para los Estados Partes en virtud del artículo 12 de la CDPD, vínculos con el artículo 13 e impacto en el derecho interno”, en </w:t>
      </w:r>
      <w:r w:rsidRPr="00916035">
        <w:rPr>
          <w:caps/>
        </w:rPr>
        <w:t xml:space="preserve">Bariffi, F. &amp; Palacios A., (Coord), </w:t>
      </w:r>
      <w:r w:rsidRPr="00916035">
        <w:rPr>
          <w:i/>
        </w:rPr>
        <w:t>Capacidad Jurídica, Discapacidad y Derechos Humanos: una revisión desde la Convención Internacional sobre los Derechos de las Personas con Discapacidad</w:t>
      </w:r>
      <w:r w:rsidRPr="00916035">
        <w:t>, Ediar, Buenos Aires.</w:t>
      </w:r>
    </w:p>
    <w:p w:rsidR="003B6E85" w:rsidRPr="002440CA" w:rsidRDefault="003B6E85" w:rsidP="002C1D94">
      <w:pPr>
        <w:pStyle w:val="Prrafodelista"/>
      </w:pPr>
      <w:r w:rsidRPr="002440CA">
        <w:t xml:space="preserve">COURTIS, C., (2004), “Discapacidad e inclusión social: retos teóricos y desafíos prácticos. Algunos comentarios a partir de la Ley 51/2003”, en </w:t>
      </w:r>
      <w:r w:rsidRPr="002440CA">
        <w:rPr>
          <w:i/>
        </w:rPr>
        <w:t>Jueces para la Democracia</w:t>
      </w:r>
      <w:r w:rsidRPr="002440CA">
        <w:t>, núm. 51.</w:t>
      </w:r>
    </w:p>
    <w:p w:rsidR="003B6E85" w:rsidRPr="00916035" w:rsidRDefault="003B6E85" w:rsidP="004551E9">
      <w:pPr>
        <w:pStyle w:val="Prrafodelista"/>
      </w:pPr>
      <w:r w:rsidRPr="00916035">
        <w:t xml:space="preserve">CUENCA GÓMEZ, P., (2011) “La capacidad jurídica de las personas con discapacidad: el art. 12 de la Convención de la ONU y su impacto en el ordenamiento jurídico español” en </w:t>
      </w:r>
      <w:r w:rsidRPr="00916035">
        <w:rPr>
          <w:i/>
        </w:rPr>
        <w:t>Derechos y Libertades</w:t>
      </w:r>
      <w:r w:rsidRPr="00916035">
        <w:t>, Número 24, Época II</w:t>
      </w:r>
    </w:p>
    <w:p w:rsidR="003B6E85" w:rsidRPr="004551E9" w:rsidRDefault="003B6E85" w:rsidP="004551E9">
      <w:pPr>
        <w:pStyle w:val="Prrafodelista"/>
        <w:rPr>
          <w:lang w:val="en-US"/>
        </w:rPr>
      </w:pPr>
      <w:r w:rsidRPr="004551E9">
        <w:rPr>
          <w:caps/>
          <w:lang w:val="en-US"/>
        </w:rPr>
        <w:t>de Beco, G</w:t>
      </w:r>
      <w:r w:rsidRPr="004551E9">
        <w:rPr>
          <w:lang w:val="en-US"/>
        </w:rPr>
        <w:t xml:space="preserve">., (2007) “National Human Rights Institutions in Europe”, </w:t>
      </w:r>
      <w:r w:rsidRPr="004551E9">
        <w:rPr>
          <w:i/>
          <w:lang w:val="en-US"/>
        </w:rPr>
        <w:t>Human Rights Law Review</w:t>
      </w:r>
      <w:r w:rsidRPr="004551E9">
        <w:rPr>
          <w:lang w:val="en-US"/>
        </w:rPr>
        <w:t>, Vol. 7(2),</w:t>
      </w:r>
    </w:p>
    <w:p w:rsidR="003B6E85" w:rsidRPr="004551E9" w:rsidRDefault="003B6E85" w:rsidP="004551E9">
      <w:pPr>
        <w:pStyle w:val="Prrafodelista"/>
        <w:rPr>
          <w:lang w:val="en-US"/>
        </w:rPr>
      </w:pPr>
      <w:proofErr w:type="gramStart"/>
      <w:r w:rsidRPr="004551E9">
        <w:rPr>
          <w:caps/>
          <w:lang w:val="en-US"/>
        </w:rPr>
        <w:t>de Beco, G.,</w:t>
      </w:r>
      <w:r w:rsidRPr="004551E9">
        <w:rPr>
          <w:lang w:val="en-US"/>
        </w:rPr>
        <w:t xml:space="preserve"> (2011) “Article 33 (2) of the UN Convention on the Rights of Persons with Disabilities.</w:t>
      </w:r>
      <w:proofErr w:type="gramEnd"/>
      <w:r w:rsidRPr="004551E9">
        <w:rPr>
          <w:lang w:val="en-US"/>
        </w:rPr>
        <w:t xml:space="preserve"> Another Role for National Human Rights Institutions?</w:t>
      </w:r>
      <w:proofErr w:type="gramStart"/>
      <w:r w:rsidRPr="004551E9">
        <w:rPr>
          <w:lang w:val="en-US"/>
        </w:rPr>
        <w:t>”,</w:t>
      </w:r>
      <w:proofErr w:type="gramEnd"/>
      <w:r w:rsidRPr="004551E9">
        <w:rPr>
          <w:lang w:val="en-US"/>
        </w:rPr>
        <w:t xml:space="preserve"> </w:t>
      </w:r>
      <w:r w:rsidRPr="004551E9">
        <w:rPr>
          <w:i/>
          <w:lang w:val="en-US"/>
        </w:rPr>
        <w:t>Netherlands Quarterly of Human Rights,</w:t>
      </w:r>
      <w:r w:rsidRPr="004551E9">
        <w:rPr>
          <w:lang w:val="en-US"/>
        </w:rPr>
        <w:t xml:space="preserve"> Vol.29(1)</w:t>
      </w:r>
    </w:p>
    <w:p w:rsidR="003B6E85" w:rsidRPr="00916035" w:rsidRDefault="003B6E85" w:rsidP="004551E9">
      <w:pPr>
        <w:pStyle w:val="Prrafodelista"/>
      </w:pPr>
      <w:r w:rsidRPr="00916035">
        <w:t xml:space="preserve">DE LORENZO GARCÍA, R., &amp; CABRA DE LUNA, M.A., (2007) “Análisis de la nueva legislación española en materia de sobre no discriminación, acción positiva y accesibilidad universal” en DE LORENZO GARCÍA, R. y PÉREZ BUENO, L.C, </w:t>
      </w:r>
      <w:r w:rsidRPr="00C92D44">
        <w:rPr>
          <w:i/>
        </w:rPr>
        <w:t>Tratado sobre discapacidad</w:t>
      </w:r>
      <w:r w:rsidRPr="00916035">
        <w:t xml:space="preserve">, </w:t>
      </w:r>
      <w:proofErr w:type="spellStart"/>
      <w:r w:rsidRPr="00916035">
        <w:t>Thomson</w:t>
      </w:r>
      <w:proofErr w:type="spellEnd"/>
      <w:r w:rsidRPr="00916035">
        <w:t>, Aranzadi, Pamplona.</w:t>
      </w:r>
    </w:p>
    <w:p w:rsidR="003B6E85" w:rsidRPr="002440CA" w:rsidRDefault="003B6E85" w:rsidP="004551E9">
      <w:pPr>
        <w:pStyle w:val="Prrafodelista"/>
        <w:rPr>
          <w:lang w:eastAsia="es-AR"/>
        </w:rPr>
      </w:pPr>
      <w:r w:rsidRPr="00916035">
        <w:rPr>
          <w:lang w:eastAsia="es-AR"/>
        </w:rPr>
        <w:t>DE LORENZO, R. y PALACIOS, A., (2007) “Discapacidad, Derechos Fundamentales y Protección constitucional” en LA ORDEN, J., (</w:t>
      </w:r>
      <w:proofErr w:type="spellStart"/>
      <w:r w:rsidRPr="00916035">
        <w:rPr>
          <w:lang w:eastAsia="es-AR"/>
        </w:rPr>
        <w:t>dir.</w:t>
      </w:r>
      <w:proofErr w:type="spellEnd"/>
      <w:r w:rsidRPr="00916035">
        <w:rPr>
          <w:lang w:eastAsia="es-AR"/>
        </w:rPr>
        <w:t xml:space="preserve">), </w:t>
      </w:r>
      <w:r w:rsidRPr="00916035">
        <w:rPr>
          <w:i/>
          <w:iCs/>
          <w:lang w:eastAsia="es-AR"/>
        </w:rPr>
        <w:t xml:space="preserve">Los derechos de las personas con discapacidad. </w:t>
      </w:r>
      <w:proofErr w:type="spellStart"/>
      <w:r w:rsidRPr="002440CA">
        <w:rPr>
          <w:i/>
          <w:iCs/>
          <w:lang w:eastAsia="es-AR"/>
        </w:rPr>
        <w:t>Vol</w:t>
      </w:r>
      <w:proofErr w:type="spellEnd"/>
      <w:r w:rsidRPr="002440CA">
        <w:rPr>
          <w:i/>
          <w:iCs/>
          <w:lang w:eastAsia="es-AR"/>
        </w:rPr>
        <w:t xml:space="preserve"> I. Aspectos jurídicos, </w:t>
      </w:r>
      <w:r w:rsidRPr="002440CA">
        <w:rPr>
          <w:lang w:eastAsia="es-AR"/>
        </w:rPr>
        <w:t>CGPJ, Madrid.</w:t>
      </w:r>
    </w:p>
    <w:p w:rsidR="003B6E85" w:rsidRPr="00916035" w:rsidRDefault="003B6E85" w:rsidP="004551E9">
      <w:pPr>
        <w:pStyle w:val="Prrafodelista"/>
      </w:pPr>
      <w:r w:rsidRPr="00916035">
        <w:rPr>
          <w:caps/>
        </w:rPr>
        <w:t>DEVANDAS AGUILAR; C. &amp; TRöMEL Sturmer, S.,</w:t>
      </w:r>
      <w:r w:rsidRPr="00916035">
        <w:t xml:space="preserve"> (2012), “Reservas efectuadas al artículo 12: su admisibilidad a la luz del </w:t>
      </w:r>
      <w:r w:rsidRPr="00916035">
        <w:lastRenderedPageBreak/>
        <w:t>derecho internacional de los derechos humanos”, en</w:t>
      </w:r>
      <w:r>
        <w:t xml:space="preserve"> </w:t>
      </w:r>
      <w:r w:rsidRPr="00C92D44">
        <w:rPr>
          <w:i/>
        </w:rPr>
        <w:t>Capacidad Jurídica, Discapacidad y Derechos Humanos: una revisión desde la Convención Internacional sobre los Derechos de las Personas con Discapacidad</w:t>
      </w:r>
      <w:r w:rsidRPr="00C92D44">
        <w:t>, BARIFFI, F. &amp; PALACIOS A., (COORD), Ediar, Buenos Aires</w:t>
      </w:r>
      <w:r>
        <w:t xml:space="preserve">. </w:t>
      </w:r>
    </w:p>
    <w:p w:rsidR="003B6E85" w:rsidRPr="004551E9" w:rsidRDefault="003B6E85" w:rsidP="004551E9">
      <w:pPr>
        <w:pStyle w:val="Prrafodelista"/>
        <w:rPr>
          <w:lang w:val="en-US"/>
        </w:rPr>
      </w:pPr>
      <w:r w:rsidRPr="004551E9">
        <w:rPr>
          <w:lang w:val="en-US"/>
        </w:rPr>
        <w:t xml:space="preserve">DHANDA A, (2006-2007) “Legal Capacity in the Disability Rights Convention: Stranglehold of the Past or Lodestar for the Future?” en </w:t>
      </w:r>
      <w:r w:rsidRPr="004551E9">
        <w:rPr>
          <w:i/>
          <w:lang w:val="en-US"/>
        </w:rPr>
        <w:t>Syracuse Journal of International Law and Commerce</w:t>
      </w:r>
      <w:r w:rsidRPr="004551E9">
        <w:rPr>
          <w:lang w:val="en-US"/>
        </w:rPr>
        <w:t>, vol., 34</w:t>
      </w:r>
    </w:p>
    <w:p w:rsidR="003B6E85" w:rsidRPr="004551E9" w:rsidRDefault="003B6E85" w:rsidP="004551E9">
      <w:pPr>
        <w:pStyle w:val="Prrafodelista"/>
        <w:rPr>
          <w:lang w:val="en-US"/>
        </w:rPr>
      </w:pPr>
      <w:r w:rsidRPr="004551E9">
        <w:rPr>
          <w:lang w:val="en-US"/>
        </w:rPr>
        <w:t xml:space="preserve">DHANDA, A., (2008), “Constructing a new human rights </w:t>
      </w:r>
      <w:proofErr w:type="spellStart"/>
      <w:r w:rsidRPr="004551E9">
        <w:rPr>
          <w:lang w:val="en-US"/>
        </w:rPr>
        <w:t>lexicom</w:t>
      </w:r>
      <w:proofErr w:type="spellEnd"/>
      <w:r w:rsidRPr="004551E9">
        <w:rPr>
          <w:lang w:val="en-US"/>
        </w:rPr>
        <w:t xml:space="preserve">: Convention on the Rights of Persons with Disabilities”, </w:t>
      </w:r>
      <w:r w:rsidRPr="004551E9">
        <w:rPr>
          <w:i/>
          <w:lang w:val="en-US"/>
        </w:rPr>
        <w:t>SUR – International Journal on Human Rights</w:t>
      </w:r>
      <w:r w:rsidRPr="004551E9">
        <w:rPr>
          <w:lang w:val="en-US"/>
        </w:rPr>
        <w:t>, Vol. 8</w:t>
      </w:r>
    </w:p>
    <w:p w:rsidR="003B6E85" w:rsidRPr="004551E9" w:rsidRDefault="003B6E85" w:rsidP="004551E9">
      <w:pPr>
        <w:pStyle w:val="Prrafodelista"/>
        <w:rPr>
          <w:lang w:val="en-US"/>
        </w:rPr>
      </w:pPr>
      <w:r w:rsidRPr="004551E9">
        <w:rPr>
          <w:caps/>
          <w:lang w:val="en-US"/>
        </w:rPr>
        <w:t xml:space="preserve">Dhir A </w:t>
      </w:r>
      <w:proofErr w:type="spellStart"/>
      <w:r w:rsidRPr="004551E9">
        <w:rPr>
          <w:caps/>
          <w:lang w:val="en-US"/>
        </w:rPr>
        <w:t>A</w:t>
      </w:r>
      <w:proofErr w:type="spellEnd"/>
      <w:r w:rsidRPr="004551E9">
        <w:rPr>
          <w:caps/>
          <w:lang w:val="en-US"/>
        </w:rPr>
        <w:t>,</w:t>
      </w:r>
      <w:r w:rsidRPr="004551E9">
        <w:rPr>
          <w:lang w:val="en-US"/>
        </w:rPr>
        <w:t xml:space="preserve"> (2005) “Human Rights Treaty Drafting through the Lens of Mental Disability: the Proposed International Convention on Protection and Promotion of the Rights and Dignity of Persons with Disabilities”, </w:t>
      </w:r>
      <w:r w:rsidRPr="004551E9">
        <w:rPr>
          <w:i/>
          <w:lang w:val="en-US"/>
        </w:rPr>
        <w:t>Stanford Journal of International Law</w:t>
      </w:r>
      <w:r w:rsidRPr="004551E9">
        <w:rPr>
          <w:lang w:val="en-US"/>
        </w:rPr>
        <w:t>, vol. 41</w:t>
      </w:r>
    </w:p>
    <w:p w:rsidR="003B6E85" w:rsidRPr="004551E9" w:rsidRDefault="003B6E85" w:rsidP="004551E9">
      <w:pPr>
        <w:pStyle w:val="Prrafodelista"/>
        <w:rPr>
          <w:lang w:val="en-US"/>
        </w:rPr>
      </w:pPr>
      <w:r w:rsidRPr="004551E9">
        <w:rPr>
          <w:lang w:val="en-US"/>
        </w:rPr>
        <w:t xml:space="preserve">DINERSTEIN, R. D., (2012), “Implementing Legal Capacity </w:t>
      </w:r>
      <w:proofErr w:type="gramStart"/>
      <w:r w:rsidRPr="004551E9">
        <w:rPr>
          <w:lang w:val="en-US"/>
        </w:rPr>
        <w:t>Under</w:t>
      </w:r>
      <w:proofErr w:type="gramEnd"/>
      <w:r w:rsidRPr="004551E9">
        <w:rPr>
          <w:lang w:val="en-US"/>
        </w:rPr>
        <w:t xml:space="preserve"> Article 12 of the UN Convention on the Rights of Persons with Disabilities: The Difficult Read From Guardianship to Supported Decision-Making”, en </w:t>
      </w:r>
      <w:r w:rsidRPr="004551E9">
        <w:rPr>
          <w:i/>
          <w:lang w:val="en-US"/>
        </w:rPr>
        <w:t>Human Rights Brief,</w:t>
      </w:r>
      <w:r w:rsidRPr="004551E9">
        <w:rPr>
          <w:lang w:val="en-US"/>
        </w:rPr>
        <w:t xml:space="preserve"> vol. 19, Issue 2</w:t>
      </w:r>
    </w:p>
    <w:p w:rsidR="003B6E85" w:rsidRPr="002440CA" w:rsidRDefault="003B6E85" w:rsidP="004551E9">
      <w:pPr>
        <w:pStyle w:val="Prrafodelista"/>
      </w:pPr>
      <w:r w:rsidRPr="00916035">
        <w:rPr>
          <w:caps/>
        </w:rPr>
        <w:t>Dulitzky, A.,</w:t>
      </w:r>
      <w:r w:rsidRPr="00916035">
        <w:t xml:space="preserve"> (2004) “Alcance de las obligaciones Internacionales de los Derechos Humanos”, en Derecho Internacional de los Derechos Humanos, </w:t>
      </w:r>
      <w:r w:rsidRPr="00916035">
        <w:rPr>
          <w:caps/>
        </w:rPr>
        <w:t>Rodríguez-Pinzón &amp; Guevara</w:t>
      </w:r>
      <w:r w:rsidRPr="00916035">
        <w:t xml:space="preserve"> (Comp.) </w:t>
      </w:r>
      <w:proofErr w:type="spellStart"/>
      <w:r w:rsidRPr="002440CA">
        <w:t>Fontamara</w:t>
      </w:r>
      <w:proofErr w:type="spellEnd"/>
      <w:r w:rsidRPr="002440CA">
        <w:t>, México.</w:t>
      </w:r>
    </w:p>
    <w:p w:rsidR="003B6E85" w:rsidRPr="002440CA" w:rsidRDefault="003B6E85" w:rsidP="004551E9">
      <w:pPr>
        <w:pStyle w:val="Prrafodelista"/>
        <w:rPr>
          <w:lang w:val="es-ES_tradnl"/>
        </w:rPr>
      </w:pPr>
      <w:r w:rsidRPr="00916035">
        <w:rPr>
          <w:caps/>
        </w:rPr>
        <w:t>Escobar Hernández, C.,</w:t>
      </w:r>
      <w:r w:rsidRPr="00916035">
        <w:t xml:space="preserve"> (2005) “La Protección Internacional de los Derechos Humanos”, en </w:t>
      </w:r>
      <w:r w:rsidRPr="00916035">
        <w:rPr>
          <w:i/>
        </w:rPr>
        <w:t>Instituciones de Derecho Internacional Público</w:t>
      </w:r>
      <w:r w:rsidRPr="00916035">
        <w:t xml:space="preserve">, Coord. </w:t>
      </w:r>
      <w:r w:rsidRPr="00C92D44">
        <w:rPr>
          <w:caps/>
          <w:lang w:val="es-ES_tradnl"/>
        </w:rPr>
        <w:t>Diez de Velasco</w:t>
      </w:r>
      <w:r w:rsidRPr="002440CA">
        <w:rPr>
          <w:lang w:val="es-ES_tradnl"/>
        </w:rPr>
        <w:t xml:space="preserve">, 15º ed., </w:t>
      </w:r>
      <w:proofErr w:type="spellStart"/>
      <w:r w:rsidRPr="002440CA">
        <w:rPr>
          <w:lang w:val="es-ES_tradnl"/>
        </w:rPr>
        <w:t>Tecnos</w:t>
      </w:r>
      <w:proofErr w:type="spellEnd"/>
      <w:r w:rsidRPr="002440CA">
        <w:rPr>
          <w:lang w:val="es-ES_tradnl"/>
        </w:rPr>
        <w:t>, Madrid</w:t>
      </w:r>
    </w:p>
    <w:p w:rsidR="003B6E85" w:rsidRPr="00916035" w:rsidRDefault="003B6E85" w:rsidP="004551E9">
      <w:pPr>
        <w:pStyle w:val="Prrafodelista"/>
      </w:pPr>
      <w:r w:rsidRPr="00916035">
        <w:t xml:space="preserve">FERNÁNDEZ LIESA, C., (2007), “Codificación internacional y desarrollo progresivo de los derechos humanos de las personas con discapacidad”, en </w:t>
      </w:r>
      <w:r w:rsidRPr="00C92D44">
        <w:rPr>
          <w:i/>
        </w:rPr>
        <w:t xml:space="preserve">La protección internacional de las personas con </w:t>
      </w:r>
      <w:r w:rsidRPr="00C92D44">
        <w:rPr>
          <w:i/>
        </w:rPr>
        <w:lastRenderedPageBreak/>
        <w:t>discapacidad</w:t>
      </w:r>
      <w:r w:rsidRPr="00916035">
        <w:t>, FERNANDEZ LIESA C. (Ed.), Universidad Carlos III de Madrid y Boletín Oficial del Estado, Madrid.</w:t>
      </w:r>
    </w:p>
    <w:p w:rsidR="003B6E85" w:rsidRPr="002440CA" w:rsidRDefault="003B6E85" w:rsidP="004551E9">
      <w:pPr>
        <w:pStyle w:val="Prrafodelista"/>
      </w:pPr>
      <w:r w:rsidRPr="00916035">
        <w:rPr>
          <w:caps/>
        </w:rPr>
        <w:t>Fernández-Creuhet F,</w:t>
      </w:r>
      <w:r w:rsidRPr="00916035">
        <w:t xml:space="preserve"> (2004) “La teoría de la representación como </w:t>
      </w:r>
      <w:proofErr w:type="spellStart"/>
      <w:r w:rsidRPr="00916035">
        <w:t>aleph</w:t>
      </w:r>
      <w:proofErr w:type="spellEnd"/>
      <w:r w:rsidRPr="00916035">
        <w:t xml:space="preserve"> de la filosofía jurídica de F. C. </w:t>
      </w:r>
      <w:proofErr w:type="spellStart"/>
      <w:r w:rsidRPr="00916035">
        <w:t>Savigny</w:t>
      </w:r>
      <w:proofErr w:type="spellEnd"/>
      <w:r w:rsidRPr="00916035">
        <w:t xml:space="preserve">”, </w:t>
      </w:r>
      <w:r w:rsidRPr="00916035">
        <w:rPr>
          <w:i/>
        </w:rPr>
        <w:t xml:space="preserve">Anuario de </w:t>
      </w:r>
      <w:proofErr w:type="spellStart"/>
      <w:r w:rsidRPr="00916035">
        <w:rPr>
          <w:i/>
        </w:rPr>
        <w:t>Filosofia</w:t>
      </w:r>
      <w:proofErr w:type="spellEnd"/>
      <w:r w:rsidRPr="00916035">
        <w:rPr>
          <w:i/>
        </w:rPr>
        <w:t xml:space="preserve"> del Derecho, </w:t>
      </w:r>
      <w:r w:rsidRPr="00916035">
        <w:t xml:space="preserve">Núm. </w:t>
      </w:r>
      <w:r w:rsidRPr="002440CA">
        <w:t xml:space="preserve">XXI, Enero; </w:t>
      </w:r>
    </w:p>
    <w:p w:rsidR="003B6E85" w:rsidRPr="003B6E85" w:rsidRDefault="003B6E85" w:rsidP="004551E9">
      <w:pPr>
        <w:pStyle w:val="Prrafodelista"/>
      </w:pPr>
      <w:r w:rsidRPr="00916035">
        <w:rPr>
          <w:caps/>
        </w:rPr>
        <w:t>Fernández-Creuhet F,</w:t>
      </w:r>
      <w:r w:rsidRPr="00916035">
        <w:t xml:space="preserve"> (2004) “La teoría de la representación como </w:t>
      </w:r>
      <w:proofErr w:type="spellStart"/>
      <w:r w:rsidRPr="00916035">
        <w:t>aleph</w:t>
      </w:r>
      <w:proofErr w:type="spellEnd"/>
      <w:r w:rsidRPr="00916035">
        <w:t xml:space="preserve"> de la filosofía jurídica de F. C. </w:t>
      </w:r>
      <w:proofErr w:type="spellStart"/>
      <w:r w:rsidRPr="00916035">
        <w:t>Savigny</w:t>
      </w:r>
      <w:proofErr w:type="spellEnd"/>
      <w:r w:rsidRPr="00916035">
        <w:t xml:space="preserve">”, </w:t>
      </w:r>
      <w:r w:rsidRPr="00916035">
        <w:rPr>
          <w:i/>
        </w:rPr>
        <w:t xml:space="preserve">Anuario de </w:t>
      </w:r>
      <w:proofErr w:type="spellStart"/>
      <w:r w:rsidRPr="00916035">
        <w:rPr>
          <w:i/>
        </w:rPr>
        <w:t>Filosofia</w:t>
      </w:r>
      <w:proofErr w:type="spellEnd"/>
      <w:r w:rsidRPr="00916035">
        <w:rPr>
          <w:i/>
        </w:rPr>
        <w:t xml:space="preserve"> del Derecho, </w:t>
      </w:r>
      <w:r w:rsidRPr="00916035">
        <w:t xml:space="preserve">Núm. </w:t>
      </w:r>
      <w:r w:rsidRPr="003B6E85">
        <w:t xml:space="preserve">XXI, Enero; </w:t>
      </w:r>
    </w:p>
    <w:p w:rsidR="003B6E85" w:rsidRPr="00916035" w:rsidRDefault="003B6E85" w:rsidP="004551E9">
      <w:pPr>
        <w:pStyle w:val="Prrafodelista"/>
      </w:pPr>
      <w:r w:rsidRPr="00916035">
        <w:t>GANZENMULLER ROIG, C., (2012) “El juicio de capacidad y el Ministerio Fiscal: La labor del fiscal en la promoción de la autonomía de la voluntad de las personas con discapacidad intelectual o mental”, en</w:t>
      </w:r>
      <w:r>
        <w:t xml:space="preserve"> </w:t>
      </w:r>
      <w:r w:rsidRPr="00C92D44">
        <w:rPr>
          <w:i/>
        </w:rPr>
        <w:t>Capacidad Jurídica, Discapacidad y Derechos Humanos: una revisión desde la Convención Internacional sobre los Derechos de las Personas con Discapacidad</w:t>
      </w:r>
      <w:r w:rsidRPr="00C92D44">
        <w:t>, BARIFFI, F. &amp; PALACIOS A., (COORD), Ediar, Buenos Aires</w:t>
      </w:r>
      <w:r>
        <w:t>.</w:t>
      </w:r>
    </w:p>
    <w:p w:rsidR="003B6E85" w:rsidRPr="004551E9" w:rsidRDefault="003B6E85" w:rsidP="004551E9">
      <w:pPr>
        <w:pStyle w:val="Prrafodelista"/>
        <w:rPr>
          <w:lang w:val="en-US"/>
        </w:rPr>
      </w:pPr>
      <w:r w:rsidRPr="004551E9">
        <w:rPr>
          <w:caps/>
          <w:lang w:val="en-US"/>
        </w:rPr>
        <w:t>Goonesekere, S. W. E.,</w:t>
      </w:r>
      <w:r w:rsidRPr="004551E9">
        <w:rPr>
          <w:lang w:val="en-US"/>
        </w:rPr>
        <w:t xml:space="preserve"> (2012) “Article 15”, en </w:t>
      </w:r>
      <w:r w:rsidRPr="004551E9">
        <w:rPr>
          <w:caps/>
          <w:lang w:val="en-US"/>
        </w:rPr>
        <w:t>Freeman, Chinkin, Rudolf (Eds),</w:t>
      </w:r>
      <w:r w:rsidRPr="004551E9">
        <w:rPr>
          <w:lang w:val="en-US"/>
        </w:rPr>
        <w:t xml:space="preserve"> </w:t>
      </w:r>
      <w:r w:rsidRPr="004551E9">
        <w:rPr>
          <w:i/>
          <w:lang w:val="en-US"/>
        </w:rPr>
        <w:t>CEDAW Commentary</w:t>
      </w:r>
      <w:r w:rsidRPr="004551E9">
        <w:rPr>
          <w:lang w:val="en-US"/>
        </w:rPr>
        <w:t>, Oxford University Press</w:t>
      </w:r>
    </w:p>
    <w:p w:rsidR="003B6E85" w:rsidRPr="004551E9" w:rsidRDefault="003B6E85" w:rsidP="004551E9">
      <w:pPr>
        <w:pStyle w:val="Prrafodelista"/>
        <w:rPr>
          <w:lang w:val="en-US"/>
        </w:rPr>
      </w:pPr>
      <w:r w:rsidRPr="004551E9">
        <w:rPr>
          <w:caps/>
          <w:lang w:val="en-US"/>
        </w:rPr>
        <w:t>Greppi E.,</w:t>
      </w:r>
      <w:r w:rsidRPr="004551E9">
        <w:rPr>
          <w:lang w:val="en-US"/>
        </w:rPr>
        <w:t xml:space="preserve"> (1999) “The Evolution of Individual Criminal Responsibility under International Law” </w:t>
      </w:r>
      <w:r w:rsidRPr="004551E9">
        <w:rPr>
          <w:i/>
          <w:lang w:val="en-US"/>
        </w:rPr>
        <w:t>International Review of the Red Cross</w:t>
      </w:r>
      <w:r w:rsidRPr="004551E9">
        <w:rPr>
          <w:lang w:val="en-US"/>
        </w:rPr>
        <w:t>, No 835</w:t>
      </w:r>
    </w:p>
    <w:p w:rsidR="002C1D94" w:rsidRDefault="003B6E85" w:rsidP="002C1D94">
      <w:pPr>
        <w:pStyle w:val="Prrafodelista"/>
        <w:rPr>
          <w:lang w:val="en-US"/>
        </w:rPr>
      </w:pPr>
      <w:r w:rsidRPr="004551E9">
        <w:rPr>
          <w:caps/>
          <w:lang w:val="en-US"/>
        </w:rPr>
        <w:t>Heiser, W.,</w:t>
      </w:r>
      <w:r w:rsidRPr="004551E9">
        <w:rPr>
          <w:lang w:val="en-US"/>
        </w:rPr>
        <w:t xml:space="preserve"> (2002) “Civil Litigation as a Means of Compensating Victims of International Terrorism”, </w:t>
      </w:r>
      <w:r w:rsidRPr="004551E9">
        <w:rPr>
          <w:i/>
          <w:lang w:val="en-US"/>
        </w:rPr>
        <w:t>San Diego International Law Journal</w:t>
      </w:r>
      <w:r w:rsidRPr="004551E9">
        <w:rPr>
          <w:lang w:val="en-US"/>
        </w:rPr>
        <w:t>, Vol. 3</w:t>
      </w:r>
    </w:p>
    <w:p w:rsidR="003B6E85" w:rsidRPr="004551E9" w:rsidRDefault="003B6E85" w:rsidP="002C1D94">
      <w:pPr>
        <w:pStyle w:val="Prrafodelista"/>
        <w:rPr>
          <w:lang w:val="en-US"/>
        </w:rPr>
      </w:pPr>
      <w:r w:rsidRPr="004551E9">
        <w:rPr>
          <w:noProof/>
          <w:lang w:val="en-US"/>
        </w:rPr>
        <w:t>HERNÁNDEZ, G. I., (2012), “The Reluctant Guardian: The International Court of Justice and the Concept of ‘International Community’”, British Yearbook of International Law, Vol. 83, No I.</w:t>
      </w:r>
    </w:p>
    <w:p w:rsidR="003B6E85" w:rsidRPr="004551E9" w:rsidRDefault="003B6E85" w:rsidP="004551E9">
      <w:pPr>
        <w:pStyle w:val="Prrafodelista"/>
        <w:rPr>
          <w:lang w:val="en-US"/>
        </w:rPr>
      </w:pPr>
      <w:r w:rsidRPr="004551E9">
        <w:rPr>
          <w:caps/>
          <w:lang w:val="en-US"/>
        </w:rPr>
        <w:t>Higgins, R.,</w:t>
      </w:r>
      <w:r w:rsidRPr="004551E9">
        <w:rPr>
          <w:lang w:val="en-US"/>
        </w:rPr>
        <w:t xml:space="preserve"> (1989) “Human Rights: Some Questions of Integrity”, </w:t>
      </w:r>
      <w:r w:rsidRPr="004551E9">
        <w:rPr>
          <w:i/>
          <w:lang w:val="en-US"/>
        </w:rPr>
        <w:t>Commonwealth Law Bulletin</w:t>
      </w:r>
      <w:r w:rsidRPr="004551E9">
        <w:rPr>
          <w:lang w:val="en-US"/>
        </w:rPr>
        <w:t>, vol. 15</w:t>
      </w:r>
    </w:p>
    <w:p w:rsidR="003B6E85" w:rsidRPr="00916035" w:rsidRDefault="003B6E85" w:rsidP="004551E9">
      <w:pPr>
        <w:pStyle w:val="Prrafodelista"/>
      </w:pPr>
      <w:r w:rsidRPr="00916035">
        <w:rPr>
          <w:caps/>
        </w:rPr>
        <w:lastRenderedPageBreak/>
        <w:t>Howard Zuluaga, M.,</w:t>
      </w:r>
      <w:r w:rsidRPr="00916035">
        <w:t xml:space="preserve"> (2012) “Las declaraciones de voluntad anticipada y la autonomía de la persona” en </w:t>
      </w:r>
      <w:r w:rsidRPr="00916035">
        <w:rPr>
          <w:i/>
        </w:rPr>
        <w:t>Revista de Derecho</w:t>
      </w:r>
      <w:r w:rsidRPr="00916035">
        <w:t>, Año 11, Nº. 21</w:t>
      </w:r>
    </w:p>
    <w:p w:rsidR="003B6E85" w:rsidRPr="00916035" w:rsidRDefault="003B6E85" w:rsidP="004551E9">
      <w:pPr>
        <w:pStyle w:val="Prrafodelista"/>
      </w:pPr>
      <w:r w:rsidRPr="00916035">
        <w:t xml:space="preserve">JIMÉNEZ, E. P., (2007), “El tratamiento de las personas con discapacidad en el sistema constitucional argentino”, en CAMPOY CERVERA, I. &amp; PALACIOS, A. (Ed.), </w:t>
      </w:r>
      <w:r w:rsidRPr="00916035">
        <w:rPr>
          <w:i/>
        </w:rPr>
        <w:t>Igualdad, no discriminación y discapacidad</w:t>
      </w:r>
      <w:r w:rsidRPr="00916035">
        <w:t>, Debates del Instituto Bartolomé de las Casas n°8, Dykinson, Madrid.</w:t>
      </w:r>
    </w:p>
    <w:p w:rsidR="003B6E85" w:rsidRPr="004551E9" w:rsidRDefault="003B6E85" w:rsidP="004551E9">
      <w:pPr>
        <w:pStyle w:val="Prrafodelista"/>
        <w:rPr>
          <w:lang w:val="en-US"/>
        </w:rPr>
      </w:pPr>
      <w:proofErr w:type="gramStart"/>
      <w:r w:rsidRPr="004551E9">
        <w:rPr>
          <w:lang w:val="en-US"/>
        </w:rPr>
        <w:t>KAYESS, R. &amp; FRENCH, P., (2008) “Out of Darkness into Light?</w:t>
      </w:r>
      <w:proofErr w:type="gramEnd"/>
      <w:r w:rsidRPr="004551E9">
        <w:rPr>
          <w:lang w:val="en-US"/>
        </w:rPr>
        <w:t xml:space="preserve"> Introducing the Convention on the Rights of Persons with Disabilities”, </w:t>
      </w:r>
      <w:r w:rsidRPr="004551E9">
        <w:rPr>
          <w:i/>
          <w:lang w:val="en-US"/>
        </w:rPr>
        <w:t>Human Rights Law Review</w:t>
      </w:r>
      <w:r w:rsidRPr="004551E9">
        <w:rPr>
          <w:lang w:val="en-US"/>
        </w:rPr>
        <w:t>, Vol. 8(1)</w:t>
      </w:r>
    </w:p>
    <w:p w:rsidR="003B6E85" w:rsidRPr="00916035" w:rsidRDefault="003B6E85" w:rsidP="004551E9">
      <w:pPr>
        <w:pStyle w:val="Prrafodelista"/>
      </w:pPr>
      <w:r w:rsidRPr="00916035">
        <w:rPr>
          <w:caps/>
        </w:rPr>
        <w:t xml:space="preserve">Kemelmajer de Carlucci, A., </w:t>
      </w:r>
      <w:r w:rsidRPr="00916035">
        <w:t xml:space="preserve">(2007) “Las voluntades anticipadas Una apertura a favor del reconocimiento de la autonomía de la voluntad para expresar decisiones bioéticas”, en </w:t>
      </w:r>
      <w:r w:rsidRPr="00916035">
        <w:rPr>
          <w:i/>
        </w:rPr>
        <w:t>Revista Jurídica Universidad Interamericana de Puerto Rico</w:t>
      </w:r>
      <w:r w:rsidRPr="00916035">
        <w:t xml:space="preserve"> Vol. 41</w:t>
      </w:r>
    </w:p>
    <w:p w:rsidR="003B6E85" w:rsidRPr="004551E9" w:rsidRDefault="003B6E85" w:rsidP="004551E9">
      <w:pPr>
        <w:pStyle w:val="Prrafodelista"/>
        <w:rPr>
          <w:lang w:val="en-US"/>
        </w:rPr>
      </w:pPr>
      <w:proofErr w:type="gramStart"/>
      <w:r w:rsidRPr="004551E9">
        <w:rPr>
          <w:caps/>
          <w:lang w:val="en-US"/>
        </w:rPr>
        <w:t>Koskenniemi, M., &amp; Leino, P.,</w:t>
      </w:r>
      <w:r w:rsidRPr="004551E9">
        <w:rPr>
          <w:lang w:val="en-US"/>
        </w:rPr>
        <w:t xml:space="preserve"> (2002), “Fragmentation of International Law?</w:t>
      </w:r>
      <w:proofErr w:type="gramEnd"/>
      <w:r w:rsidRPr="004551E9">
        <w:rPr>
          <w:lang w:val="en-US"/>
        </w:rPr>
        <w:t xml:space="preserve"> Postmodern Anxieties”, </w:t>
      </w:r>
      <w:r w:rsidRPr="004551E9">
        <w:rPr>
          <w:i/>
          <w:lang w:val="en-US"/>
        </w:rPr>
        <w:t>Leiden Journal of International Law,</w:t>
      </w:r>
      <w:r w:rsidRPr="004551E9">
        <w:rPr>
          <w:lang w:val="en-US"/>
        </w:rPr>
        <w:t xml:space="preserve"> vol. 15</w:t>
      </w:r>
    </w:p>
    <w:p w:rsidR="003B6E85" w:rsidRPr="004551E9" w:rsidRDefault="003B6E85" w:rsidP="004551E9">
      <w:pPr>
        <w:pStyle w:val="Prrafodelista"/>
        <w:rPr>
          <w:lang w:val="en-US"/>
        </w:rPr>
      </w:pPr>
      <w:r w:rsidRPr="004551E9">
        <w:rPr>
          <w:lang w:val="en-US"/>
        </w:rPr>
        <w:t>LAWSON, A., (2006-2007), “The United Nations Convention on the Rights of Persons with Disabilities: New Era or False Dawn?</w:t>
      </w:r>
      <w:proofErr w:type="gramStart"/>
      <w:r w:rsidRPr="004551E9">
        <w:rPr>
          <w:lang w:val="en-US"/>
        </w:rPr>
        <w:t>”,</w:t>
      </w:r>
      <w:proofErr w:type="gramEnd"/>
      <w:r w:rsidRPr="004551E9">
        <w:rPr>
          <w:lang w:val="en-US"/>
        </w:rPr>
        <w:t xml:space="preserve"> </w:t>
      </w:r>
      <w:r w:rsidRPr="004551E9">
        <w:rPr>
          <w:i/>
          <w:lang w:val="en-US"/>
        </w:rPr>
        <w:t>Syracuse Journal of International Law and Commerce</w:t>
      </w:r>
      <w:r w:rsidRPr="004551E9">
        <w:rPr>
          <w:lang w:val="en-US"/>
        </w:rPr>
        <w:t>, vol., 34</w:t>
      </w:r>
    </w:p>
    <w:p w:rsidR="003B6E85" w:rsidRPr="004551E9" w:rsidRDefault="003B6E85" w:rsidP="004551E9">
      <w:pPr>
        <w:pStyle w:val="Prrafodelista"/>
        <w:rPr>
          <w:lang w:val="en-US"/>
        </w:rPr>
      </w:pPr>
      <w:r w:rsidRPr="004551E9">
        <w:rPr>
          <w:lang w:val="en-US"/>
        </w:rPr>
        <w:t>LEATHELEY C, (2007-2008), “An Institutional Hierarchy to Combat the Fragmentation of International Law: Has the ILC Missed an Opportunity?</w:t>
      </w:r>
      <w:proofErr w:type="gramStart"/>
      <w:r w:rsidRPr="004551E9">
        <w:rPr>
          <w:lang w:val="en-US"/>
        </w:rPr>
        <w:t>”,</w:t>
      </w:r>
      <w:proofErr w:type="gramEnd"/>
      <w:r w:rsidRPr="004551E9">
        <w:rPr>
          <w:lang w:val="en-US"/>
        </w:rPr>
        <w:t xml:space="preserve"> </w:t>
      </w:r>
      <w:r w:rsidRPr="004551E9">
        <w:rPr>
          <w:i/>
          <w:lang w:val="en-US"/>
        </w:rPr>
        <w:t>New York University Journal of International Law and Politics</w:t>
      </w:r>
      <w:r w:rsidRPr="004551E9">
        <w:rPr>
          <w:lang w:val="en-US"/>
        </w:rPr>
        <w:t>, vol. 40</w:t>
      </w:r>
    </w:p>
    <w:p w:rsidR="003B6E85" w:rsidRPr="004551E9" w:rsidRDefault="003B6E85" w:rsidP="004551E9">
      <w:pPr>
        <w:pStyle w:val="Prrafodelista"/>
        <w:rPr>
          <w:lang w:val="en-US"/>
        </w:rPr>
      </w:pPr>
      <w:r w:rsidRPr="004551E9">
        <w:rPr>
          <w:caps/>
          <w:lang w:val="en-US"/>
        </w:rPr>
        <w:t>Lindqvist, B.,</w:t>
      </w:r>
      <w:r w:rsidRPr="004551E9">
        <w:rPr>
          <w:lang w:val="en-US"/>
        </w:rPr>
        <w:t xml:space="preserve"> (1995), “Standard rules in the disability field–A United Nations instrument”, en </w:t>
      </w:r>
      <w:r w:rsidRPr="004551E9">
        <w:rPr>
          <w:i/>
          <w:lang w:val="en-US"/>
        </w:rPr>
        <w:t>Human Rights and Disabled Persons</w:t>
      </w:r>
      <w:r w:rsidRPr="004551E9">
        <w:rPr>
          <w:lang w:val="en-US"/>
        </w:rPr>
        <w:t xml:space="preserve">, </w:t>
      </w:r>
      <w:r w:rsidRPr="004551E9">
        <w:rPr>
          <w:caps/>
          <w:lang w:val="en-US"/>
        </w:rPr>
        <w:t>Degener &amp; Koster-Dreese</w:t>
      </w:r>
      <w:r w:rsidRPr="004551E9">
        <w:rPr>
          <w:lang w:val="en-US"/>
        </w:rPr>
        <w:t xml:space="preserve">, eds., Dordrecht </w:t>
      </w:r>
      <w:proofErr w:type="spellStart"/>
      <w:r w:rsidRPr="004551E9">
        <w:rPr>
          <w:lang w:val="en-US"/>
        </w:rPr>
        <w:t>Kluwer</w:t>
      </w:r>
      <w:proofErr w:type="spellEnd"/>
      <w:r w:rsidRPr="004551E9">
        <w:rPr>
          <w:lang w:val="en-US"/>
        </w:rPr>
        <w:t xml:space="preserve"> Academic Publishers Group</w:t>
      </w:r>
    </w:p>
    <w:p w:rsidR="003B6E85" w:rsidRPr="004551E9" w:rsidRDefault="003B6E85" w:rsidP="004551E9">
      <w:pPr>
        <w:pStyle w:val="Prrafodelista"/>
        <w:rPr>
          <w:lang w:val="en-US"/>
        </w:rPr>
      </w:pPr>
      <w:r w:rsidRPr="004551E9">
        <w:rPr>
          <w:caps/>
          <w:lang w:val="en-US"/>
        </w:rPr>
        <w:lastRenderedPageBreak/>
        <w:t>Lord, J. E. &amp; Stein, M. A.,</w:t>
      </w:r>
      <w:r w:rsidRPr="004551E9">
        <w:rPr>
          <w:lang w:val="en-US"/>
        </w:rPr>
        <w:t xml:space="preserve"> (2009) “Social Rights and </w:t>
      </w:r>
      <w:proofErr w:type="gramStart"/>
      <w:r w:rsidRPr="004551E9">
        <w:rPr>
          <w:lang w:val="en-US"/>
        </w:rPr>
        <w:t>The</w:t>
      </w:r>
      <w:proofErr w:type="gramEnd"/>
      <w:r w:rsidRPr="004551E9">
        <w:rPr>
          <w:lang w:val="en-US"/>
        </w:rPr>
        <w:t xml:space="preserve"> Relational Value of the Rights to Participate in Sport, Recreation and Play,” </w:t>
      </w:r>
      <w:r w:rsidRPr="004551E9">
        <w:rPr>
          <w:i/>
          <w:lang w:val="en-US"/>
        </w:rPr>
        <w:t>Boston University Journal of International Law</w:t>
      </w:r>
      <w:r w:rsidRPr="004551E9">
        <w:rPr>
          <w:lang w:val="en-US"/>
        </w:rPr>
        <w:t xml:space="preserve"> Vol. 27</w:t>
      </w:r>
    </w:p>
    <w:p w:rsidR="003B6E85" w:rsidRPr="004551E9" w:rsidRDefault="003B6E85" w:rsidP="004551E9">
      <w:pPr>
        <w:pStyle w:val="Prrafodelista"/>
        <w:rPr>
          <w:lang w:val="en-US"/>
        </w:rPr>
      </w:pPr>
      <w:r w:rsidRPr="004551E9">
        <w:rPr>
          <w:lang w:val="en-US"/>
        </w:rPr>
        <w:t xml:space="preserve">LORD, J. E., &amp; STEIN, M. A., (2010) “Ensuring Respect for the Rights of People with Disabilities,” in </w:t>
      </w:r>
      <w:r w:rsidRPr="004551E9">
        <w:rPr>
          <w:i/>
          <w:lang w:val="en-US"/>
        </w:rPr>
        <w:t>The Human Impact of Natural Disasters: Issues for the Inquiry-Based Classroom,</w:t>
      </w:r>
      <w:r w:rsidRPr="004551E9">
        <w:rPr>
          <w:lang w:val="en-US"/>
        </w:rPr>
        <w:t xml:space="preserve"> </w:t>
      </w:r>
      <w:r w:rsidRPr="004551E9">
        <w:rPr>
          <w:caps/>
          <w:lang w:val="en-US"/>
        </w:rPr>
        <w:t>Ooka Pang V., Fernekes W. F. &amp; Nelson J. L.,</w:t>
      </w:r>
      <w:r w:rsidRPr="004551E9">
        <w:rPr>
          <w:lang w:val="en-US"/>
        </w:rPr>
        <w:t xml:space="preserve"> (</w:t>
      </w:r>
      <w:proofErr w:type="spellStart"/>
      <w:r w:rsidRPr="004551E9">
        <w:rPr>
          <w:lang w:val="en-US"/>
        </w:rPr>
        <w:t>eds</w:t>
      </w:r>
      <w:proofErr w:type="spellEnd"/>
      <w:r w:rsidRPr="004551E9">
        <w:rPr>
          <w:lang w:val="en-US"/>
        </w:rPr>
        <w:t>)</w:t>
      </w:r>
      <w:proofErr w:type="gramStart"/>
      <w:r w:rsidRPr="004551E9">
        <w:rPr>
          <w:lang w:val="en-US"/>
        </w:rPr>
        <w:t>,,</w:t>
      </w:r>
      <w:proofErr w:type="gramEnd"/>
      <w:r w:rsidRPr="004551E9">
        <w:rPr>
          <w:lang w:val="en-US"/>
        </w:rPr>
        <w:t xml:space="preserve"> National Council for the Social Studies</w:t>
      </w:r>
    </w:p>
    <w:p w:rsidR="003B6E85" w:rsidRPr="004551E9" w:rsidRDefault="003B6E85" w:rsidP="004551E9">
      <w:pPr>
        <w:pStyle w:val="Prrafodelista"/>
        <w:rPr>
          <w:lang w:val="en-US"/>
        </w:rPr>
      </w:pPr>
      <w:r w:rsidRPr="004551E9">
        <w:rPr>
          <w:caps/>
          <w:lang w:val="en-US"/>
        </w:rPr>
        <w:t>Lord, J. E.,</w:t>
      </w:r>
      <w:r w:rsidRPr="004551E9">
        <w:rPr>
          <w:lang w:val="en-US"/>
        </w:rPr>
        <w:t xml:space="preserve"> (2011) “Shared Understanding or Consensus-Masked Disagreement? The Anti-Torture Framework in the Convention on the Rights of Persons with Disabilities,” </w:t>
      </w:r>
      <w:r w:rsidRPr="004551E9">
        <w:rPr>
          <w:i/>
          <w:lang w:val="en-US"/>
        </w:rPr>
        <w:t>Loyola Journal of International &amp; Comparative Law</w:t>
      </w:r>
      <w:r w:rsidRPr="004551E9">
        <w:rPr>
          <w:lang w:val="en-US"/>
        </w:rPr>
        <w:t xml:space="preserve"> Vol. 11</w:t>
      </w:r>
    </w:p>
    <w:p w:rsidR="003B6E85" w:rsidRPr="004551E9" w:rsidRDefault="003B6E85" w:rsidP="004551E9">
      <w:pPr>
        <w:pStyle w:val="Prrafodelista"/>
        <w:rPr>
          <w:lang w:val="en-US"/>
        </w:rPr>
      </w:pPr>
      <w:r w:rsidRPr="004551E9">
        <w:rPr>
          <w:caps/>
          <w:lang w:val="en-US"/>
        </w:rPr>
        <w:t>Lutz E., (1997-1998)</w:t>
      </w:r>
      <w:r w:rsidRPr="004551E9">
        <w:rPr>
          <w:lang w:val="en-US"/>
        </w:rPr>
        <w:t xml:space="preserve"> “International Obligations to Respect and Ensure Human Rights”, </w:t>
      </w:r>
      <w:r w:rsidRPr="004551E9">
        <w:rPr>
          <w:i/>
          <w:lang w:val="en-US"/>
        </w:rPr>
        <w:t>Whittier Law Review</w:t>
      </w:r>
      <w:r w:rsidRPr="004551E9">
        <w:rPr>
          <w:lang w:val="en-US"/>
        </w:rPr>
        <w:t xml:space="preserve"> Vol. 19.</w:t>
      </w:r>
    </w:p>
    <w:p w:rsidR="003B6E85" w:rsidRPr="00916035" w:rsidRDefault="003B6E85" w:rsidP="004551E9">
      <w:pPr>
        <w:pStyle w:val="Prrafodelista"/>
      </w:pPr>
      <w:r w:rsidRPr="00916035">
        <w:t>MARIN CALERO, C., (2012) “Los apoyos a la capacidad jurídica de obrar de las personas con discapacidad”, en</w:t>
      </w:r>
      <w:r>
        <w:t xml:space="preserve"> </w:t>
      </w:r>
      <w:r w:rsidRPr="002440CA">
        <w:t xml:space="preserve">Capacidad Jurídica, Discapacidad y Derechos Humanos: una revisión desde la Convención Internacional sobre los Derechos de las Personas con Discapacidad, </w:t>
      </w:r>
      <w:r w:rsidRPr="002440CA">
        <w:rPr>
          <w:caps/>
        </w:rPr>
        <w:t>Bariffi, F. &amp; Palacios A., (Coord),</w:t>
      </w:r>
      <w:r w:rsidRPr="002440CA">
        <w:t xml:space="preserve"> Ediar, Buenos Aires</w:t>
      </w:r>
      <w:r>
        <w:t>.</w:t>
      </w:r>
    </w:p>
    <w:p w:rsidR="003B6E85" w:rsidRPr="00916035" w:rsidRDefault="003B6E85" w:rsidP="004551E9">
      <w:pPr>
        <w:pStyle w:val="Prrafodelista"/>
      </w:pPr>
      <w:r w:rsidRPr="00916035">
        <w:rPr>
          <w:caps/>
        </w:rPr>
        <w:t>Mariño Menéndez F. (</w:t>
      </w:r>
      <w:r w:rsidRPr="00916035">
        <w:t xml:space="preserve">1995), “Derechos de la persona humana y distinción ente nacionales y extranjeros”, en </w:t>
      </w:r>
      <w:r w:rsidRPr="00916035">
        <w:rPr>
          <w:i/>
        </w:rPr>
        <w:t>Derecho de Extranjería, asilo y refugio</w:t>
      </w:r>
      <w:r w:rsidRPr="00916035">
        <w:t xml:space="preserve">, </w:t>
      </w:r>
      <w:r w:rsidRPr="00916035">
        <w:rPr>
          <w:caps/>
        </w:rPr>
        <w:t>Mariño</w:t>
      </w:r>
      <w:r w:rsidRPr="00916035">
        <w:t xml:space="preserve"> et. al., Instituto Nacional de Servicios Sociales (INSERSO), Madrid</w:t>
      </w:r>
    </w:p>
    <w:p w:rsidR="003B6E85" w:rsidRPr="00916035" w:rsidRDefault="003B6E85" w:rsidP="004551E9">
      <w:pPr>
        <w:pStyle w:val="Prrafodelista"/>
      </w:pPr>
      <w:r w:rsidRPr="00916035">
        <w:t xml:space="preserve">MARIÑO MENENDEZ, F., (1998) “Avances jurídicos en la protección de los derechos económicos, sociales y culturales dentro del marco de Naciones Unidas”, en </w:t>
      </w:r>
      <w:r w:rsidRPr="00916035">
        <w:rPr>
          <w:i/>
        </w:rPr>
        <w:t xml:space="preserve">Derechos y Libertades, </w:t>
      </w:r>
      <w:r w:rsidRPr="00916035">
        <w:t>nº 6, Febrero</w:t>
      </w:r>
    </w:p>
    <w:p w:rsidR="003B6E85" w:rsidRPr="004551E9" w:rsidRDefault="003B6E85" w:rsidP="004551E9">
      <w:pPr>
        <w:pStyle w:val="Prrafodelista"/>
        <w:rPr>
          <w:lang w:val="en-US"/>
        </w:rPr>
      </w:pPr>
      <w:r w:rsidRPr="00916035">
        <w:t xml:space="preserve">MARIÑO MENÉNDEZ, F., (1999), “Situaciones jurídicas subjetivas constitucionales en el Derecho Internacional”, en </w:t>
      </w:r>
      <w:r w:rsidRPr="00916035">
        <w:rPr>
          <w:i/>
        </w:rPr>
        <w:t xml:space="preserve">Cursos </w:t>
      </w:r>
      <w:proofErr w:type="spellStart"/>
      <w:r w:rsidRPr="00916035">
        <w:rPr>
          <w:i/>
        </w:rPr>
        <w:t>Euromediterráneos</w:t>
      </w:r>
      <w:proofErr w:type="spellEnd"/>
      <w:r w:rsidRPr="00916035">
        <w:rPr>
          <w:i/>
        </w:rPr>
        <w:t xml:space="preserve"> </w:t>
      </w:r>
      <w:proofErr w:type="spellStart"/>
      <w:r w:rsidRPr="00916035">
        <w:rPr>
          <w:i/>
        </w:rPr>
        <w:t>Bancaja</w:t>
      </w:r>
      <w:proofErr w:type="spellEnd"/>
      <w:r w:rsidRPr="00916035">
        <w:rPr>
          <w:i/>
        </w:rPr>
        <w:t xml:space="preserve"> de Derecho Internacional</w:t>
      </w:r>
      <w:r w:rsidRPr="00916035">
        <w:t xml:space="preserve">, Vol. </w:t>
      </w:r>
      <w:r w:rsidRPr="004551E9">
        <w:rPr>
          <w:lang w:val="en-US"/>
        </w:rPr>
        <w:t>III</w:t>
      </w:r>
    </w:p>
    <w:p w:rsidR="003B6E85" w:rsidRPr="004551E9" w:rsidRDefault="003B6E85" w:rsidP="004551E9">
      <w:pPr>
        <w:pStyle w:val="Prrafodelista"/>
        <w:rPr>
          <w:lang w:val="en-US"/>
        </w:rPr>
      </w:pPr>
      <w:r w:rsidRPr="004551E9">
        <w:rPr>
          <w:lang w:val="en-US"/>
        </w:rPr>
        <w:lastRenderedPageBreak/>
        <w:t xml:space="preserve">MARIÑO MENÉNDEZ, F., (2009), “The Convention Against Torture and its Optional Protocol”, en </w:t>
      </w:r>
      <w:r w:rsidRPr="004551E9">
        <w:rPr>
          <w:i/>
          <w:lang w:val="en-US"/>
        </w:rPr>
        <w:t>International Human Rights Law in a Global Context</w:t>
      </w:r>
      <w:r w:rsidRPr="004551E9">
        <w:rPr>
          <w:lang w:val="en-US"/>
        </w:rPr>
        <w:t xml:space="preserve">, GOMEZ ISA, F. &amp; FEYTER K., (Eds.), University of </w:t>
      </w:r>
      <w:proofErr w:type="spellStart"/>
      <w:r w:rsidRPr="004551E9">
        <w:rPr>
          <w:lang w:val="en-US"/>
        </w:rPr>
        <w:t>Deusto</w:t>
      </w:r>
      <w:proofErr w:type="spellEnd"/>
      <w:r w:rsidRPr="004551E9">
        <w:rPr>
          <w:lang w:val="en-US"/>
        </w:rPr>
        <w:t>, Bilbao</w:t>
      </w:r>
    </w:p>
    <w:p w:rsidR="003B6E85" w:rsidRPr="004551E9" w:rsidRDefault="003B6E85" w:rsidP="004551E9">
      <w:pPr>
        <w:pStyle w:val="Prrafodelista"/>
        <w:rPr>
          <w:lang w:val="en-US"/>
        </w:rPr>
      </w:pPr>
      <w:r w:rsidRPr="004551E9">
        <w:rPr>
          <w:caps/>
          <w:lang w:val="en-US"/>
        </w:rPr>
        <w:t>McKay D</w:t>
      </w:r>
      <w:r w:rsidRPr="004551E9">
        <w:rPr>
          <w:lang w:val="en-US"/>
        </w:rPr>
        <w:t xml:space="preserve">, (2006-2007) “The United Nations Convention of the Rights of Persons with Disabilities”, </w:t>
      </w:r>
      <w:r w:rsidRPr="004551E9">
        <w:rPr>
          <w:i/>
          <w:lang w:val="en-US"/>
        </w:rPr>
        <w:t>Syracuse Journal of International Law and Commerce</w:t>
      </w:r>
      <w:r w:rsidRPr="004551E9">
        <w:rPr>
          <w:lang w:val="en-US"/>
        </w:rPr>
        <w:t>, vol., 34.</w:t>
      </w:r>
    </w:p>
    <w:p w:rsidR="003B6E85" w:rsidRPr="004551E9" w:rsidRDefault="003B6E85" w:rsidP="004551E9">
      <w:pPr>
        <w:pStyle w:val="Prrafodelista"/>
        <w:rPr>
          <w:lang w:val="en-US"/>
        </w:rPr>
      </w:pPr>
      <w:r w:rsidRPr="004551E9">
        <w:rPr>
          <w:lang w:val="en-US"/>
        </w:rPr>
        <w:t xml:space="preserve">MÉGRET, F., (2008), “The Disabilities Convention: Human Rights of Persons with Disabilities or Disability Rights?” </w:t>
      </w:r>
      <w:r w:rsidRPr="004551E9">
        <w:rPr>
          <w:i/>
          <w:lang w:val="en-US"/>
        </w:rPr>
        <w:t>Human Rights Quarterly</w:t>
      </w:r>
      <w:r w:rsidRPr="004551E9">
        <w:rPr>
          <w:lang w:val="en-US"/>
        </w:rPr>
        <w:t>, Vol. 30</w:t>
      </w:r>
    </w:p>
    <w:p w:rsidR="003B6E85" w:rsidRPr="004551E9" w:rsidRDefault="003B6E85" w:rsidP="004551E9">
      <w:pPr>
        <w:pStyle w:val="Prrafodelista"/>
        <w:rPr>
          <w:lang w:val="en-US"/>
        </w:rPr>
      </w:pPr>
      <w:r w:rsidRPr="004551E9">
        <w:rPr>
          <w:lang w:val="en-US"/>
        </w:rPr>
        <w:t xml:space="preserve">MICHAILAKIS, D., (1999), “The Standard Rules: a Weak Instrument a Strong Commitment”, en </w:t>
      </w:r>
      <w:r w:rsidRPr="004551E9">
        <w:rPr>
          <w:i/>
          <w:lang w:val="en-US"/>
        </w:rPr>
        <w:t>Disability, divers-ability, and legal change</w:t>
      </w:r>
      <w:r w:rsidRPr="004551E9">
        <w:rPr>
          <w:lang w:val="en-US"/>
        </w:rPr>
        <w:t xml:space="preserve">, </w:t>
      </w:r>
      <w:r w:rsidRPr="004551E9">
        <w:rPr>
          <w:caps/>
          <w:lang w:val="en-US"/>
        </w:rPr>
        <w:t>Jones &amp; Basser Marks</w:t>
      </w:r>
      <w:r w:rsidRPr="004551E9">
        <w:rPr>
          <w:lang w:val="en-US"/>
        </w:rPr>
        <w:t xml:space="preserve"> (editors), </w:t>
      </w:r>
      <w:proofErr w:type="spellStart"/>
      <w:r w:rsidRPr="004551E9">
        <w:rPr>
          <w:lang w:val="en-US"/>
        </w:rPr>
        <w:t>Kluwer</w:t>
      </w:r>
      <w:proofErr w:type="spellEnd"/>
      <w:r w:rsidRPr="004551E9">
        <w:rPr>
          <w:lang w:val="en-US"/>
        </w:rPr>
        <w:t xml:space="preserve"> Law International</w:t>
      </w:r>
    </w:p>
    <w:p w:rsidR="003B6E85" w:rsidRPr="004551E9" w:rsidRDefault="003B6E85" w:rsidP="004551E9">
      <w:pPr>
        <w:pStyle w:val="Prrafodelista"/>
        <w:rPr>
          <w:lang w:val="en-US"/>
        </w:rPr>
      </w:pPr>
      <w:r w:rsidRPr="004551E9">
        <w:rPr>
          <w:lang w:val="en-US"/>
        </w:rPr>
        <w:t xml:space="preserve">MINKOWITZ T, (2006-2007) “The United Nations Convention on the Rights of Persons with Disabilities and the Right to be Free from Nonconsensual Psychiatric Interventions”, </w:t>
      </w:r>
      <w:r w:rsidRPr="004551E9">
        <w:rPr>
          <w:i/>
          <w:lang w:val="en-US"/>
        </w:rPr>
        <w:t>Syracuse Journal of International Law and Commerce</w:t>
      </w:r>
      <w:r w:rsidRPr="004551E9">
        <w:rPr>
          <w:lang w:val="en-US"/>
        </w:rPr>
        <w:t>, vol., 34</w:t>
      </w:r>
    </w:p>
    <w:p w:rsidR="003B6E85" w:rsidRPr="004551E9" w:rsidRDefault="003B6E85" w:rsidP="004551E9">
      <w:pPr>
        <w:pStyle w:val="Prrafodelista"/>
        <w:rPr>
          <w:lang w:val="en-US"/>
        </w:rPr>
      </w:pPr>
      <w:r w:rsidRPr="004551E9">
        <w:rPr>
          <w:caps/>
          <w:lang w:val="en-US"/>
        </w:rPr>
        <w:t>Minkowitz, T.,</w:t>
      </w:r>
      <w:r w:rsidRPr="004551E9">
        <w:rPr>
          <w:lang w:val="en-US"/>
        </w:rPr>
        <w:t xml:space="preserve"> (2011) Why Mental Health Laws Contravene the CRPD – An Application of Article 14 with Implications for the Obligations of States Parties (September 16, 2011)</w:t>
      </w:r>
    </w:p>
    <w:p w:rsidR="002C1D94" w:rsidRDefault="003B6E85" w:rsidP="002C1D94">
      <w:pPr>
        <w:pStyle w:val="Prrafodelista"/>
      </w:pPr>
      <w:r w:rsidRPr="00916035">
        <w:t>MINKOWITZ, T., (2012), “No discriminación, capacidad jurídica y derecho a no ser sometido a tratamiento médico obligatorio”, en</w:t>
      </w:r>
      <w:r>
        <w:t xml:space="preserve"> </w:t>
      </w:r>
      <w:r w:rsidRPr="002440CA">
        <w:rPr>
          <w:i/>
        </w:rPr>
        <w:t>Capacidad Jurídica, Discapacidad y Derechos Humanos: una revisión desde la Convención Internacional sobre los Derechos de las Personas con Discapacidad</w:t>
      </w:r>
      <w:r w:rsidRPr="002440CA">
        <w:t xml:space="preserve">, </w:t>
      </w:r>
      <w:r w:rsidRPr="002440CA">
        <w:rPr>
          <w:caps/>
        </w:rPr>
        <w:t>Bariffi, F. &amp; Palacios A., (Coord),</w:t>
      </w:r>
      <w:r w:rsidRPr="002440CA">
        <w:t xml:space="preserve"> Ediar, Buenos Aires</w:t>
      </w:r>
      <w:r>
        <w:t>.</w:t>
      </w:r>
    </w:p>
    <w:p w:rsidR="003B6E85" w:rsidRPr="002C1D94" w:rsidRDefault="003B6E85" w:rsidP="002C1D94">
      <w:pPr>
        <w:pStyle w:val="Prrafodelista"/>
        <w:rPr>
          <w:lang w:val="en-US"/>
        </w:rPr>
      </w:pPr>
      <w:r w:rsidRPr="004551E9">
        <w:rPr>
          <w:noProof/>
          <w:lang w:val="en-US"/>
        </w:rPr>
        <w:t>MOLONEY, R., (2004), “Incompatible reservations to human rights treaties: severability and the problem of state consent”, Melbourne Journal of International Law, Vol. 5.</w:t>
      </w:r>
    </w:p>
    <w:p w:rsidR="002C1D94" w:rsidRDefault="003B6E85" w:rsidP="002C1D94">
      <w:pPr>
        <w:pStyle w:val="Prrafodelista"/>
        <w:rPr>
          <w:lang w:val="en-US"/>
        </w:rPr>
      </w:pPr>
      <w:r w:rsidRPr="004551E9">
        <w:rPr>
          <w:caps/>
          <w:lang w:val="en-US"/>
        </w:rPr>
        <w:lastRenderedPageBreak/>
        <w:t>O’Mahony, C., (2012)</w:t>
      </w:r>
      <w:r w:rsidRPr="004551E9">
        <w:rPr>
          <w:lang w:val="en-US"/>
        </w:rPr>
        <w:t xml:space="preserve"> “The United Nations Convention on the Rights of Persons with Disabilities and the Abolition of the Insanity </w:t>
      </w:r>
      <w:proofErr w:type="spellStart"/>
      <w:r w:rsidRPr="004551E9">
        <w:rPr>
          <w:lang w:val="en-US"/>
        </w:rPr>
        <w:t>Defence</w:t>
      </w:r>
      <w:proofErr w:type="spellEnd"/>
      <w:r w:rsidRPr="004551E9">
        <w:rPr>
          <w:lang w:val="en-US"/>
        </w:rPr>
        <w:t>”, Berkley</w:t>
      </w:r>
    </w:p>
    <w:p w:rsidR="003B6E85" w:rsidRPr="002C1D94" w:rsidRDefault="003B6E85" w:rsidP="002C1D94">
      <w:pPr>
        <w:pStyle w:val="Prrafodelista"/>
        <w:rPr>
          <w:lang w:val="es-ES"/>
        </w:rPr>
      </w:pPr>
      <w:r w:rsidRPr="002440CA">
        <w:rPr>
          <w:noProof/>
        </w:rPr>
        <w:t xml:space="preserve">OLIVER, M., (1998), “Una sociología de la discapacidad o una sociología discapacitada?”, en BARTON, L. (comp.), </w:t>
      </w:r>
      <w:r w:rsidRPr="002440CA">
        <w:rPr>
          <w:i/>
          <w:noProof/>
        </w:rPr>
        <w:t>Discapacidad y Sociedad</w:t>
      </w:r>
      <w:r w:rsidRPr="002440CA">
        <w:rPr>
          <w:noProof/>
        </w:rPr>
        <w:t xml:space="preserve">, Morata S.L., Madrid. </w:t>
      </w:r>
    </w:p>
    <w:p w:rsidR="003B6E85" w:rsidRPr="004551E9" w:rsidRDefault="003B6E85" w:rsidP="004551E9">
      <w:pPr>
        <w:pStyle w:val="Prrafodelista"/>
        <w:rPr>
          <w:lang w:val="en-US"/>
        </w:rPr>
      </w:pPr>
      <w:r w:rsidRPr="004551E9">
        <w:rPr>
          <w:lang w:val="en-US"/>
        </w:rPr>
        <w:t xml:space="preserve">ORTOLEVA, S., (2011) “Inaccessible justice: Human Rights, Persons with disabilities and the legal system”, </w:t>
      </w:r>
      <w:r w:rsidRPr="004551E9">
        <w:rPr>
          <w:i/>
          <w:lang w:val="en-US"/>
        </w:rPr>
        <w:t>ILSA Journal of International &amp; Comparative Law</w:t>
      </w:r>
      <w:r w:rsidRPr="004551E9">
        <w:rPr>
          <w:lang w:val="en-US"/>
        </w:rPr>
        <w:t xml:space="preserve"> Vol. 17(2)</w:t>
      </w:r>
    </w:p>
    <w:p w:rsidR="003B6E85" w:rsidRPr="004551E9" w:rsidRDefault="003B6E85" w:rsidP="004551E9">
      <w:pPr>
        <w:pStyle w:val="Prrafodelista"/>
        <w:rPr>
          <w:lang w:val="en-US"/>
        </w:rPr>
      </w:pPr>
      <w:r w:rsidRPr="004551E9">
        <w:rPr>
          <w:caps/>
          <w:lang w:val="en-US"/>
        </w:rPr>
        <w:t>Palacios A, &amp; Walls M</w:t>
      </w:r>
      <w:r w:rsidRPr="004551E9">
        <w:rPr>
          <w:lang w:val="en-US"/>
        </w:rPr>
        <w:t xml:space="preserve">, (2007) “Changing the Paradigm – the Potential impact of the United Nations Convention on the Rights of Persons with Disabilities”, </w:t>
      </w:r>
      <w:r w:rsidRPr="004551E9">
        <w:rPr>
          <w:i/>
          <w:lang w:val="en-US"/>
        </w:rPr>
        <w:t xml:space="preserve">Irish Yearbook of International Law </w:t>
      </w:r>
      <w:r w:rsidRPr="004551E9">
        <w:rPr>
          <w:lang w:val="en-US"/>
        </w:rPr>
        <w:t>Vol. 1</w:t>
      </w:r>
    </w:p>
    <w:p w:rsidR="003B6E85" w:rsidRPr="00916035" w:rsidRDefault="003B6E85" w:rsidP="004551E9">
      <w:pPr>
        <w:pStyle w:val="Prrafodelista"/>
      </w:pPr>
      <w:r w:rsidRPr="00916035">
        <w:t xml:space="preserve">PALACIOS A, (2003), “Algunas notas sobre la implementación de medidas de acción positiva a favor de personas con discapacidad. Su tratamiento constitucional”, en </w:t>
      </w:r>
      <w:r w:rsidRPr="00916035">
        <w:rPr>
          <w:i/>
        </w:rPr>
        <w:t>Las múltiples dimensiones de la discapacidad. Estudios en homenaje a Manuel Ruiz Ortega</w:t>
      </w:r>
      <w:r w:rsidRPr="00916035">
        <w:t xml:space="preserve">, </w:t>
      </w:r>
      <w:r w:rsidRPr="00916035">
        <w:rPr>
          <w:caps/>
        </w:rPr>
        <w:t>González</w:t>
      </w:r>
      <w:r w:rsidRPr="00916035">
        <w:t xml:space="preserve"> </w:t>
      </w:r>
      <w:r w:rsidRPr="00916035">
        <w:rPr>
          <w:caps/>
        </w:rPr>
        <w:t>Millán, R &amp; Pérez Bueno, L</w:t>
      </w:r>
      <w:r w:rsidRPr="00916035">
        <w:t>. (Coord.), Escuela Libre Editorial, Fundación ONCE, Madrid.</w:t>
      </w:r>
    </w:p>
    <w:p w:rsidR="003B6E85" w:rsidRPr="00916035" w:rsidRDefault="003B6E85" w:rsidP="004551E9">
      <w:pPr>
        <w:pStyle w:val="Prrafodelista"/>
      </w:pPr>
      <w:r w:rsidRPr="00916035">
        <w:t xml:space="preserve">PALACIOS A, (2004) “El derecho a la igualdad de las personas con discapacidad y la obligación de realizar ajustes razonables”, en </w:t>
      </w:r>
      <w:r w:rsidRPr="00916035">
        <w:rPr>
          <w:i/>
        </w:rPr>
        <w:t>Los derechos de las personas con discapacidad: Perspectivas sociales, jurídicas y filosóficas</w:t>
      </w:r>
      <w:r w:rsidRPr="00916035">
        <w:t xml:space="preserve">, </w:t>
      </w:r>
      <w:r w:rsidRPr="00916035">
        <w:rPr>
          <w:caps/>
        </w:rPr>
        <w:t>Campoy Cervera</w:t>
      </w:r>
      <w:r w:rsidRPr="00916035">
        <w:t>, I. (Coord.), Dykinson, Madrid</w:t>
      </w:r>
    </w:p>
    <w:p w:rsidR="003B6E85" w:rsidRPr="00916035" w:rsidRDefault="003B6E85" w:rsidP="004551E9">
      <w:pPr>
        <w:pStyle w:val="Prrafodelista"/>
      </w:pPr>
      <w:r w:rsidRPr="00916035">
        <w:t>PALACIOS, A., (2007) “¿Modelo rehabilitador o modelo social?: la persona con discapacidad en el Derecho español” en  CAMPOY CERVERA, I. y PALACIOS, A., (</w:t>
      </w:r>
      <w:proofErr w:type="spellStart"/>
      <w:r w:rsidRPr="00916035">
        <w:t>coords</w:t>
      </w:r>
      <w:proofErr w:type="spellEnd"/>
      <w:r w:rsidRPr="00916035">
        <w:t xml:space="preserve">.), </w:t>
      </w:r>
      <w:r w:rsidRPr="00916035">
        <w:rPr>
          <w:i/>
        </w:rPr>
        <w:t>Igualdad No Discriminación y Discapacidad. Una visión integradora de las realidades española y argentina</w:t>
      </w:r>
      <w:r w:rsidRPr="00916035">
        <w:t>,  Dykinson, Madrid</w:t>
      </w:r>
    </w:p>
    <w:p w:rsidR="003B6E85" w:rsidRPr="00916035" w:rsidRDefault="003B6E85" w:rsidP="004551E9">
      <w:pPr>
        <w:pStyle w:val="Prrafodelista"/>
      </w:pPr>
      <w:r w:rsidRPr="00916035">
        <w:t xml:space="preserve">PALACIOS, A., (2010a), “¿Por qué el aborto eugenésico basado en discapacidad es contrario a la Convención Internacional sobre los </w:t>
      </w:r>
      <w:r w:rsidRPr="00916035">
        <w:lastRenderedPageBreak/>
        <w:t xml:space="preserve">Derechos de las Personas con Discapacidad?, </w:t>
      </w:r>
      <w:r w:rsidRPr="00916035">
        <w:rPr>
          <w:i/>
        </w:rPr>
        <w:t>Revista Síndrome de Down: Revista española de investigación e información sobre el Síndrome de Down</w:t>
      </w:r>
      <w:r w:rsidRPr="00916035">
        <w:t>, Nº 105</w:t>
      </w:r>
    </w:p>
    <w:p w:rsidR="003B6E85" w:rsidRPr="00916035" w:rsidRDefault="003B6E85" w:rsidP="004551E9">
      <w:pPr>
        <w:pStyle w:val="Prrafodelista"/>
      </w:pPr>
      <w:r w:rsidRPr="00916035">
        <w:t xml:space="preserve">PALACIOS, A., (2010b). Seminario “Capacidad jurídica, Discapacidad y Derechos Humanos” celebrado en la Universidad Carlos III de Madrid del 15 al 18 de febrero de 2010 en: </w:t>
      </w:r>
      <w:hyperlink r:id="rId10" w:history="1">
        <w:r w:rsidRPr="00916035">
          <w:rPr>
            <w:rStyle w:val="Hipervnculo"/>
            <w:sz w:val="20"/>
            <w:szCs w:val="20"/>
            <w:lang w:val="es-ES"/>
          </w:rPr>
          <w:t>http://www.tiempodelosderechos.es</w:t>
        </w:r>
      </w:hyperlink>
    </w:p>
    <w:p w:rsidR="003B6E85" w:rsidRPr="00916035" w:rsidRDefault="003B6E85" w:rsidP="004551E9">
      <w:pPr>
        <w:pStyle w:val="Prrafodelista"/>
      </w:pPr>
      <w:r w:rsidRPr="00916035">
        <w:t xml:space="preserve">PALACIOS, A., (2012), “Reinterpretando la capacidad jurídica desde los derechos humanos: una nueva mirada desde la Convención Internacional sobre los Derechos de las Personas con Discapacidad”, en </w:t>
      </w:r>
      <w:r w:rsidRPr="002440CA">
        <w:rPr>
          <w:i/>
        </w:rPr>
        <w:t>Capacidad Jurídica, Discapacidad y Derechos Humanos: una revisión desde la Convención Internacional sobre los Derechos de las Personas con Discapacidad</w:t>
      </w:r>
      <w:r w:rsidRPr="002440CA">
        <w:t xml:space="preserve">, </w:t>
      </w:r>
      <w:r w:rsidRPr="002440CA">
        <w:rPr>
          <w:caps/>
        </w:rPr>
        <w:t>Bariffi, F. &amp; Palacios A., (Coord),</w:t>
      </w:r>
      <w:r w:rsidRPr="002440CA">
        <w:t xml:space="preserve"> Ediar, Buenos Aires</w:t>
      </w:r>
      <w:r>
        <w:t>.</w:t>
      </w:r>
    </w:p>
    <w:p w:rsidR="003B6E85" w:rsidRPr="00916035" w:rsidRDefault="003B6E85" w:rsidP="004551E9">
      <w:pPr>
        <w:pStyle w:val="Prrafodelista"/>
      </w:pPr>
      <w:r w:rsidRPr="00916035">
        <w:t xml:space="preserve">PELÁEZ NARVÁEZ, A. (2012a) “La no discriminación de mujeres y niñas con discapacidad en la Convención Internacional de Derechos de Personas con Discapacidad” en </w:t>
      </w:r>
      <w:r w:rsidRPr="00916035">
        <w:rPr>
          <w:i/>
        </w:rPr>
        <w:t>2003-2012: 10 años de legislación sobre no discriminación de personas con discapacidad en España. Estudios en homenaje a Miguel Ángel Cabra de Luna</w:t>
      </w:r>
      <w:r w:rsidRPr="00916035">
        <w:t xml:space="preserve">, </w:t>
      </w:r>
      <w:r w:rsidRPr="00916035">
        <w:rPr>
          <w:caps/>
        </w:rPr>
        <w:t>Pérez Bueno, L. C.,</w:t>
      </w:r>
      <w:r w:rsidRPr="00916035">
        <w:t xml:space="preserve"> (Dir.) CERMI, Fundación Derecho y Discapacidad, Madrid, 2012</w:t>
      </w:r>
    </w:p>
    <w:p w:rsidR="003B6E85" w:rsidRPr="00916035" w:rsidRDefault="003B6E85" w:rsidP="004551E9">
      <w:pPr>
        <w:pStyle w:val="Prrafodelista"/>
      </w:pPr>
      <w:r w:rsidRPr="00916035">
        <w:t xml:space="preserve">PELAEZ NARVAEZ, A., (2012b) “Derechos sexuales y reproductivos”, en CERMI </w:t>
      </w:r>
      <w:r w:rsidRPr="00C92D44">
        <w:rPr>
          <w:i/>
        </w:rPr>
        <w:t>La transversalidad de género en las políticas públicas de discapacidad</w:t>
      </w:r>
      <w:r w:rsidRPr="00C92D44">
        <w:t xml:space="preserve">. </w:t>
      </w:r>
      <w:r w:rsidRPr="001704A8">
        <w:t>Manual Volumen I, Ediciones Cinca, Madrid</w:t>
      </w:r>
      <w:r>
        <w:t>.</w:t>
      </w:r>
    </w:p>
    <w:p w:rsidR="003B6E85" w:rsidRPr="00916035" w:rsidRDefault="003B6E85" w:rsidP="004551E9">
      <w:pPr>
        <w:pStyle w:val="Prrafodelista"/>
      </w:pPr>
      <w:r w:rsidRPr="00916035">
        <w:rPr>
          <w:caps/>
        </w:rPr>
        <w:t>Pérez de la Fuente, O.,</w:t>
      </w:r>
      <w:r w:rsidRPr="00916035">
        <w:t xml:space="preserve"> (2010) “Discapacidad e inmigración. Análisis de una minoría de doble vulnerabilidad”, en </w:t>
      </w:r>
      <w:r w:rsidRPr="00916035">
        <w:rPr>
          <w:caps/>
        </w:rPr>
        <w:t>Cuenca Gómez, P.,</w:t>
      </w:r>
      <w:r w:rsidRPr="00916035">
        <w:t xml:space="preserve"> (ed.), </w:t>
      </w:r>
      <w:r w:rsidRPr="00916035">
        <w:rPr>
          <w:i/>
        </w:rPr>
        <w:t>Estudios sobre el impacto de la Convención Internacional sobre los Derechos de las Personas con discapacidad en el Ordenamiento jurídico español</w:t>
      </w:r>
      <w:r w:rsidRPr="00916035">
        <w:t>, Dykinson, Madrid.</w:t>
      </w:r>
    </w:p>
    <w:p w:rsidR="003B6E85" w:rsidRPr="002440CA" w:rsidRDefault="003B6E85" w:rsidP="004551E9">
      <w:pPr>
        <w:pStyle w:val="Prrafodelista"/>
      </w:pPr>
      <w:r w:rsidRPr="00916035">
        <w:rPr>
          <w:caps/>
        </w:rPr>
        <w:lastRenderedPageBreak/>
        <w:t>Pérez González, M.,</w:t>
      </w:r>
      <w:r w:rsidRPr="00916035">
        <w:t xml:space="preserve"> (2005) “La Subjetividad Internacional (II): Las Personalidad Internacional de Otros Sujetos”, en </w:t>
      </w:r>
      <w:r w:rsidRPr="00916035">
        <w:rPr>
          <w:i/>
        </w:rPr>
        <w:t>Instituciones de Derecho Internacional Público</w:t>
      </w:r>
      <w:r w:rsidRPr="00916035">
        <w:t xml:space="preserve">, Coord. </w:t>
      </w:r>
      <w:r w:rsidRPr="00C92D44">
        <w:rPr>
          <w:caps/>
        </w:rPr>
        <w:t>Diez de Velasco</w:t>
      </w:r>
      <w:r w:rsidRPr="002440CA">
        <w:t>, 15º ed., Tecnos, Madrid</w:t>
      </w:r>
    </w:p>
    <w:p w:rsidR="003B6E85" w:rsidRPr="004551E9" w:rsidRDefault="003B6E85" w:rsidP="004551E9">
      <w:pPr>
        <w:pStyle w:val="Prrafodelista"/>
        <w:rPr>
          <w:lang w:val="en-US"/>
        </w:rPr>
      </w:pPr>
      <w:r w:rsidRPr="00916035">
        <w:t xml:space="preserve">PINTO, M., (1997) “El principio </w:t>
      </w:r>
      <w:r w:rsidRPr="00916035">
        <w:rPr>
          <w:i/>
        </w:rPr>
        <w:t>pro homine</w:t>
      </w:r>
      <w:r w:rsidRPr="00916035">
        <w:t xml:space="preserve">. Criterios de hermenéutica y pautas para la regulación de los derechos humanos”, en </w:t>
      </w:r>
      <w:r w:rsidRPr="00916035">
        <w:rPr>
          <w:i/>
        </w:rPr>
        <w:t>La aplicación de los tratados sobre derechos humanos por los tribunales locales</w:t>
      </w:r>
      <w:r w:rsidRPr="00916035">
        <w:t xml:space="preserve">, </w:t>
      </w:r>
      <w:r w:rsidRPr="00916035">
        <w:rPr>
          <w:caps/>
        </w:rPr>
        <w:t>Abregú, M. &amp; Courtis, C</w:t>
      </w:r>
      <w:r w:rsidRPr="00916035">
        <w:t xml:space="preserve">. (Comp.) </w:t>
      </w:r>
      <w:r w:rsidRPr="004551E9">
        <w:rPr>
          <w:lang w:val="en-US"/>
        </w:rPr>
        <w:t xml:space="preserve">CELS, </w:t>
      </w:r>
      <w:proofErr w:type="spellStart"/>
      <w:r w:rsidRPr="004551E9">
        <w:rPr>
          <w:lang w:val="en-US"/>
        </w:rPr>
        <w:t>Editores</w:t>
      </w:r>
      <w:proofErr w:type="spellEnd"/>
      <w:r w:rsidRPr="004551E9">
        <w:rPr>
          <w:lang w:val="en-US"/>
        </w:rPr>
        <w:t xml:space="preserve"> </w:t>
      </w:r>
      <w:proofErr w:type="gramStart"/>
      <w:r w:rsidRPr="004551E9">
        <w:rPr>
          <w:lang w:val="en-US"/>
        </w:rPr>
        <w:t>del</w:t>
      </w:r>
      <w:proofErr w:type="gramEnd"/>
      <w:r w:rsidRPr="004551E9">
        <w:rPr>
          <w:lang w:val="en-US"/>
        </w:rPr>
        <w:t xml:space="preserve"> Puerto, Buenos Aires</w:t>
      </w:r>
    </w:p>
    <w:p w:rsidR="002C1D94" w:rsidRDefault="003B6E85" w:rsidP="002C1D94">
      <w:pPr>
        <w:pStyle w:val="Prrafodelista"/>
        <w:rPr>
          <w:lang w:val="en-US"/>
        </w:rPr>
      </w:pPr>
      <w:r w:rsidRPr="004551E9">
        <w:rPr>
          <w:lang w:val="en-US"/>
        </w:rPr>
        <w:t xml:space="preserve">QUINN G. (1995), “The International Covenant on Civil and Political Rights and Disability: A conceptual Framework” ”, en </w:t>
      </w:r>
      <w:r w:rsidRPr="004551E9">
        <w:rPr>
          <w:i/>
          <w:lang w:val="en-US"/>
        </w:rPr>
        <w:t>Human Rights and Disabled Persons</w:t>
      </w:r>
      <w:r w:rsidRPr="004551E9">
        <w:rPr>
          <w:lang w:val="en-US"/>
        </w:rPr>
        <w:t xml:space="preserve">, </w:t>
      </w:r>
      <w:r w:rsidRPr="004551E9">
        <w:rPr>
          <w:caps/>
          <w:lang w:val="en-US"/>
        </w:rPr>
        <w:t>Degener &amp; Koster-Dreese</w:t>
      </w:r>
      <w:r w:rsidRPr="004551E9">
        <w:rPr>
          <w:lang w:val="en-US"/>
        </w:rPr>
        <w:t xml:space="preserve">, eds., Dordrecht </w:t>
      </w:r>
      <w:proofErr w:type="spellStart"/>
      <w:r w:rsidRPr="004551E9">
        <w:rPr>
          <w:lang w:val="en-US"/>
        </w:rPr>
        <w:t>Kluwer</w:t>
      </w:r>
      <w:proofErr w:type="spellEnd"/>
      <w:r w:rsidRPr="004551E9">
        <w:rPr>
          <w:lang w:val="en-US"/>
        </w:rPr>
        <w:t xml:space="preserve"> Academic Publishers Group.</w:t>
      </w:r>
    </w:p>
    <w:p w:rsidR="003B6E85" w:rsidRPr="002440CA" w:rsidRDefault="003B6E85" w:rsidP="002C1D94">
      <w:pPr>
        <w:pStyle w:val="Prrafodelista"/>
        <w:rPr>
          <w:lang w:val="en-US"/>
        </w:rPr>
      </w:pPr>
      <w:r w:rsidRPr="004551E9">
        <w:rPr>
          <w:lang w:val="en-US"/>
        </w:rPr>
        <w:t>QUINN, G., (2005) “</w:t>
      </w:r>
      <w:r w:rsidRPr="002440CA">
        <w:rPr>
          <w:lang w:val="en-US"/>
        </w:rPr>
        <w:t>Next</w:t>
      </w:r>
      <w:r w:rsidRPr="004551E9">
        <w:rPr>
          <w:lang w:val="en-US"/>
        </w:rPr>
        <w:t xml:space="preserve"> steps –Towards a United Nations Treaty on the Rights of Persons with Disabilities”, en </w:t>
      </w:r>
      <w:r w:rsidRPr="004551E9">
        <w:rPr>
          <w:i/>
          <w:lang w:val="en-US"/>
        </w:rPr>
        <w:t>Disability Rights</w:t>
      </w:r>
      <w:r w:rsidRPr="004551E9">
        <w:rPr>
          <w:lang w:val="en-US"/>
        </w:rPr>
        <w:t xml:space="preserve">, </w:t>
      </w:r>
      <w:r w:rsidRPr="004551E9">
        <w:rPr>
          <w:caps/>
          <w:lang w:val="en-US"/>
        </w:rPr>
        <w:t>Blanck P.</w:t>
      </w:r>
      <w:r w:rsidRPr="004551E9">
        <w:rPr>
          <w:lang w:val="en-US"/>
        </w:rPr>
        <w:t xml:space="preserve"> (Ed.), Ashgate, Syracuse University</w:t>
      </w:r>
    </w:p>
    <w:p w:rsidR="003B6E85" w:rsidRPr="004551E9" w:rsidRDefault="003B6E85" w:rsidP="004551E9">
      <w:pPr>
        <w:pStyle w:val="Prrafodelista"/>
        <w:rPr>
          <w:lang w:val="en-US"/>
        </w:rPr>
      </w:pPr>
      <w:r w:rsidRPr="004551E9">
        <w:rPr>
          <w:lang w:val="en-US"/>
        </w:rPr>
        <w:t xml:space="preserve">QUINN, G., (2008) “Resisting the ‘Temptation of Elegance’: Can the Convention on the Rights of Persons with Disabilities </w:t>
      </w:r>
      <w:proofErr w:type="spellStart"/>
      <w:r w:rsidRPr="004551E9">
        <w:rPr>
          <w:lang w:val="en-US"/>
        </w:rPr>
        <w:t>Socialise</w:t>
      </w:r>
      <w:proofErr w:type="spellEnd"/>
      <w:r w:rsidRPr="004551E9">
        <w:rPr>
          <w:lang w:val="en-US"/>
        </w:rPr>
        <w:t xml:space="preserve"> States to Right </w:t>
      </w:r>
      <w:proofErr w:type="spellStart"/>
      <w:r w:rsidRPr="004551E9">
        <w:rPr>
          <w:lang w:val="en-US"/>
        </w:rPr>
        <w:t>Behaviour</w:t>
      </w:r>
      <w:proofErr w:type="spellEnd"/>
      <w:r w:rsidRPr="004551E9">
        <w:rPr>
          <w:lang w:val="en-US"/>
        </w:rPr>
        <w:t xml:space="preserve">”, </w:t>
      </w:r>
      <w:proofErr w:type="gramStart"/>
      <w:r w:rsidRPr="004551E9">
        <w:rPr>
          <w:i/>
          <w:lang w:val="en-US"/>
        </w:rPr>
        <w:t>The</w:t>
      </w:r>
      <w:proofErr w:type="gramEnd"/>
      <w:r w:rsidRPr="004551E9">
        <w:rPr>
          <w:i/>
          <w:lang w:val="en-US"/>
        </w:rPr>
        <w:t xml:space="preserve"> UN Convention on the Rights of Persons with Disabilities. European and Scandinavian Perspectives</w:t>
      </w:r>
      <w:r w:rsidRPr="004551E9">
        <w:rPr>
          <w:lang w:val="en-US"/>
        </w:rPr>
        <w:t>, ARNARDÓTTIR, O.M. and QUINN, G. Martinus Nijhoff Publishers</w:t>
      </w:r>
    </w:p>
    <w:p w:rsidR="003B6E85" w:rsidRPr="004551E9" w:rsidRDefault="003B6E85" w:rsidP="004551E9">
      <w:pPr>
        <w:pStyle w:val="Prrafodelista"/>
        <w:rPr>
          <w:lang w:val="en-US"/>
        </w:rPr>
      </w:pPr>
      <w:r w:rsidRPr="004551E9">
        <w:rPr>
          <w:caps/>
          <w:lang w:val="en-US"/>
        </w:rPr>
        <w:t>Quinn, G.,</w:t>
      </w:r>
      <w:r w:rsidRPr="004551E9">
        <w:rPr>
          <w:lang w:val="en-US"/>
        </w:rPr>
        <w:t xml:space="preserve"> (2009) “Resisting the ‘Temptation of Elegance’: Can the Convention on the Rights of Persons with Disabilities </w:t>
      </w:r>
      <w:proofErr w:type="spellStart"/>
      <w:r w:rsidRPr="004551E9">
        <w:rPr>
          <w:lang w:val="en-US"/>
        </w:rPr>
        <w:t>Socialise</w:t>
      </w:r>
      <w:proofErr w:type="spellEnd"/>
      <w:r w:rsidRPr="004551E9">
        <w:rPr>
          <w:lang w:val="en-US"/>
        </w:rPr>
        <w:t xml:space="preserve"> States to Right </w:t>
      </w:r>
      <w:proofErr w:type="spellStart"/>
      <w:r w:rsidRPr="004551E9">
        <w:rPr>
          <w:lang w:val="en-US"/>
        </w:rPr>
        <w:t>Behaviour</w:t>
      </w:r>
      <w:proofErr w:type="spellEnd"/>
      <w:r w:rsidRPr="004551E9">
        <w:rPr>
          <w:lang w:val="en-US"/>
        </w:rPr>
        <w:t>?</w:t>
      </w:r>
      <w:proofErr w:type="gramStart"/>
      <w:r w:rsidRPr="004551E9">
        <w:rPr>
          <w:lang w:val="en-US"/>
        </w:rPr>
        <w:t>”,</w:t>
      </w:r>
      <w:proofErr w:type="gramEnd"/>
      <w:r w:rsidRPr="004551E9">
        <w:rPr>
          <w:lang w:val="en-US"/>
        </w:rPr>
        <w:t xml:space="preserve"> in </w:t>
      </w:r>
      <w:r w:rsidRPr="004551E9">
        <w:rPr>
          <w:caps/>
          <w:lang w:val="en-US"/>
        </w:rPr>
        <w:t>Arnardottir, O. and Quinn, G</w:t>
      </w:r>
      <w:r w:rsidRPr="004551E9">
        <w:rPr>
          <w:lang w:val="en-US"/>
        </w:rPr>
        <w:t>. (</w:t>
      </w:r>
      <w:proofErr w:type="spellStart"/>
      <w:r w:rsidRPr="004551E9">
        <w:rPr>
          <w:lang w:val="en-US"/>
        </w:rPr>
        <w:t>eds</w:t>
      </w:r>
      <w:proofErr w:type="spellEnd"/>
      <w:r w:rsidRPr="004551E9">
        <w:rPr>
          <w:lang w:val="en-US"/>
        </w:rPr>
        <w:t xml:space="preserve">), </w:t>
      </w:r>
      <w:r w:rsidRPr="004551E9">
        <w:rPr>
          <w:i/>
          <w:lang w:val="en-US"/>
        </w:rPr>
        <w:t>The UN Convention on the Rights of Persons with Disabilities. European and Scandinavian Perspectives,</w:t>
      </w:r>
      <w:r w:rsidRPr="004551E9">
        <w:rPr>
          <w:lang w:val="en-US"/>
        </w:rPr>
        <w:t xml:space="preserve"> London/Boston: Martinus Nijhoff Publishers</w:t>
      </w:r>
    </w:p>
    <w:p w:rsidR="003B6E85" w:rsidRPr="004551E9" w:rsidRDefault="003B6E85" w:rsidP="004551E9">
      <w:pPr>
        <w:pStyle w:val="Prrafodelista"/>
        <w:rPr>
          <w:i/>
          <w:lang w:val="en-US"/>
        </w:rPr>
      </w:pPr>
      <w:r w:rsidRPr="004551E9">
        <w:rPr>
          <w:lang w:val="en-US"/>
        </w:rPr>
        <w:t xml:space="preserve">QUINN, G., (2009-2010), “The United Nations Convention on the Rights of Persons with Disabilities: Toward a New International </w:t>
      </w:r>
      <w:r w:rsidRPr="004551E9">
        <w:rPr>
          <w:lang w:val="en-US"/>
        </w:rPr>
        <w:lastRenderedPageBreak/>
        <w:t xml:space="preserve">Politics of Disability”, </w:t>
      </w:r>
      <w:r w:rsidRPr="004551E9">
        <w:rPr>
          <w:i/>
          <w:lang w:val="en-US"/>
        </w:rPr>
        <w:t>Texas Journal on Civil Liberties &amp; Civil Rights</w:t>
      </w:r>
      <w:r w:rsidRPr="004551E9">
        <w:rPr>
          <w:lang w:val="en-US"/>
        </w:rPr>
        <w:t>, Vol. 15:1</w:t>
      </w:r>
    </w:p>
    <w:p w:rsidR="003B6E85" w:rsidRPr="00916035" w:rsidRDefault="003B6E85" w:rsidP="004551E9">
      <w:pPr>
        <w:pStyle w:val="Prrafodelista"/>
      </w:pPr>
      <w:r w:rsidRPr="00916035">
        <w:t xml:space="preserve">QUINN, G., (2012) “Personalidad y capacidad jurídica: Perspectivas sobre el cambio de paradigma del Artículo 12 de la CDPD”, en </w:t>
      </w:r>
      <w:r w:rsidRPr="002440CA">
        <w:rPr>
          <w:i/>
        </w:rPr>
        <w:t>Capacidad Jurídica, Discapacidad y Derechos Humanos: una revisión desde la Convención Internacional sobre los Derechos de las Personas con Discapacidad</w:t>
      </w:r>
      <w:r w:rsidRPr="002440CA">
        <w:t xml:space="preserve">, </w:t>
      </w:r>
      <w:r w:rsidRPr="002440CA">
        <w:rPr>
          <w:caps/>
        </w:rPr>
        <w:t>Bariffi, F. &amp; Palacios A., (Coord),</w:t>
      </w:r>
      <w:r w:rsidRPr="002440CA">
        <w:t xml:space="preserve"> Ediar, Buenos Aires</w:t>
      </w:r>
      <w:r>
        <w:t>.</w:t>
      </w:r>
    </w:p>
    <w:p w:rsidR="00AE4F19" w:rsidRPr="00AE4F19" w:rsidRDefault="00AE4F19" w:rsidP="004551E9">
      <w:pPr>
        <w:pStyle w:val="Prrafodelista"/>
      </w:pPr>
      <w:r w:rsidRPr="00AE4F19">
        <w:t>SALMON, E. S. (2010), “La relación entre el Derecho Internacional de los Derechos Humanos y el ordenamiento jurídico estatal”, en Derechos Humanos y Juicio Justo, Nash Rojas &amp; Mujica Torres (</w:t>
      </w:r>
      <w:proofErr w:type="spellStart"/>
      <w:r w:rsidRPr="00AE4F19">
        <w:t>Eds</w:t>
      </w:r>
      <w:proofErr w:type="spellEnd"/>
      <w:r w:rsidRPr="00AE4F19">
        <w:t xml:space="preserve">), Centro de Derechos Humanos de la </w:t>
      </w:r>
      <w:r>
        <w:t>Universidad de Chile.</w:t>
      </w:r>
    </w:p>
    <w:p w:rsidR="00AE4F19" w:rsidRPr="00AE4F19" w:rsidRDefault="00AE4F19" w:rsidP="004551E9">
      <w:pPr>
        <w:pStyle w:val="Prrafodelista"/>
      </w:pPr>
      <w:r w:rsidRPr="00AE4F19">
        <w:t>SALMON, E. S. (2009), “La protección de los derechos de la mujer en el Sistema Universal de Derechos Humanos”, en Entre la Teoría y la Práctica: Nuevas Perspectivas sobre los Derechos Humanos de la Mujer, Instituto de Democracia y Derechos Humanos de la Pontificia Univ</w:t>
      </w:r>
      <w:r>
        <w:t>ersidad Católica del Perú, Lima.</w:t>
      </w:r>
    </w:p>
    <w:p w:rsidR="00AE4F19" w:rsidRPr="00AE4F19" w:rsidRDefault="00AE4F19" w:rsidP="004551E9">
      <w:pPr>
        <w:pStyle w:val="Prrafodelista"/>
      </w:pPr>
      <w:r w:rsidRPr="00AE4F19">
        <w:t>SALMON, E. S. (2005), “El Orden Público Internacional y el orden público interno desde la perspectiva del derecho internacional de los derechos humanos”, en Themis, revista de la Facultad de Derech</w:t>
      </w:r>
      <w:r>
        <w:t>o de la PUCP, N° 51.</w:t>
      </w:r>
    </w:p>
    <w:p w:rsidR="003B6E85" w:rsidRPr="004551E9" w:rsidRDefault="003B6E85" w:rsidP="004551E9">
      <w:pPr>
        <w:pStyle w:val="Prrafodelista"/>
        <w:rPr>
          <w:lang w:val="en-US"/>
        </w:rPr>
      </w:pPr>
      <w:r w:rsidRPr="004551E9">
        <w:rPr>
          <w:caps/>
          <w:lang w:val="en-US"/>
        </w:rPr>
        <w:t>Schabas, W.,</w:t>
      </w:r>
      <w:r w:rsidRPr="004551E9">
        <w:rPr>
          <w:lang w:val="en-US"/>
        </w:rPr>
        <w:t xml:space="preserve"> (1994) “Reservations to Human Rights Treaties: Time for Innovation and Reform”, </w:t>
      </w:r>
      <w:r w:rsidRPr="004551E9">
        <w:rPr>
          <w:i/>
          <w:lang w:val="en-US"/>
        </w:rPr>
        <w:t>Canadian Yearbook of International Law</w:t>
      </w:r>
      <w:r w:rsidRPr="004551E9">
        <w:rPr>
          <w:lang w:val="en-US"/>
        </w:rPr>
        <w:t xml:space="preserve">, </w:t>
      </w:r>
      <w:proofErr w:type="spellStart"/>
      <w:r w:rsidRPr="004551E9">
        <w:rPr>
          <w:lang w:val="en-US"/>
        </w:rPr>
        <w:t>vol</w:t>
      </w:r>
      <w:proofErr w:type="spellEnd"/>
      <w:r w:rsidRPr="004551E9">
        <w:rPr>
          <w:lang w:val="en-US"/>
        </w:rPr>
        <w:t xml:space="preserve"> 32.</w:t>
      </w:r>
    </w:p>
    <w:p w:rsidR="003B6E85" w:rsidRPr="004551E9" w:rsidRDefault="003B6E85" w:rsidP="004551E9">
      <w:pPr>
        <w:pStyle w:val="Prrafodelista"/>
        <w:rPr>
          <w:lang w:val="en-US"/>
        </w:rPr>
      </w:pPr>
      <w:r w:rsidRPr="004551E9">
        <w:rPr>
          <w:caps/>
          <w:lang w:val="en-US"/>
        </w:rPr>
        <w:t>Schulze, M.,</w:t>
      </w:r>
      <w:r w:rsidRPr="004551E9">
        <w:rPr>
          <w:lang w:val="en-US"/>
        </w:rPr>
        <w:t xml:space="preserve"> (2009) “Effective Exercise of the Rights of Persons with Disabilities: National Monitoring Mechanisms”, in </w:t>
      </w:r>
      <w:r w:rsidRPr="004551E9">
        <w:rPr>
          <w:caps/>
          <w:lang w:val="en-US"/>
        </w:rPr>
        <w:t>Benedek, W., Gregory, C., Kozma, J., Nowak, M., Strohal, C. and Theuermann</w:t>
      </w:r>
      <w:r w:rsidRPr="004551E9">
        <w:rPr>
          <w:lang w:val="en-US"/>
        </w:rPr>
        <w:t xml:space="preserve">, E. (eds.), </w:t>
      </w:r>
      <w:r w:rsidRPr="004551E9">
        <w:rPr>
          <w:i/>
          <w:lang w:val="en-US"/>
        </w:rPr>
        <w:t>Global Standards – Local Action. 15 Years Vienna World Conference on Human Rights</w:t>
      </w:r>
      <w:r w:rsidRPr="004551E9">
        <w:rPr>
          <w:lang w:val="en-US"/>
        </w:rPr>
        <w:t>, Vienna/Graz: Intersentia</w:t>
      </w:r>
    </w:p>
    <w:p w:rsidR="003B6E85" w:rsidRPr="004551E9" w:rsidRDefault="003B6E85" w:rsidP="004551E9">
      <w:pPr>
        <w:pStyle w:val="Prrafodelista"/>
        <w:rPr>
          <w:lang w:val="en-US"/>
        </w:rPr>
      </w:pPr>
      <w:r w:rsidRPr="004551E9">
        <w:rPr>
          <w:lang w:val="en-US"/>
        </w:rPr>
        <w:lastRenderedPageBreak/>
        <w:t xml:space="preserve">SIMMA, B., (1998), “Reservations to human rights treaties: Some recent developments”, </w:t>
      </w:r>
      <w:proofErr w:type="spellStart"/>
      <w:r w:rsidRPr="004551E9">
        <w:rPr>
          <w:i/>
          <w:lang w:val="en-US"/>
        </w:rPr>
        <w:t>Liber</w:t>
      </w:r>
      <w:proofErr w:type="spellEnd"/>
      <w:r w:rsidRPr="004551E9">
        <w:rPr>
          <w:i/>
          <w:lang w:val="en-US"/>
        </w:rPr>
        <w:t xml:space="preserve"> </w:t>
      </w:r>
      <w:proofErr w:type="spellStart"/>
      <w:r w:rsidRPr="004551E9">
        <w:rPr>
          <w:i/>
          <w:lang w:val="en-US"/>
        </w:rPr>
        <w:t>Amicorum</w:t>
      </w:r>
      <w:proofErr w:type="spellEnd"/>
      <w:r w:rsidRPr="004551E9">
        <w:rPr>
          <w:i/>
          <w:lang w:val="en-US"/>
        </w:rPr>
        <w:t xml:space="preserve"> Professor </w:t>
      </w:r>
      <w:proofErr w:type="spellStart"/>
      <w:r w:rsidRPr="004551E9">
        <w:rPr>
          <w:i/>
          <w:lang w:val="en-US"/>
        </w:rPr>
        <w:t>Ignaz</w:t>
      </w:r>
      <w:proofErr w:type="spellEnd"/>
      <w:r w:rsidRPr="004551E9">
        <w:rPr>
          <w:i/>
          <w:lang w:val="en-US"/>
        </w:rPr>
        <w:t xml:space="preserve"> </w:t>
      </w:r>
      <w:proofErr w:type="spellStart"/>
      <w:r w:rsidRPr="004551E9">
        <w:rPr>
          <w:i/>
          <w:lang w:val="en-US"/>
        </w:rPr>
        <w:t>Seidl-Hohenveldern</w:t>
      </w:r>
      <w:proofErr w:type="spellEnd"/>
      <w:r w:rsidRPr="004551E9">
        <w:rPr>
          <w:i/>
          <w:lang w:val="en-US"/>
        </w:rPr>
        <w:t xml:space="preserve">: In </w:t>
      </w:r>
      <w:proofErr w:type="spellStart"/>
      <w:r w:rsidRPr="004551E9">
        <w:rPr>
          <w:i/>
          <w:lang w:val="en-US"/>
        </w:rPr>
        <w:t>Honour</w:t>
      </w:r>
      <w:proofErr w:type="spellEnd"/>
      <w:r w:rsidRPr="004551E9">
        <w:rPr>
          <w:i/>
          <w:lang w:val="en-US"/>
        </w:rPr>
        <w:t xml:space="preserve"> of His 80</w:t>
      </w:r>
      <w:r w:rsidRPr="004551E9">
        <w:rPr>
          <w:i/>
          <w:vertAlign w:val="superscript"/>
          <w:lang w:val="en-US"/>
        </w:rPr>
        <w:t>th</w:t>
      </w:r>
      <w:r w:rsidRPr="004551E9">
        <w:rPr>
          <w:i/>
          <w:lang w:val="en-US"/>
        </w:rPr>
        <w:t xml:space="preserve"> birthday</w:t>
      </w:r>
      <w:r w:rsidRPr="004551E9">
        <w:rPr>
          <w:lang w:val="en-US"/>
        </w:rPr>
        <w:t xml:space="preserve">, </w:t>
      </w:r>
      <w:proofErr w:type="spellStart"/>
      <w:r w:rsidRPr="004551E9">
        <w:rPr>
          <w:lang w:val="en-US"/>
        </w:rPr>
        <w:t>Kluwer</w:t>
      </w:r>
      <w:proofErr w:type="spellEnd"/>
      <w:r w:rsidRPr="004551E9">
        <w:rPr>
          <w:lang w:val="en-US"/>
        </w:rPr>
        <w:t xml:space="preserve"> Law International, The Hague</w:t>
      </w:r>
    </w:p>
    <w:p w:rsidR="003B6E85" w:rsidRPr="004551E9" w:rsidRDefault="003B6E85" w:rsidP="004551E9">
      <w:pPr>
        <w:pStyle w:val="Prrafodelista"/>
        <w:rPr>
          <w:caps/>
          <w:lang w:val="en-US"/>
        </w:rPr>
      </w:pPr>
      <w:r w:rsidRPr="004551E9">
        <w:rPr>
          <w:caps/>
          <w:lang w:val="en-US"/>
        </w:rPr>
        <w:t>Stein, M. &amp; Lord, J.,</w:t>
      </w:r>
      <w:r w:rsidRPr="004551E9">
        <w:rPr>
          <w:lang w:val="en-US"/>
        </w:rPr>
        <w:t xml:space="preserve"> (2010) “Monitoring the Convention on the Rights of Persons with Disabilities: Innovations, Lost Opportunities, and Future Potential”, </w:t>
      </w:r>
      <w:r w:rsidRPr="004551E9">
        <w:rPr>
          <w:i/>
          <w:lang w:val="en-US"/>
        </w:rPr>
        <w:t>Human Rights Quarterly</w:t>
      </w:r>
      <w:r w:rsidRPr="004551E9">
        <w:rPr>
          <w:lang w:val="en-US"/>
        </w:rPr>
        <w:t>, Vol. 32.</w:t>
      </w:r>
    </w:p>
    <w:p w:rsidR="003B6E85" w:rsidRPr="004551E9" w:rsidRDefault="003B6E85" w:rsidP="004551E9">
      <w:pPr>
        <w:pStyle w:val="Prrafodelista"/>
        <w:rPr>
          <w:spacing w:val="-3"/>
          <w:lang w:val="en-US"/>
        </w:rPr>
      </w:pPr>
      <w:r w:rsidRPr="004551E9">
        <w:rPr>
          <w:caps/>
          <w:lang w:val="en-US"/>
        </w:rPr>
        <w:t>Stephens, B.,</w:t>
      </w:r>
      <w:r w:rsidRPr="004551E9">
        <w:rPr>
          <w:lang w:val="en-US"/>
        </w:rPr>
        <w:t xml:space="preserve"> (2002) “Translating </w:t>
      </w:r>
      <w:proofErr w:type="spellStart"/>
      <w:r w:rsidRPr="004551E9">
        <w:rPr>
          <w:lang w:val="en-US"/>
        </w:rPr>
        <w:t>Filartiga</w:t>
      </w:r>
      <w:proofErr w:type="spellEnd"/>
      <w:r w:rsidRPr="004551E9">
        <w:rPr>
          <w:lang w:val="en-US"/>
        </w:rPr>
        <w:t xml:space="preserve">: A Comparative and International Law Analysis of Domestic Remedies for International Human Rights Violations”, </w:t>
      </w:r>
      <w:r w:rsidRPr="004551E9">
        <w:rPr>
          <w:i/>
          <w:lang w:val="en-US"/>
        </w:rPr>
        <w:t>Yale Journal of International Law</w:t>
      </w:r>
      <w:r w:rsidRPr="004551E9">
        <w:rPr>
          <w:lang w:val="en-US"/>
        </w:rPr>
        <w:t>, Vol. 27</w:t>
      </w:r>
    </w:p>
    <w:p w:rsidR="003B6E85" w:rsidRPr="00916035" w:rsidRDefault="003B6E85" w:rsidP="004551E9">
      <w:pPr>
        <w:pStyle w:val="Prrafodelista"/>
      </w:pPr>
      <w:r w:rsidRPr="00916035">
        <w:rPr>
          <w:caps/>
        </w:rPr>
        <w:t>Suárez del Toro Rivero JM</w:t>
      </w:r>
      <w:r w:rsidRPr="00916035">
        <w:t xml:space="preserve">, (2009) “La protección especial de las personas con discapacidad por el Derecho Internacional Humanitario”, en </w:t>
      </w:r>
      <w:r w:rsidRPr="00C92D44">
        <w:rPr>
          <w:i/>
        </w:rPr>
        <w:t>Hacia un derecho de la discapacidad: estudios en homenaje al profesor Rafael de Lorenzo</w:t>
      </w:r>
      <w:r w:rsidRPr="00916035">
        <w:t xml:space="preserve">, </w:t>
      </w:r>
      <w:r w:rsidRPr="00916035">
        <w:rPr>
          <w:caps/>
        </w:rPr>
        <w:t>Cayo Pérez Bueno</w:t>
      </w:r>
      <w:r w:rsidRPr="00916035">
        <w:t xml:space="preserve"> L, (dir); </w:t>
      </w:r>
      <w:r w:rsidRPr="00916035">
        <w:rPr>
          <w:caps/>
        </w:rPr>
        <w:t>Sastre A</w:t>
      </w:r>
      <w:r w:rsidRPr="00916035">
        <w:t xml:space="preserve"> (</w:t>
      </w:r>
      <w:proofErr w:type="spellStart"/>
      <w:r w:rsidRPr="00916035">
        <w:t>ed</w:t>
      </w:r>
      <w:proofErr w:type="spellEnd"/>
      <w:r w:rsidRPr="00916035">
        <w:t xml:space="preserve">), Aranzadi </w:t>
      </w:r>
      <w:proofErr w:type="spellStart"/>
      <w:r w:rsidRPr="00916035">
        <w:t>Thomson</w:t>
      </w:r>
      <w:proofErr w:type="spellEnd"/>
      <w:r w:rsidRPr="00916035">
        <w:t xml:space="preserve"> Reuters, Navarra</w:t>
      </w:r>
    </w:p>
    <w:p w:rsidR="003B6E85" w:rsidRPr="004551E9" w:rsidRDefault="003B6E85" w:rsidP="004551E9">
      <w:pPr>
        <w:pStyle w:val="Prrafodelista"/>
        <w:rPr>
          <w:lang w:val="en-US"/>
        </w:rPr>
      </w:pPr>
      <w:r w:rsidRPr="004551E9">
        <w:rPr>
          <w:caps/>
          <w:lang w:val="en-US"/>
        </w:rPr>
        <w:t>Tomuschat, C., (</w:t>
      </w:r>
      <w:r w:rsidRPr="004551E9">
        <w:rPr>
          <w:lang w:val="en-US"/>
        </w:rPr>
        <w:t xml:space="preserve">2002) “Reparation for Victims of Grave Human Rights Violations” </w:t>
      </w:r>
      <w:r w:rsidRPr="004551E9">
        <w:rPr>
          <w:i/>
          <w:lang w:val="en-US"/>
        </w:rPr>
        <w:t>Tulane Journal of International &amp; Comparative Law</w:t>
      </w:r>
      <w:r w:rsidRPr="004551E9">
        <w:rPr>
          <w:lang w:val="en-US"/>
        </w:rPr>
        <w:t xml:space="preserve"> Vol. 10</w:t>
      </w:r>
    </w:p>
    <w:p w:rsidR="003B6E85" w:rsidRPr="004551E9" w:rsidRDefault="003B6E85" w:rsidP="004551E9">
      <w:pPr>
        <w:pStyle w:val="Prrafodelista"/>
        <w:rPr>
          <w:lang w:val="en-US"/>
        </w:rPr>
      </w:pPr>
      <w:r w:rsidRPr="004551E9">
        <w:rPr>
          <w:caps/>
          <w:lang w:val="en-US"/>
        </w:rPr>
        <w:t>van der Vyver, J. D</w:t>
      </w:r>
      <w:r w:rsidRPr="004551E9">
        <w:rPr>
          <w:lang w:val="en-US"/>
        </w:rPr>
        <w:t xml:space="preserve">., (2003-2004) “Torture as a Crime </w:t>
      </w:r>
      <w:proofErr w:type="gramStart"/>
      <w:r w:rsidRPr="004551E9">
        <w:rPr>
          <w:lang w:val="en-US"/>
        </w:rPr>
        <w:t>Under</w:t>
      </w:r>
      <w:proofErr w:type="gramEnd"/>
      <w:r w:rsidRPr="004551E9">
        <w:rPr>
          <w:lang w:val="en-US"/>
        </w:rPr>
        <w:t xml:space="preserve"> International Law”, </w:t>
      </w:r>
      <w:r w:rsidRPr="004551E9">
        <w:rPr>
          <w:i/>
          <w:lang w:val="en-US"/>
        </w:rPr>
        <w:t xml:space="preserve">Albany Law Review, </w:t>
      </w:r>
      <w:r w:rsidRPr="004551E9">
        <w:rPr>
          <w:lang w:val="en-US"/>
        </w:rPr>
        <w:t>Vol. 67</w:t>
      </w:r>
    </w:p>
    <w:p w:rsidR="003B6E85" w:rsidRPr="004551E9" w:rsidRDefault="003B6E85" w:rsidP="004551E9">
      <w:pPr>
        <w:pStyle w:val="Prrafodelista"/>
        <w:rPr>
          <w:lang w:val="en-US" w:eastAsia="es-ES_tradnl"/>
        </w:rPr>
      </w:pPr>
      <w:r w:rsidRPr="004551E9">
        <w:rPr>
          <w:caps/>
          <w:lang w:val="en-US"/>
        </w:rPr>
        <w:t>Van Dijk P., (1995)</w:t>
      </w:r>
      <w:r w:rsidRPr="004551E9">
        <w:rPr>
          <w:lang w:val="en-US"/>
        </w:rPr>
        <w:t xml:space="preserve"> “</w:t>
      </w:r>
      <w:r w:rsidRPr="004551E9">
        <w:rPr>
          <w:lang w:val="en-US" w:eastAsia="es-ES_tradnl"/>
        </w:rPr>
        <w:t xml:space="preserve">A Common Standard of Achievement. </w:t>
      </w:r>
      <w:proofErr w:type="gramStart"/>
      <w:r w:rsidRPr="004551E9">
        <w:rPr>
          <w:lang w:val="en-US" w:eastAsia="es-ES_tradnl"/>
        </w:rPr>
        <w:t xml:space="preserve">About Universal Validity and Uniform Interpretation of International Human Rights Norms”, </w:t>
      </w:r>
      <w:r w:rsidRPr="004551E9">
        <w:rPr>
          <w:i/>
          <w:lang w:val="en-US" w:eastAsia="es-ES_tradnl"/>
        </w:rPr>
        <w:t>Netherland Quarterly of Human Rights,</w:t>
      </w:r>
      <w:r w:rsidRPr="004551E9">
        <w:rPr>
          <w:lang w:val="en-US" w:eastAsia="es-ES_tradnl"/>
        </w:rPr>
        <w:t xml:space="preserve"> Vol. 2.</w:t>
      </w:r>
      <w:proofErr w:type="gramEnd"/>
    </w:p>
    <w:p w:rsidR="003B6E85" w:rsidRPr="00916035" w:rsidRDefault="003B6E85" w:rsidP="004551E9">
      <w:pPr>
        <w:pStyle w:val="Prrafodelista"/>
      </w:pPr>
      <w:r w:rsidRPr="00916035">
        <w:t xml:space="preserve">VILLÁN DURÁN, C., (2001), “La Declaración Universal de Derechos Humanos en la Práctica de las Naciones Unidas”, en </w:t>
      </w:r>
      <w:r w:rsidRPr="00916035">
        <w:rPr>
          <w:i/>
        </w:rPr>
        <w:t>La Protección Internacional de los Derechos Humanos a los Cincuenta Años de la Declaración Universal</w:t>
      </w:r>
      <w:r w:rsidRPr="00916035">
        <w:t xml:space="preserve">, </w:t>
      </w:r>
      <w:r w:rsidRPr="00916035">
        <w:rPr>
          <w:caps/>
        </w:rPr>
        <w:t xml:space="preserve">Blanc Altemir, </w:t>
      </w:r>
      <w:r w:rsidRPr="00916035">
        <w:t>A. (Editor), Tecnos, Madrid</w:t>
      </w:r>
    </w:p>
    <w:p w:rsidR="003B6E85" w:rsidRPr="00916035" w:rsidRDefault="003B6E85" w:rsidP="004551E9">
      <w:pPr>
        <w:pStyle w:val="Prrafodelista"/>
      </w:pPr>
      <w:r w:rsidRPr="00916035">
        <w:lastRenderedPageBreak/>
        <w:t xml:space="preserve">VILLAVERDE, M. S., (2012) “Artículo 14” en ROSALES P. (Coord.), </w:t>
      </w:r>
      <w:r w:rsidRPr="00916035">
        <w:rPr>
          <w:i/>
        </w:rPr>
        <w:t>Convención sobre los Derechos de las Personas con Discapacidad (Ley 26.378) Comentada</w:t>
      </w:r>
      <w:r w:rsidRPr="00916035">
        <w:t xml:space="preserve">, </w:t>
      </w:r>
      <w:proofErr w:type="spellStart"/>
      <w:r w:rsidRPr="00916035">
        <w:t>Abeledo</w:t>
      </w:r>
      <w:proofErr w:type="spellEnd"/>
      <w:r w:rsidRPr="00916035">
        <w:t xml:space="preserve"> </w:t>
      </w:r>
      <w:proofErr w:type="spellStart"/>
      <w:r w:rsidRPr="00916035">
        <w:t>Perrot</w:t>
      </w:r>
      <w:proofErr w:type="spellEnd"/>
      <w:r w:rsidRPr="00916035">
        <w:t>, Buenos Aires</w:t>
      </w:r>
    </w:p>
    <w:p w:rsidR="003B6E85" w:rsidRPr="004551E9" w:rsidRDefault="003B6E85" w:rsidP="004551E9">
      <w:pPr>
        <w:pStyle w:val="Prrafodelista"/>
        <w:rPr>
          <w:lang w:val="en-US"/>
        </w:rPr>
      </w:pPr>
      <w:r w:rsidRPr="004551E9">
        <w:rPr>
          <w:lang w:val="en-US"/>
        </w:rPr>
        <w:t xml:space="preserve">WELLER, P., (2011) “The Convention on the Rights of Persons with Disabilities and the social model of health: new perspectives”, </w:t>
      </w:r>
      <w:r w:rsidRPr="004551E9">
        <w:rPr>
          <w:i/>
          <w:lang w:val="en-US"/>
        </w:rPr>
        <w:t>Journal of Mental Health Law (Special Edition)</w:t>
      </w:r>
      <w:r w:rsidRPr="004551E9">
        <w:rPr>
          <w:lang w:val="en-US"/>
        </w:rPr>
        <w:t>.</w:t>
      </w:r>
    </w:p>
    <w:p w:rsidR="00831A3D" w:rsidRPr="004551E9" w:rsidRDefault="00831A3D" w:rsidP="004551E9">
      <w:pPr>
        <w:rPr>
          <w:lang w:val="en-US"/>
        </w:rPr>
      </w:pPr>
    </w:p>
    <w:p w:rsidR="003B6E85" w:rsidRPr="004551E9" w:rsidRDefault="003B6E85" w:rsidP="004551E9">
      <w:pPr>
        <w:rPr>
          <w:lang w:val="en-US"/>
        </w:rPr>
      </w:pPr>
    </w:p>
    <w:p w:rsidR="003B6E85" w:rsidRPr="00F419DD" w:rsidRDefault="00F419DD" w:rsidP="002C1D94">
      <w:pPr>
        <w:pStyle w:val="Ttulo15"/>
        <w:rPr>
          <w:sz w:val="24"/>
          <w:szCs w:val="24"/>
        </w:rPr>
      </w:pPr>
      <w:r w:rsidRPr="00F419DD">
        <w:rPr>
          <w:sz w:val="24"/>
          <w:szCs w:val="24"/>
        </w:rPr>
        <w:t xml:space="preserve">II.) JURISPRUDENCIA INTERNACIONAL </w:t>
      </w:r>
    </w:p>
    <w:p w:rsidR="003B6E85" w:rsidRPr="003B6E85" w:rsidRDefault="003B6E85" w:rsidP="002C1D94">
      <w:pPr>
        <w:pStyle w:val="Ttulo15"/>
      </w:pPr>
    </w:p>
    <w:p w:rsidR="003B6E85" w:rsidRDefault="003B6E85" w:rsidP="002C1D94">
      <w:pPr>
        <w:pStyle w:val="TITULO15"/>
      </w:pPr>
      <w:r>
        <w:t xml:space="preserve">II.1) </w:t>
      </w:r>
      <w:r w:rsidRPr="003139DB">
        <w:t xml:space="preserve">Tribunal Internacional de Justicia </w:t>
      </w:r>
    </w:p>
    <w:p w:rsidR="003B6E85" w:rsidRPr="003B6E85" w:rsidRDefault="003B6E85" w:rsidP="004551E9"/>
    <w:p w:rsidR="003B6E85" w:rsidRPr="00093F89" w:rsidRDefault="003B6E85" w:rsidP="004551E9">
      <w:pPr>
        <w:pStyle w:val="Prrafodelista"/>
      </w:pPr>
      <w:r w:rsidRPr="00093F89">
        <w:t xml:space="preserve">Caso relativo a actividades militares y paramilitares en y contra Nicaragua, Tribunal Internacional de Justicia, I.C.J. </w:t>
      </w:r>
      <w:proofErr w:type="spellStart"/>
      <w:r w:rsidRPr="00093F89">
        <w:t>Reports</w:t>
      </w:r>
      <w:proofErr w:type="spellEnd"/>
      <w:r w:rsidRPr="00093F89">
        <w:t xml:space="preserve"> 1986</w:t>
      </w:r>
    </w:p>
    <w:p w:rsidR="003B6E85" w:rsidRPr="00093F89" w:rsidRDefault="003B6E85" w:rsidP="004551E9">
      <w:pPr>
        <w:pStyle w:val="Prrafodelista"/>
        <w:rPr>
          <w:i/>
        </w:rPr>
      </w:pPr>
      <w:r w:rsidRPr="00093F89">
        <w:rPr>
          <w:rFonts w:eastAsia="Calibri"/>
          <w:i/>
          <w:noProof/>
          <w:lang w:val="es-ES_tradnl"/>
        </w:rPr>
        <w:t xml:space="preserve">Caso de la Barcelona Traction, </w:t>
      </w:r>
      <w:r w:rsidRPr="00093F89">
        <w:t xml:space="preserve">Tribunal Internacional de Justicia, </w:t>
      </w:r>
      <w:r w:rsidRPr="00093F89">
        <w:rPr>
          <w:noProof/>
        </w:rPr>
        <w:t>CIJ Recueil, 1970</w:t>
      </w:r>
    </w:p>
    <w:p w:rsidR="003B6E85" w:rsidRPr="00093F89" w:rsidRDefault="003B6E85" w:rsidP="004551E9">
      <w:pPr>
        <w:pStyle w:val="Prrafodelista"/>
        <w:rPr>
          <w:i/>
        </w:rPr>
      </w:pPr>
      <w:r w:rsidRPr="00093F89">
        <w:rPr>
          <w:i/>
        </w:rPr>
        <w:t xml:space="preserve">Caso LaGrand, </w:t>
      </w:r>
      <w:r w:rsidRPr="00093F89">
        <w:t>Tribunal Internacional de Justicia, sentencia de 27 de junio de 2001</w:t>
      </w:r>
    </w:p>
    <w:p w:rsidR="003B6E85" w:rsidRPr="00093F89" w:rsidRDefault="003B6E85" w:rsidP="004551E9">
      <w:pPr>
        <w:pStyle w:val="Prrafodelista"/>
        <w:rPr>
          <w:i/>
        </w:rPr>
      </w:pPr>
      <w:r w:rsidRPr="00093F89">
        <w:rPr>
          <w:i/>
        </w:rPr>
        <w:t xml:space="preserve">Caso Avina, </w:t>
      </w:r>
      <w:r w:rsidRPr="00093F89">
        <w:t>Tribunal Internacional de Justicia, sentencia de 31 de marzo de 2004</w:t>
      </w:r>
    </w:p>
    <w:p w:rsidR="003B6E85" w:rsidRPr="00093F89" w:rsidRDefault="003B6E85" w:rsidP="004551E9">
      <w:pPr>
        <w:pStyle w:val="Prrafodelista"/>
        <w:rPr>
          <w:i/>
        </w:rPr>
      </w:pPr>
      <w:r w:rsidRPr="00093F89">
        <w:rPr>
          <w:i/>
        </w:rPr>
        <w:t xml:space="preserve">Caso </w:t>
      </w:r>
      <w:proofErr w:type="spellStart"/>
      <w:r w:rsidRPr="00093F89">
        <w:rPr>
          <w:i/>
        </w:rPr>
        <w:t>Ahmadou</w:t>
      </w:r>
      <w:proofErr w:type="spellEnd"/>
      <w:r w:rsidRPr="00093F89">
        <w:rPr>
          <w:i/>
        </w:rPr>
        <w:t xml:space="preserve"> </w:t>
      </w:r>
      <w:proofErr w:type="spellStart"/>
      <w:r w:rsidRPr="00093F89">
        <w:rPr>
          <w:i/>
        </w:rPr>
        <w:t>Sadio</w:t>
      </w:r>
      <w:proofErr w:type="spellEnd"/>
      <w:r w:rsidRPr="00093F89">
        <w:rPr>
          <w:i/>
        </w:rPr>
        <w:t xml:space="preserve"> </w:t>
      </w:r>
      <w:proofErr w:type="spellStart"/>
      <w:r w:rsidRPr="00093F89">
        <w:rPr>
          <w:i/>
        </w:rPr>
        <w:t>Diallo</w:t>
      </w:r>
      <w:proofErr w:type="spellEnd"/>
      <w:r w:rsidRPr="00093F89">
        <w:rPr>
          <w:i/>
        </w:rPr>
        <w:t xml:space="preserve">, </w:t>
      </w:r>
      <w:r w:rsidRPr="00093F89">
        <w:t>Tribunal Internacional de Justicia, sentencia de 30 de noviembre de 2010</w:t>
      </w:r>
    </w:p>
    <w:p w:rsidR="003B6E85" w:rsidRPr="00093F89" w:rsidRDefault="003B6E85" w:rsidP="004551E9">
      <w:pPr>
        <w:pStyle w:val="Prrafodelista"/>
      </w:pPr>
      <w:r w:rsidRPr="00093F89">
        <w:rPr>
          <w:i/>
        </w:rPr>
        <w:t xml:space="preserve">Caso </w:t>
      </w:r>
      <w:proofErr w:type="spellStart"/>
      <w:r w:rsidRPr="00093F89">
        <w:rPr>
          <w:i/>
        </w:rPr>
        <w:t>Ahmadou</w:t>
      </w:r>
      <w:proofErr w:type="spellEnd"/>
      <w:r w:rsidRPr="00093F89">
        <w:rPr>
          <w:i/>
        </w:rPr>
        <w:t xml:space="preserve"> </w:t>
      </w:r>
      <w:proofErr w:type="spellStart"/>
      <w:r w:rsidRPr="00093F89">
        <w:rPr>
          <w:i/>
        </w:rPr>
        <w:t>Sadio</w:t>
      </w:r>
      <w:proofErr w:type="spellEnd"/>
      <w:r w:rsidRPr="00093F89">
        <w:rPr>
          <w:i/>
        </w:rPr>
        <w:t xml:space="preserve"> </w:t>
      </w:r>
      <w:proofErr w:type="spellStart"/>
      <w:r w:rsidRPr="00093F89">
        <w:rPr>
          <w:i/>
        </w:rPr>
        <w:t>Diallo</w:t>
      </w:r>
      <w:proofErr w:type="spellEnd"/>
      <w:r w:rsidRPr="00093F89">
        <w:rPr>
          <w:i/>
        </w:rPr>
        <w:t xml:space="preserve">, </w:t>
      </w:r>
      <w:r w:rsidRPr="00093F89">
        <w:t>Tribunal Internacional de Justicia, Sentencia de 30 de noviembre de 2010</w:t>
      </w:r>
      <w:r w:rsidRPr="00093F89">
        <w:rPr>
          <w:i/>
        </w:rPr>
        <w:t xml:space="preserve"> </w:t>
      </w:r>
      <w:r w:rsidRPr="00093F89">
        <w:t xml:space="preserve">Voto Separado del Juez Cançado Trindade </w:t>
      </w:r>
    </w:p>
    <w:p w:rsidR="003B6E85" w:rsidRPr="00093F89" w:rsidRDefault="003B6E85" w:rsidP="004551E9">
      <w:pPr>
        <w:pStyle w:val="Prrafodelista"/>
      </w:pPr>
      <w:r w:rsidRPr="00093F89">
        <w:lastRenderedPageBreak/>
        <w:t>Opinión consultiva de 28 de mayo de 1951, “Reservas a la Convención sobre la Prevención del Delito de Genocidio”. Tri</w:t>
      </w:r>
      <w:r>
        <w:t>bunal Internacional de Justicia</w:t>
      </w:r>
    </w:p>
    <w:p w:rsidR="003B6E85" w:rsidRDefault="003B6E85" w:rsidP="004551E9">
      <w:pPr>
        <w:pStyle w:val="Prrafodelista"/>
      </w:pPr>
      <w:r w:rsidRPr="00093F89">
        <w:t>Opinión Consultiva de la Corte Internacional de Justicia sobre las consecuencias jurídicas de la construcción de un muro en el territorio palestino ocupado, 10 de Diciembre de 2003, A/ES-10/273, 13 de julio de 2004</w:t>
      </w:r>
    </w:p>
    <w:p w:rsidR="003B6E85" w:rsidRPr="00093F89" w:rsidRDefault="003B6E85" w:rsidP="004551E9">
      <w:pPr>
        <w:pStyle w:val="Prrafodelista"/>
      </w:pPr>
    </w:p>
    <w:p w:rsidR="003B6E85" w:rsidRDefault="003B6E85" w:rsidP="002C1D94">
      <w:pPr>
        <w:pStyle w:val="TITULO15"/>
      </w:pPr>
      <w:r>
        <w:t xml:space="preserve">II.2) </w:t>
      </w:r>
      <w:r w:rsidRPr="003139DB">
        <w:t>Tribunal Europeo de Derechos Humanos</w:t>
      </w:r>
    </w:p>
    <w:p w:rsidR="003B6E85" w:rsidRPr="003B6E85" w:rsidRDefault="003B6E85" w:rsidP="004551E9"/>
    <w:p w:rsidR="003B6E85" w:rsidRPr="00093F89" w:rsidRDefault="003B6E85" w:rsidP="004551E9">
      <w:pPr>
        <w:pStyle w:val="Prrafodelista"/>
      </w:pPr>
      <w:r w:rsidRPr="00093F89">
        <w:rPr>
          <w:i/>
        </w:rPr>
        <w:t xml:space="preserve">Asunto </w:t>
      </w:r>
      <w:proofErr w:type="spellStart"/>
      <w:r w:rsidRPr="00093F89">
        <w:rPr>
          <w:i/>
        </w:rPr>
        <w:t>Golder</w:t>
      </w:r>
      <w:proofErr w:type="spellEnd"/>
      <w:r w:rsidRPr="00093F89">
        <w:rPr>
          <w:i/>
        </w:rPr>
        <w:t xml:space="preserve"> c. Reino Unido, </w:t>
      </w:r>
      <w:r w:rsidRPr="00093F89">
        <w:t>TEDH, Sentencia de 21 de febrero de 1975</w:t>
      </w:r>
    </w:p>
    <w:p w:rsidR="003B6E85" w:rsidRPr="00093F89" w:rsidRDefault="003B6E85" w:rsidP="004551E9">
      <w:pPr>
        <w:pStyle w:val="Prrafodelista"/>
      </w:pPr>
      <w:r w:rsidRPr="00093F89">
        <w:rPr>
          <w:i/>
        </w:rPr>
        <w:t xml:space="preserve">Winterwerp v. </w:t>
      </w:r>
      <w:proofErr w:type="spellStart"/>
      <w:r w:rsidRPr="00093F89">
        <w:rPr>
          <w:i/>
        </w:rPr>
        <w:t>Netherlands</w:t>
      </w:r>
      <w:proofErr w:type="spellEnd"/>
      <w:r w:rsidRPr="00093F89">
        <w:rPr>
          <w:i/>
        </w:rPr>
        <w:t xml:space="preserve">, </w:t>
      </w:r>
      <w:r w:rsidRPr="00093F89">
        <w:t>TEDH, Sentencia de 24 de octubre de 1979, Aplicación no. 6301/73</w:t>
      </w:r>
    </w:p>
    <w:p w:rsidR="003B6E85" w:rsidRPr="00093F89" w:rsidRDefault="003B6E85" w:rsidP="004551E9">
      <w:pPr>
        <w:pStyle w:val="Prrafodelista"/>
        <w:rPr>
          <w:i/>
        </w:rPr>
      </w:pPr>
      <w:proofErr w:type="spellStart"/>
      <w:r w:rsidRPr="00093F89">
        <w:rPr>
          <w:i/>
        </w:rPr>
        <w:t>Egger</w:t>
      </w:r>
      <w:proofErr w:type="spellEnd"/>
      <w:r w:rsidRPr="00093F89">
        <w:rPr>
          <w:i/>
        </w:rPr>
        <w:t xml:space="preserve"> v. Austria, </w:t>
      </w:r>
      <w:r w:rsidRPr="00093F89">
        <w:t>TEDH, Sentencia de 11 de octubre de 1993, Aplicación no. 15780/89</w:t>
      </w:r>
    </w:p>
    <w:p w:rsidR="003B6E85" w:rsidRPr="00093F89" w:rsidRDefault="003B6E85" w:rsidP="004551E9">
      <w:pPr>
        <w:pStyle w:val="Prrafodelista"/>
        <w:rPr>
          <w:i/>
        </w:rPr>
      </w:pPr>
      <w:proofErr w:type="spellStart"/>
      <w:r w:rsidRPr="00093F89">
        <w:rPr>
          <w:i/>
        </w:rPr>
        <w:t>Bosci</w:t>
      </w:r>
      <w:proofErr w:type="spellEnd"/>
      <w:r w:rsidRPr="00093F89">
        <w:rPr>
          <w:i/>
        </w:rPr>
        <w:t xml:space="preserve"> v. </w:t>
      </w:r>
      <w:proofErr w:type="spellStart"/>
      <w:r w:rsidRPr="00093F89">
        <w:rPr>
          <w:i/>
        </w:rPr>
        <w:t>Hungary</w:t>
      </w:r>
      <w:proofErr w:type="spellEnd"/>
      <w:r w:rsidRPr="00093F89">
        <w:rPr>
          <w:i/>
        </w:rPr>
        <w:t xml:space="preserve">, </w:t>
      </w:r>
      <w:r w:rsidRPr="00093F89">
        <w:t>TEDH, Sentencia de 21 de mayo de 1998, Aplicación no. 24240/94</w:t>
      </w:r>
    </w:p>
    <w:p w:rsidR="003B6E85" w:rsidRPr="00093F89" w:rsidRDefault="003B6E85" w:rsidP="004551E9">
      <w:pPr>
        <w:pStyle w:val="Prrafodelista"/>
        <w:rPr>
          <w:i/>
        </w:rPr>
      </w:pPr>
      <w:proofErr w:type="spellStart"/>
      <w:r w:rsidRPr="00093F89">
        <w:rPr>
          <w:i/>
        </w:rPr>
        <w:t>Matter</w:t>
      </w:r>
      <w:proofErr w:type="spellEnd"/>
      <w:r w:rsidRPr="00093F89">
        <w:rPr>
          <w:i/>
        </w:rPr>
        <w:t xml:space="preserve"> v. Slovakia, </w:t>
      </w:r>
      <w:r w:rsidRPr="00093F89">
        <w:t>TEDH, Sentencia de 5 de julio de 1999, Aplicación no. 31534/96</w:t>
      </w:r>
    </w:p>
    <w:p w:rsidR="003B6E85" w:rsidRPr="00093F89" w:rsidRDefault="003B6E85" w:rsidP="004551E9">
      <w:pPr>
        <w:pStyle w:val="Prrafodelista"/>
        <w:rPr>
          <w:i/>
        </w:rPr>
      </w:pPr>
      <w:r w:rsidRPr="00093F89">
        <w:rPr>
          <w:i/>
        </w:rPr>
        <w:t xml:space="preserve">Price v. Reino Unido, </w:t>
      </w:r>
      <w:r w:rsidRPr="00093F89">
        <w:t>TEDH, Sentencia de 10 de julio de 2001, Aplicación No. 5493/72</w:t>
      </w:r>
    </w:p>
    <w:p w:rsidR="003B6E85" w:rsidRPr="00093F89" w:rsidRDefault="003B6E85" w:rsidP="004551E9">
      <w:pPr>
        <w:pStyle w:val="Prrafodelista"/>
        <w:rPr>
          <w:i/>
        </w:rPr>
      </w:pPr>
      <w:r w:rsidRPr="00093F89">
        <w:rPr>
          <w:i/>
        </w:rPr>
        <w:t xml:space="preserve">H.F. v. Slovakia, </w:t>
      </w:r>
      <w:r w:rsidRPr="00093F89">
        <w:t>TEDH, Sentencia de 8 de noviembre de 2005, Aplicación no. 54797/00</w:t>
      </w:r>
    </w:p>
    <w:p w:rsidR="003B6E85" w:rsidRPr="00093F89" w:rsidRDefault="003B6E85" w:rsidP="004551E9">
      <w:pPr>
        <w:pStyle w:val="Prrafodelista"/>
        <w:rPr>
          <w:i/>
        </w:rPr>
      </w:pPr>
      <w:r w:rsidRPr="00093F89">
        <w:rPr>
          <w:i/>
        </w:rPr>
        <w:t xml:space="preserve">Shtukaturov v. Rusia, </w:t>
      </w:r>
      <w:r w:rsidRPr="00093F89">
        <w:t>TEDH, Sentencia de 27 de marzo de 2008, Aplicación no. 44009/05</w:t>
      </w:r>
    </w:p>
    <w:p w:rsidR="003B6E85" w:rsidRPr="00093F89" w:rsidRDefault="003B6E85" w:rsidP="004551E9">
      <w:pPr>
        <w:pStyle w:val="Prrafodelista"/>
        <w:rPr>
          <w:i/>
        </w:rPr>
      </w:pPr>
      <w:r w:rsidRPr="00093F89">
        <w:rPr>
          <w:i/>
        </w:rPr>
        <w:t xml:space="preserve">X. v. </w:t>
      </w:r>
      <w:proofErr w:type="spellStart"/>
      <w:r w:rsidRPr="00093F89">
        <w:rPr>
          <w:i/>
        </w:rPr>
        <w:t>Croatia</w:t>
      </w:r>
      <w:proofErr w:type="spellEnd"/>
      <w:r w:rsidRPr="00093F89">
        <w:rPr>
          <w:i/>
        </w:rPr>
        <w:t xml:space="preserve">, </w:t>
      </w:r>
      <w:r w:rsidRPr="00093F89">
        <w:t>TEDH, Sentencia de 17 de Julio de 2008, Aplicación no. 11223/04</w:t>
      </w:r>
    </w:p>
    <w:p w:rsidR="003B6E85" w:rsidRPr="00093F89" w:rsidRDefault="003B6E85" w:rsidP="004551E9">
      <w:pPr>
        <w:pStyle w:val="Prrafodelista"/>
        <w:rPr>
          <w:i/>
        </w:rPr>
      </w:pPr>
      <w:r w:rsidRPr="00093F89">
        <w:rPr>
          <w:i/>
        </w:rPr>
        <w:t xml:space="preserve">Salontaji-Drobnjak v. Serbia, </w:t>
      </w:r>
      <w:r w:rsidRPr="00093F89">
        <w:t>TEDH, Sentencia de 13 de octubre de 2009, Aplicación no. 36500/05</w:t>
      </w:r>
    </w:p>
    <w:p w:rsidR="003B6E85" w:rsidRPr="00093F89" w:rsidRDefault="003B6E85" w:rsidP="004551E9">
      <w:pPr>
        <w:pStyle w:val="Prrafodelista"/>
        <w:rPr>
          <w:i/>
        </w:rPr>
      </w:pPr>
      <w:r w:rsidRPr="00093F89">
        <w:rPr>
          <w:i/>
        </w:rPr>
        <w:lastRenderedPageBreak/>
        <w:t xml:space="preserve">Alajos Kiss v. </w:t>
      </w:r>
      <w:proofErr w:type="spellStart"/>
      <w:r w:rsidRPr="00093F89">
        <w:rPr>
          <w:i/>
        </w:rPr>
        <w:t>Hungary</w:t>
      </w:r>
      <w:proofErr w:type="spellEnd"/>
      <w:r w:rsidRPr="00093F89">
        <w:rPr>
          <w:i/>
        </w:rPr>
        <w:t xml:space="preserve">, </w:t>
      </w:r>
      <w:r w:rsidRPr="00093F89">
        <w:t>TEDH,</w:t>
      </w:r>
      <w:r>
        <w:t xml:space="preserve"> </w:t>
      </w:r>
      <w:r w:rsidRPr="00093F89">
        <w:t xml:space="preserve">Sentencia de 20 de mayo de 2010, </w:t>
      </w:r>
      <w:proofErr w:type="spellStart"/>
      <w:r w:rsidRPr="00093F89">
        <w:t>Applicación</w:t>
      </w:r>
      <w:proofErr w:type="spellEnd"/>
      <w:r w:rsidRPr="00093F89">
        <w:t xml:space="preserve"> no. 38832/06</w:t>
      </w:r>
    </w:p>
    <w:p w:rsidR="003B6E85" w:rsidRPr="00093F89" w:rsidRDefault="003B6E85" w:rsidP="004551E9">
      <w:pPr>
        <w:pStyle w:val="Prrafodelista"/>
        <w:rPr>
          <w:i/>
        </w:rPr>
      </w:pPr>
      <w:r w:rsidRPr="00093F89">
        <w:rPr>
          <w:i/>
        </w:rPr>
        <w:t xml:space="preserve">Krušković v. </w:t>
      </w:r>
      <w:proofErr w:type="spellStart"/>
      <w:r w:rsidRPr="00093F89">
        <w:rPr>
          <w:i/>
        </w:rPr>
        <w:t>Croatia</w:t>
      </w:r>
      <w:proofErr w:type="spellEnd"/>
      <w:r w:rsidRPr="00093F89">
        <w:rPr>
          <w:i/>
        </w:rPr>
        <w:t xml:space="preserve">, </w:t>
      </w:r>
      <w:r w:rsidRPr="00093F89">
        <w:t>TEDH, Sentencia de 21 de junio de 2011, Aplicación no. 46185/08.</w:t>
      </w:r>
    </w:p>
    <w:p w:rsidR="003B6E85" w:rsidRPr="00093F89" w:rsidRDefault="003B6E85" w:rsidP="004551E9">
      <w:pPr>
        <w:pStyle w:val="Prrafodelista"/>
        <w:rPr>
          <w:i/>
        </w:rPr>
      </w:pPr>
      <w:r w:rsidRPr="00093F89">
        <w:rPr>
          <w:i/>
        </w:rPr>
        <w:t xml:space="preserve">Stanev v. Bulgaria, </w:t>
      </w:r>
      <w:r w:rsidRPr="00093F89">
        <w:t>TEDH, Sentencia de 17 de enero de 2012, Aplicación no. 36760/06</w:t>
      </w:r>
    </w:p>
    <w:p w:rsidR="003B6E85" w:rsidRPr="00093F89" w:rsidRDefault="003B6E85" w:rsidP="004551E9">
      <w:pPr>
        <w:pStyle w:val="Prrafodelista"/>
        <w:rPr>
          <w:i/>
        </w:rPr>
      </w:pPr>
      <w:r w:rsidRPr="00093F89">
        <w:rPr>
          <w:i/>
        </w:rPr>
        <w:t xml:space="preserve">D.D. v. </w:t>
      </w:r>
      <w:proofErr w:type="spellStart"/>
      <w:r w:rsidRPr="00093F89">
        <w:rPr>
          <w:i/>
        </w:rPr>
        <w:t>Lithuania</w:t>
      </w:r>
      <w:proofErr w:type="spellEnd"/>
      <w:r w:rsidRPr="00093F89">
        <w:rPr>
          <w:i/>
        </w:rPr>
        <w:t xml:space="preserve">, </w:t>
      </w:r>
      <w:r w:rsidRPr="00093F89">
        <w:t>TEDH, Sentencia de 14 de febrero de 2012, Aplicación no. 13469/06</w:t>
      </w:r>
    </w:p>
    <w:p w:rsidR="003B6E85" w:rsidRPr="003B6E85" w:rsidRDefault="003B6E85" w:rsidP="004551E9">
      <w:pPr>
        <w:pStyle w:val="Prrafodelista"/>
        <w:rPr>
          <w:i/>
        </w:rPr>
      </w:pPr>
      <w:r w:rsidRPr="00093F89">
        <w:rPr>
          <w:i/>
        </w:rPr>
        <w:t xml:space="preserve">Sýkora v. </w:t>
      </w:r>
      <w:proofErr w:type="spellStart"/>
      <w:r w:rsidRPr="00093F89">
        <w:rPr>
          <w:i/>
        </w:rPr>
        <w:t>the</w:t>
      </w:r>
      <w:proofErr w:type="spellEnd"/>
      <w:r w:rsidRPr="00093F89">
        <w:rPr>
          <w:i/>
        </w:rPr>
        <w:t xml:space="preserve"> </w:t>
      </w:r>
      <w:proofErr w:type="spellStart"/>
      <w:r w:rsidRPr="00093F89">
        <w:rPr>
          <w:i/>
        </w:rPr>
        <w:t>Czech</w:t>
      </w:r>
      <w:proofErr w:type="spellEnd"/>
      <w:r w:rsidRPr="00093F89">
        <w:rPr>
          <w:i/>
        </w:rPr>
        <w:t xml:space="preserve"> </w:t>
      </w:r>
      <w:proofErr w:type="spellStart"/>
      <w:r w:rsidRPr="00093F89">
        <w:rPr>
          <w:i/>
        </w:rPr>
        <w:t>Republic</w:t>
      </w:r>
      <w:proofErr w:type="spellEnd"/>
      <w:r w:rsidRPr="00093F89">
        <w:rPr>
          <w:i/>
        </w:rPr>
        <w:t xml:space="preserve">, </w:t>
      </w:r>
      <w:r w:rsidRPr="00093F89">
        <w:t>TEDH, Sentencia de 22 de noviembre de 2012, Aplicación no. 23419/07</w:t>
      </w:r>
    </w:p>
    <w:p w:rsidR="003B6E85" w:rsidRPr="00093F89" w:rsidRDefault="003B6E85" w:rsidP="004551E9">
      <w:pPr>
        <w:pStyle w:val="Prrafodelista"/>
      </w:pPr>
    </w:p>
    <w:p w:rsidR="003B6E85" w:rsidRDefault="003B6E85" w:rsidP="002C1D94">
      <w:pPr>
        <w:pStyle w:val="TITULO15"/>
      </w:pPr>
      <w:r w:rsidRPr="000610EC">
        <w:t>II.3)</w:t>
      </w:r>
      <w:r>
        <w:rPr>
          <w:rFonts w:cs="Times New Roman"/>
          <w:sz w:val="20"/>
          <w:szCs w:val="20"/>
        </w:rPr>
        <w:t xml:space="preserve"> </w:t>
      </w:r>
      <w:r w:rsidRPr="003139DB">
        <w:t>Corte Interamericana de Derechos Humanos</w:t>
      </w:r>
    </w:p>
    <w:p w:rsidR="003B6E85" w:rsidRPr="003B6E85" w:rsidRDefault="003B6E85" w:rsidP="004551E9"/>
    <w:p w:rsidR="003B6E85" w:rsidRPr="00093F89" w:rsidRDefault="003B6E85" w:rsidP="004551E9">
      <w:pPr>
        <w:pStyle w:val="Prrafodelista"/>
      </w:pPr>
      <w:r w:rsidRPr="00093F89">
        <w:rPr>
          <w:i/>
        </w:rPr>
        <w:t>Caso Velásquez Rodríguez, Fondo.</w:t>
      </w:r>
      <w:r w:rsidRPr="00093F89">
        <w:t xml:space="preserve"> CIADH, Sentencia de 29 de julio de 1988, Serie C No. 4</w:t>
      </w:r>
    </w:p>
    <w:p w:rsidR="003B6E85" w:rsidRPr="00093F89" w:rsidRDefault="003B6E85" w:rsidP="004551E9">
      <w:pPr>
        <w:pStyle w:val="Prrafodelista"/>
      </w:pPr>
      <w:r w:rsidRPr="00093F89">
        <w:rPr>
          <w:i/>
        </w:rPr>
        <w:t xml:space="preserve">Caso </w:t>
      </w:r>
      <w:proofErr w:type="spellStart"/>
      <w:r w:rsidRPr="00093F89">
        <w:rPr>
          <w:i/>
        </w:rPr>
        <w:t>Bámaca</w:t>
      </w:r>
      <w:proofErr w:type="spellEnd"/>
      <w:r w:rsidRPr="00093F89">
        <w:rPr>
          <w:i/>
        </w:rPr>
        <w:t xml:space="preserve"> Velásquez Vs. Guatemala. Fondo</w:t>
      </w:r>
      <w:r w:rsidRPr="00093F89">
        <w:t>. CIADH. Sentencia de 25 de Noviembre de 2000, Serie C No. 70</w:t>
      </w:r>
    </w:p>
    <w:p w:rsidR="003B6E85" w:rsidRPr="00093F89" w:rsidRDefault="003B6E85" w:rsidP="004551E9">
      <w:pPr>
        <w:pStyle w:val="Prrafodelista"/>
      </w:pPr>
      <w:r w:rsidRPr="00093F89">
        <w:t xml:space="preserve">Caso de las Niñas </w:t>
      </w:r>
      <w:proofErr w:type="spellStart"/>
      <w:r w:rsidRPr="00093F89">
        <w:t>Yean</w:t>
      </w:r>
      <w:proofErr w:type="spellEnd"/>
      <w:r w:rsidRPr="00093F89">
        <w:t xml:space="preserve"> y </w:t>
      </w:r>
      <w:proofErr w:type="spellStart"/>
      <w:r w:rsidRPr="00093F89">
        <w:t>Bosico</w:t>
      </w:r>
      <w:proofErr w:type="spellEnd"/>
      <w:r w:rsidRPr="00093F89">
        <w:t xml:space="preserve"> Vs. República Dominicana. Excepciones Preliminares, Fondo, Reparaciones y Costas. CIADH , Sentencia de 8 de septiembre de 2005. Serie C No. 130,</w:t>
      </w:r>
    </w:p>
    <w:p w:rsidR="003B6E85" w:rsidRPr="00093F89" w:rsidRDefault="003B6E85" w:rsidP="004551E9">
      <w:pPr>
        <w:pStyle w:val="Prrafodelista"/>
      </w:pPr>
      <w:r w:rsidRPr="00093F89">
        <w:t xml:space="preserve">Caso Comunidad Indígena </w:t>
      </w:r>
      <w:proofErr w:type="spellStart"/>
      <w:r w:rsidRPr="00093F89">
        <w:t>Sawhoyamaxa</w:t>
      </w:r>
      <w:proofErr w:type="spellEnd"/>
      <w:r w:rsidRPr="00093F89">
        <w:t xml:space="preserve"> Vs. Paraguay. Fondo, Reparaciones y Costas. CIADH , Sentencia de 29 de marzo de 2006. Serie C No. 146</w:t>
      </w:r>
    </w:p>
    <w:p w:rsidR="003B6E85" w:rsidRPr="00093F89" w:rsidRDefault="003B6E85" w:rsidP="004551E9">
      <w:pPr>
        <w:pStyle w:val="Prrafodelista"/>
      </w:pPr>
      <w:r w:rsidRPr="0078741B">
        <w:rPr>
          <w:lang w:val="pt-BR"/>
        </w:rPr>
        <w:t xml:space="preserve">Caso Ximenes Lopes Vs. Brasil. </w:t>
      </w:r>
      <w:r w:rsidRPr="00093F89">
        <w:t>Fondo, Reparaciones y Costas. CIADH.</w:t>
      </w:r>
      <w:r>
        <w:t xml:space="preserve"> </w:t>
      </w:r>
      <w:r w:rsidRPr="00093F89">
        <w:t>Sentencia de 4 de julio de 2006. Serie C No. 149</w:t>
      </w:r>
    </w:p>
    <w:p w:rsidR="003B6E85" w:rsidRPr="00093F89" w:rsidRDefault="003B6E85" w:rsidP="004551E9">
      <w:pPr>
        <w:pStyle w:val="Prrafodelista"/>
      </w:pPr>
      <w:r w:rsidRPr="00093F89">
        <w:t xml:space="preserve">Caso Pueblo </w:t>
      </w:r>
      <w:proofErr w:type="spellStart"/>
      <w:r w:rsidRPr="00093F89">
        <w:t>Saramaka</w:t>
      </w:r>
      <w:proofErr w:type="spellEnd"/>
      <w:r w:rsidRPr="00093F89">
        <w:t xml:space="preserve"> Vs. </w:t>
      </w:r>
      <w:proofErr w:type="spellStart"/>
      <w:r w:rsidRPr="00093F89">
        <w:t>Suriname</w:t>
      </w:r>
      <w:proofErr w:type="spellEnd"/>
      <w:r w:rsidRPr="00093F89">
        <w:t>. Excepciones Preliminares, Fondo, Reparaciones y Costas. CIADH , Sentencia de 28 de nov</w:t>
      </w:r>
      <w:r>
        <w:t>iembre de 2007. Serie C No. 172</w:t>
      </w:r>
    </w:p>
    <w:p w:rsidR="003B6E85" w:rsidRPr="00093F89" w:rsidRDefault="003B6E85" w:rsidP="004551E9">
      <w:pPr>
        <w:pStyle w:val="Prrafodelista"/>
      </w:pPr>
      <w:r w:rsidRPr="00093F89">
        <w:lastRenderedPageBreak/>
        <w:t>Caso Radilla Pacheco vs. Estados Unidos Mexicanos. Excepciones Preliminares, Fondo, Reparaciones y Costas. CIADH, Sentencia de 23 de Noviembre de 2009. Serie C No. 209</w:t>
      </w:r>
    </w:p>
    <w:p w:rsidR="003B6E85" w:rsidRPr="00093F89" w:rsidRDefault="003B6E85" w:rsidP="004551E9">
      <w:pPr>
        <w:pStyle w:val="Prrafodelista"/>
      </w:pPr>
      <w:r w:rsidRPr="00093F89">
        <w:t xml:space="preserve">Caso </w:t>
      </w:r>
      <w:proofErr w:type="spellStart"/>
      <w:r w:rsidRPr="00093F89">
        <w:t>Anzualdo</w:t>
      </w:r>
      <w:proofErr w:type="spellEnd"/>
      <w:r w:rsidRPr="00093F89">
        <w:t xml:space="preserve"> Castro Vs. Perú. Excepción Preliminar, Fondo, Reparaciones y Costas. CIADH , Sentencia de 22 de Septiembre de 2009. Serie C No. 202</w:t>
      </w:r>
    </w:p>
    <w:p w:rsidR="003B6E85" w:rsidRPr="00093F89" w:rsidRDefault="003B6E85" w:rsidP="004551E9">
      <w:pPr>
        <w:pStyle w:val="Prrafodelista"/>
      </w:pPr>
      <w:r w:rsidRPr="00093F89">
        <w:t>Caso González Medina y familiares Vs. República Dominicana. Excepciones Preliminares, Fondo, Reparaciones y Costas. CIADH, Sentencia de 27 de febrero de 2012 Serie C No. 240</w:t>
      </w:r>
    </w:p>
    <w:p w:rsidR="003B6E85" w:rsidRPr="00093F89" w:rsidRDefault="003B6E85" w:rsidP="004551E9">
      <w:pPr>
        <w:pStyle w:val="Prrafodelista"/>
      </w:pPr>
      <w:r w:rsidRPr="00093F89">
        <w:t xml:space="preserve">Caso </w:t>
      </w:r>
      <w:proofErr w:type="spellStart"/>
      <w:r w:rsidRPr="00093F89">
        <w:t>Forneron</w:t>
      </w:r>
      <w:proofErr w:type="spellEnd"/>
      <w:r w:rsidRPr="00093F89">
        <w:t xml:space="preserve"> e hija Vs. Argentina. Fondo, Reparaciones y Costas. CIADH. Sentencia de 27 de abril de 2012 Serie C No. 242</w:t>
      </w:r>
    </w:p>
    <w:p w:rsidR="003B6E85" w:rsidRPr="00093F89" w:rsidRDefault="003B6E85" w:rsidP="004551E9">
      <w:pPr>
        <w:pStyle w:val="Prrafodelista"/>
      </w:pPr>
      <w:r w:rsidRPr="00093F89">
        <w:t xml:space="preserve">Caso </w:t>
      </w:r>
      <w:proofErr w:type="spellStart"/>
      <w:r w:rsidRPr="00093F89">
        <w:t>Furlan</w:t>
      </w:r>
      <w:proofErr w:type="spellEnd"/>
      <w:r w:rsidRPr="00093F89">
        <w:t xml:space="preserve"> y Familiares Vs. Argentina. Excepciones Preliminares, Fondo, Reparaciones y Costas. CIADH, Sentencia de 31 de agosto de 2012 Serie C No. 246</w:t>
      </w:r>
    </w:p>
    <w:p w:rsidR="003B6E85" w:rsidRDefault="003B6E85" w:rsidP="004551E9">
      <w:pPr>
        <w:pStyle w:val="Prrafodelista"/>
      </w:pPr>
      <w:r w:rsidRPr="00093F89">
        <w:t>Caso García y Familiares Vs. Guatemala. Fondo, Reparaciones y Costas. CIADH, Sentencia de 29 noviembre de 2012 Serie C No. 258</w:t>
      </w:r>
    </w:p>
    <w:p w:rsidR="003B6E85" w:rsidRPr="00093F89" w:rsidRDefault="003B6E85" w:rsidP="004551E9">
      <w:pPr>
        <w:pStyle w:val="Prrafodelista"/>
      </w:pPr>
      <w:r w:rsidRPr="003139DB">
        <w:t>Opinión Consultiva sobre la Condición Jurídica y Derechos Humanos del Niño</w:t>
      </w:r>
      <w:r w:rsidRPr="00093F89">
        <w:t>. CIADH, OC-17/02 del 28 de agosto de 2002. Serie A No. 17</w:t>
      </w:r>
    </w:p>
    <w:p w:rsidR="003B6E85" w:rsidRDefault="003B6E85" w:rsidP="004551E9">
      <w:pPr>
        <w:pStyle w:val="Prrafodelista"/>
      </w:pPr>
      <w:r w:rsidRPr="003139DB">
        <w:t>Opinión Consultiva sobre el Efecto de las Reservas sobre la Entrada en Vigencia de la Convención Americana sobre Derechos Humanos. CIADH, OC-2/82 del 24 de septiembre de 1982. Serie A No. 2</w:t>
      </w:r>
    </w:p>
    <w:p w:rsidR="003B6E85" w:rsidRDefault="003B6E85" w:rsidP="004551E9">
      <w:pPr>
        <w:pStyle w:val="Prrafodelista"/>
      </w:pPr>
    </w:p>
    <w:p w:rsidR="003B6E85" w:rsidRPr="003139DB" w:rsidRDefault="003B6E85" w:rsidP="004551E9">
      <w:pPr>
        <w:pStyle w:val="Prrafodelista"/>
      </w:pPr>
    </w:p>
    <w:p w:rsidR="003B6E85" w:rsidRPr="00F419DD" w:rsidRDefault="003B6E85" w:rsidP="00F419DD">
      <w:pPr>
        <w:pStyle w:val="Ttulo15"/>
        <w:jc w:val="both"/>
        <w:rPr>
          <w:sz w:val="24"/>
          <w:szCs w:val="24"/>
        </w:rPr>
      </w:pPr>
      <w:r w:rsidRPr="00F419DD">
        <w:rPr>
          <w:sz w:val="24"/>
          <w:szCs w:val="24"/>
        </w:rPr>
        <w:t>III.) INSTRUMENTOS Y TEXTOS DE LA PRACTICA INTERNACIONAL</w:t>
      </w:r>
    </w:p>
    <w:p w:rsidR="003B6E85" w:rsidRPr="003B6E85" w:rsidRDefault="003B6E85" w:rsidP="004551E9"/>
    <w:p w:rsidR="00916035" w:rsidRDefault="003B6E85" w:rsidP="002C1D94">
      <w:pPr>
        <w:pStyle w:val="TITULO15"/>
      </w:pPr>
      <w:r>
        <w:lastRenderedPageBreak/>
        <w:t xml:space="preserve">III.1) </w:t>
      </w:r>
      <w:r w:rsidR="00831A3D" w:rsidRPr="00831A3D">
        <w:t>Tratados Internacionales</w:t>
      </w:r>
    </w:p>
    <w:p w:rsidR="003B6E85" w:rsidRPr="003B6E85" w:rsidRDefault="003B6E85" w:rsidP="004551E9"/>
    <w:p w:rsidR="00831A3D" w:rsidRPr="00912E49" w:rsidRDefault="00831A3D" w:rsidP="004551E9">
      <w:pPr>
        <w:pStyle w:val="Prrafodelista"/>
      </w:pPr>
      <w:r w:rsidRPr="00912E49">
        <w:rPr>
          <w:i/>
        </w:rPr>
        <w:t>Convención Internacional sobre los Derechos de las Personas con Discapacidad</w:t>
      </w:r>
      <w:r w:rsidRPr="00912E49">
        <w:t>, Resolución 60/232 de la Asamblea General de la ONU; A/61/611, de 6 de diciembre de 2006.</w:t>
      </w:r>
    </w:p>
    <w:p w:rsidR="00831A3D" w:rsidRPr="00912E49" w:rsidRDefault="00831A3D" w:rsidP="004551E9">
      <w:pPr>
        <w:pStyle w:val="Prrafodelista"/>
      </w:pPr>
      <w:r w:rsidRPr="00912E49">
        <w:rPr>
          <w:i/>
        </w:rPr>
        <w:t>Carta de las Naciones Unidas</w:t>
      </w:r>
      <w:r>
        <w:t>,</w:t>
      </w:r>
      <w:r w:rsidRPr="00912E49">
        <w:t xml:space="preserve"> suscrita el 26 de junio de 1945 en San Francisco en ocasión de la Conferencia de las Naciones Unidas sobre Organización Internacional.</w:t>
      </w:r>
    </w:p>
    <w:p w:rsidR="00831A3D" w:rsidRPr="00912E49" w:rsidRDefault="00831A3D" w:rsidP="004551E9">
      <w:pPr>
        <w:pStyle w:val="Prrafodelista"/>
      </w:pPr>
      <w:r w:rsidRPr="00912E49">
        <w:rPr>
          <w:i/>
        </w:rPr>
        <w:t>Pacto Internacional de Derechos Civiles y Políticos</w:t>
      </w:r>
      <w:r w:rsidRPr="00912E49">
        <w:t>, Adoptado y abierto a la firma, ratificación y adhesión por la Asamblea General en su resolución 2200 A (XXI), de 16 de diciembre de 1966. Entrada en vigor: 23 de marzo de 1976.</w:t>
      </w:r>
    </w:p>
    <w:p w:rsidR="00831A3D" w:rsidRPr="00912E49" w:rsidRDefault="00831A3D" w:rsidP="004551E9">
      <w:pPr>
        <w:pStyle w:val="Prrafodelista"/>
      </w:pPr>
      <w:r w:rsidRPr="00912E49">
        <w:rPr>
          <w:i/>
        </w:rPr>
        <w:t>Pacto Internacional de Derechos Económicos Sociales y Culturales</w:t>
      </w:r>
      <w:r w:rsidRPr="00912E49">
        <w:t>, Adoptado y abierto a la firma, ratificación y adhesión por la Asamblea General en su resolución 2200 A (XXI), de 16 de diciembre de 1966,  Entrada en vigor: 3 de enero de 1976</w:t>
      </w:r>
    </w:p>
    <w:p w:rsidR="00831A3D" w:rsidRPr="00912E49" w:rsidRDefault="00831A3D" w:rsidP="004551E9">
      <w:pPr>
        <w:pStyle w:val="Prrafodelista"/>
      </w:pPr>
      <w:r w:rsidRPr="00912E49">
        <w:rPr>
          <w:i/>
        </w:rPr>
        <w:t>Convención contra la Tortura y Otros Tratos o Penas Crueles, Inhumanos o Degradantes</w:t>
      </w:r>
      <w:r w:rsidRPr="00912E49">
        <w:t>, Adoptada y abierta a la firma, ratificación y adhesión por la Asamblea General en su resolución 39/46, de 10 de diciembre de 1984. Entrada en vigor: 26 de junio de 1987.</w:t>
      </w:r>
      <w:r w:rsidRPr="00912E49">
        <w:cr/>
      </w:r>
      <w:r w:rsidRPr="00912E49">
        <w:rPr>
          <w:i/>
        </w:rPr>
        <w:t>Convención Interamericana para Prevenir y Sancionar la Tortura</w:t>
      </w:r>
      <w:r w:rsidRPr="00912E49">
        <w:t>, de 09/12/1985. Series de Tratados de la OEA, Vol. 67</w:t>
      </w:r>
    </w:p>
    <w:p w:rsidR="00831A3D" w:rsidRPr="00912E49" w:rsidRDefault="00831A3D" w:rsidP="004551E9">
      <w:pPr>
        <w:pStyle w:val="Prrafodelista"/>
      </w:pPr>
      <w:r w:rsidRPr="00912E49">
        <w:rPr>
          <w:i/>
        </w:rPr>
        <w:t>Protocolo Facultativo de la Convención contra la Tortura y Otros Tratos o Penas Crueles, Inhumanos o Degradantes</w:t>
      </w:r>
      <w:r>
        <w:t>,</w:t>
      </w:r>
      <w:r w:rsidRPr="00912E49">
        <w:t xml:space="preserve"> Adoptada y abierta a la firma, ratificación y adhesión por la Asamblea General en su Resolución 77/199, de 18 de diciembre de 2002. Entrada en vigor: 22 de junio, 2006</w:t>
      </w:r>
    </w:p>
    <w:p w:rsidR="00831A3D" w:rsidRPr="00912E49" w:rsidRDefault="00831A3D" w:rsidP="004551E9">
      <w:pPr>
        <w:pStyle w:val="Prrafodelista"/>
      </w:pPr>
      <w:r w:rsidRPr="00912E49">
        <w:rPr>
          <w:i/>
        </w:rPr>
        <w:t>Convención sobre la eliminación de todas las formas de discriminación contra la mujer</w:t>
      </w:r>
      <w:r w:rsidRPr="00912E49">
        <w:t xml:space="preserve">, Adoptada y abierta a la firma y </w:t>
      </w:r>
      <w:r w:rsidRPr="00912E49">
        <w:lastRenderedPageBreak/>
        <w:t>ratificación, o adhesión, por la Asamblea General en su resolución 34/180, de 18 de diciembre de 1979, Entrada en vigor: 3 de septiembre de 1981, de conformidad con el artículo 27 (1)</w:t>
      </w:r>
    </w:p>
    <w:p w:rsidR="00831A3D" w:rsidRPr="00912E49" w:rsidRDefault="00831A3D" w:rsidP="004551E9">
      <w:pPr>
        <w:pStyle w:val="Prrafodelista"/>
      </w:pPr>
      <w:r w:rsidRPr="00912E49">
        <w:t>Protocolo Facultativo de la Convención sobre la eliminación de todas las formas de discriminación contra la mujer, Adoptado por la Asamblea General en su resolución A/54/4 de 6 de octubre de 1999</w:t>
      </w:r>
    </w:p>
    <w:p w:rsidR="00831A3D" w:rsidRPr="00912E49" w:rsidRDefault="00831A3D" w:rsidP="004551E9">
      <w:pPr>
        <w:pStyle w:val="Prrafodelista"/>
      </w:pPr>
      <w:r w:rsidRPr="00912E49">
        <w:rPr>
          <w:i/>
        </w:rPr>
        <w:t>Convención sobre los Derechos del Niño</w:t>
      </w:r>
      <w:r w:rsidRPr="00912E49">
        <w:t>, Adoptada y abierta a la firma y ratificación por la Asamblea General en su resolución 44/25, de 20 de noviembre de 1989, Entrada en vigor: 2 de septiembre de 1990, de conformidad con el artículo 49</w:t>
      </w:r>
    </w:p>
    <w:p w:rsidR="00831A3D" w:rsidRPr="00912E49" w:rsidRDefault="00831A3D" w:rsidP="004551E9">
      <w:pPr>
        <w:pStyle w:val="Prrafodelista"/>
      </w:pPr>
      <w:r w:rsidRPr="00912E49">
        <w:t>Protocolo facultativo de la Convención sobre los Derechos del Niño relativo a la venta de niños, la prostitución infantil y la utilización de niños en la pornografía</w:t>
      </w:r>
      <w:r>
        <w:t>,</w:t>
      </w:r>
      <w:r w:rsidRPr="00912E49">
        <w:t xml:space="preserve"> Resolución A/RES/54/263 del 25 de mayo de 2000,entrada en vigor el 18 de enero de 2002;</w:t>
      </w:r>
    </w:p>
    <w:p w:rsidR="00831A3D" w:rsidRPr="00912E49" w:rsidRDefault="00831A3D" w:rsidP="004551E9">
      <w:pPr>
        <w:pStyle w:val="Prrafodelista"/>
      </w:pPr>
      <w:r w:rsidRPr="00912E49">
        <w:t>Protocolo facultativo de la Convención sobre los Derechos del Niño relativo a la participación de niños en los conflictos armados, Resolución A/RES/54/263 del 25 de mayo de 2000, entrada en vigor el 12 de febrero de 2002</w:t>
      </w:r>
    </w:p>
    <w:p w:rsidR="00831A3D" w:rsidRPr="00912E49" w:rsidRDefault="00831A3D" w:rsidP="004551E9">
      <w:pPr>
        <w:pStyle w:val="Prrafodelista"/>
      </w:pPr>
      <w:r w:rsidRPr="00912E49">
        <w:t>Protocolo facultativo de la Convención sobre los Derechos del Niño relativo a un procedimiento de comunicaciones, A/HRC/17/L.8, 9 de junio de 2011</w:t>
      </w:r>
    </w:p>
    <w:p w:rsidR="00831A3D" w:rsidRPr="00912E49" w:rsidRDefault="00831A3D" w:rsidP="004551E9">
      <w:pPr>
        <w:pStyle w:val="Prrafodelista"/>
      </w:pPr>
      <w:r w:rsidRPr="00912E49">
        <w:t>Convención Interamericana para la eliminación de todas las formas de discriminación contra las personas con discapacidad, adoptada en Guatemala el 7 de junio de 1999, y que entró en vigor el 14 de septiembre de 2001</w:t>
      </w:r>
    </w:p>
    <w:p w:rsidR="00831A3D" w:rsidRPr="00A06C63" w:rsidRDefault="00831A3D" w:rsidP="004551E9">
      <w:pPr>
        <w:pStyle w:val="Prrafodelista"/>
      </w:pPr>
      <w:r w:rsidRPr="00A06C63">
        <w:t>Convención de Viena sobre el Derecho de los Tratado de 1969</w:t>
      </w:r>
      <w:r w:rsidR="003600C0" w:rsidRPr="00A06C63">
        <w:t xml:space="preserve">, U.N. </w:t>
      </w:r>
      <w:proofErr w:type="spellStart"/>
      <w:r w:rsidR="003600C0" w:rsidRPr="00A06C63">
        <w:t>Doc</w:t>
      </w:r>
      <w:proofErr w:type="spellEnd"/>
      <w:r w:rsidR="003600C0" w:rsidRPr="00A06C63">
        <w:t xml:space="preserve"> A/CONF.39/27 (1969), 1155 U.N.T.S. 331, </w:t>
      </w:r>
      <w:proofErr w:type="spellStart"/>
      <w:r w:rsidR="003600C0" w:rsidRPr="00A06C63">
        <w:t>entered</w:t>
      </w:r>
      <w:proofErr w:type="spellEnd"/>
      <w:r w:rsidR="003600C0" w:rsidRPr="00A06C63">
        <w:t xml:space="preserve"> </w:t>
      </w:r>
      <w:proofErr w:type="spellStart"/>
      <w:r w:rsidR="003600C0" w:rsidRPr="00A06C63">
        <w:t>into</w:t>
      </w:r>
      <w:proofErr w:type="spellEnd"/>
      <w:r w:rsidR="003600C0" w:rsidRPr="00A06C63">
        <w:t xml:space="preserve"> </w:t>
      </w:r>
      <w:proofErr w:type="spellStart"/>
      <w:r w:rsidR="003600C0" w:rsidRPr="00A06C63">
        <w:t>force</w:t>
      </w:r>
      <w:proofErr w:type="spellEnd"/>
      <w:r w:rsidR="003600C0" w:rsidRPr="00A06C63">
        <w:t xml:space="preserve"> </w:t>
      </w:r>
      <w:proofErr w:type="spellStart"/>
      <w:r w:rsidR="003600C0" w:rsidRPr="00A06C63">
        <w:t>January</w:t>
      </w:r>
      <w:proofErr w:type="spellEnd"/>
      <w:r w:rsidR="003600C0" w:rsidRPr="00A06C63">
        <w:t xml:space="preserve"> 27, 1980</w:t>
      </w:r>
    </w:p>
    <w:p w:rsidR="00831A3D" w:rsidRPr="00A06C63" w:rsidRDefault="00831A3D" w:rsidP="004551E9">
      <w:pPr>
        <w:pStyle w:val="Prrafodelista"/>
      </w:pPr>
      <w:r w:rsidRPr="00A06C63">
        <w:t>Protocolo Facultativo de la Convención contra la Tortura y Otros Tratos o Penas Crueles, Inhumanos o Degradantes</w:t>
      </w:r>
      <w:r w:rsidR="003600C0" w:rsidRPr="00A06C63">
        <w:t xml:space="preserve">, Aprobada el 18 de diciembre de 2002 en el quincuagésimo séptimo período de </w:t>
      </w:r>
      <w:r w:rsidR="003600C0" w:rsidRPr="00A06C63">
        <w:lastRenderedPageBreak/>
        <w:t>sesiones de la Asamblea General de las Naciones Unidas en su resolución A/RES/57/1999</w:t>
      </w:r>
      <w:r w:rsidR="00A06C63" w:rsidRPr="00A06C63">
        <w:t>;</w:t>
      </w:r>
    </w:p>
    <w:p w:rsidR="00831A3D" w:rsidRPr="00A06C63" w:rsidRDefault="00831A3D" w:rsidP="004551E9">
      <w:pPr>
        <w:pStyle w:val="Prrafodelista"/>
      </w:pPr>
      <w:r w:rsidRPr="00A06C63">
        <w:t xml:space="preserve">Convenio </w:t>
      </w:r>
      <w:proofErr w:type="gramStart"/>
      <w:r w:rsidRPr="00A06C63">
        <w:t>Europeo</w:t>
      </w:r>
      <w:proofErr w:type="gramEnd"/>
      <w:r w:rsidRPr="00A06C63">
        <w:t xml:space="preserve"> de Derechos Humanos</w:t>
      </w:r>
      <w:r w:rsidR="00A06C63" w:rsidRPr="00A06C63">
        <w:t>, adoptado por el Consejo de Europa el 4 de noviembre de 1950;</w:t>
      </w:r>
    </w:p>
    <w:p w:rsidR="00831A3D" w:rsidRPr="00A06C63" w:rsidRDefault="00831A3D" w:rsidP="004551E9">
      <w:pPr>
        <w:pStyle w:val="Prrafodelista"/>
      </w:pPr>
      <w:r w:rsidRPr="00A06C63">
        <w:t>Carta Africana sobre los Derechos Humanos y de los Pueblos</w:t>
      </w:r>
      <w:r w:rsidR="00A06C63" w:rsidRPr="00A06C63">
        <w:t xml:space="preserve">, Aprobada el 27 de julio de 1981, durante la XVIII Asamblea de Jefes de Estado y Gobierno de la Organización de la Unidad Africana, reunida en Nairobi, </w:t>
      </w:r>
      <w:proofErr w:type="spellStart"/>
      <w:r w:rsidR="00A06C63" w:rsidRPr="00A06C63">
        <w:t>Kenya</w:t>
      </w:r>
      <w:proofErr w:type="spellEnd"/>
      <w:r w:rsidR="00A06C63" w:rsidRPr="00A06C63">
        <w:t>;</w:t>
      </w:r>
    </w:p>
    <w:p w:rsidR="00831A3D" w:rsidRPr="004551E9" w:rsidRDefault="00831A3D" w:rsidP="004551E9">
      <w:pPr>
        <w:pStyle w:val="Prrafodelista"/>
        <w:rPr>
          <w:lang w:val="en-US"/>
        </w:rPr>
      </w:pPr>
      <w:r w:rsidRPr="004551E9">
        <w:rPr>
          <w:lang w:val="en-US"/>
        </w:rPr>
        <w:t>Convention for the protection of Human Rights and Dignity of the Human Being with regard to the Application of Biology and Medicine: Convention on Human Rights and Biomedicine, CETS No.: 164, Oviedo, 4/4/1997</w:t>
      </w:r>
    </w:p>
    <w:p w:rsidR="003B6E85" w:rsidRPr="004551E9" w:rsidRDefault="003B6E85" w:rsidP="004551E9">
      <w:pPr>
        <w:pStyle w:val="Ttulo4"/>
        <w:rPr>
          <w:lang w:val="en-US"/>
        </w:rPr>
      </w:pPr>
    </w:p>
    <w:p w:rsidR="003B6E85" w:rsidRDefault="003B6E85" w:rsidP="002C1D94">
      <w:pPr>
        <w:pStyle w:val="TITULO15"/>
      </w:pPr>
      <w:r>
        <w:t xml:space="preserve">III.2) </w:t>
      </w:r>
      <w:r w:rsidRPr="003B6E85">
        <w:t xml:space="preserve">Resoluciones e informes de </w:t>
      </w:r>
      <w:r>
        <w:t>Ó</w:t>
      </w:r>
      <w:r w:rsidRPr="003B6E85">
        <w:t xml:space="preserve">rganos </w:t>
      </w:r>
      <w:r>
        <w:t>P</w:t>
      </w:r>
      <w:r w:rsidRPr="003B6E85">
        <w:t>rincipales de Naciones Unidas y de Organismos Es</w:t>
      </w:r>
      <w:r>
        <w:t xml:space="preserve">pecializados </w:t>
      </w:r>
    </w:p>
    <w:p w:rsidR="003B6E85" w:rsidRPr="003B6E85" w:rsidRDefault="003B6E85" w:rsidP="004551E9"/>
    <w:p w:rsidR="003B6E85" w:rsidRPr="00F419DD" w:rsidRDefault="003B6E85" w:rsidP="002C1D94">
      <w:pPr>
        <w:pStyle w:val="titulo150"/>
        <w:rPr>
          <w:b/>
        </w:rPr>
      </w:pPr>
      <w:r w:rsidRPr="00F419DD">
        <w:rPr>
          <w:b/>
        </w:rPr>
        <w:t>III.2.1) Resoluciones de la Asamblea General</w:t>
      </w:r>
    </w:p>
    <w:p w:rsidR="003B6E85" w:rsidRPr="003B6E85" w:rsidRDefault="003B6E85" w:rsidP="004551E9"/>
    <w:p w:rsidR="003B6E85" w:rsidRPr="005153D8" w:rsidRDefault="003B6E85" w:rsidP="004551E9">
      <w:pPr>
        <w:pStyle w:val="Prrafodelista"/>
      </w:pPr>
      <w:r w:rsidRPr="005153D8">
        <w:t xml:space="preserve">A/RES/32/133, 16 de diciembre de 1977, Año Internacional de los Impedidos; </w:t>
      </w:r>
    </w:p>
    <w:p w:rsidR="003B6E85" w:rsidRPr="005153D8" w:rsidRDefault="003B6E85" w:rsidP="004551E9">
      <w:pPr>
        <w:pStyle w:val="Prrafodelista"/>
      </w:pPr>
      <w:r w:rsidRPr="005153D8">
        <w:t xml:space="preserve">A/RES/33/170, 20 de diciembre de 1978, Año Internacional de los Impedidos; </w:t>
      </w:r>
    </w:p>
    <w:p w:rsidR="003B6E85" w:rsidRPr="005153D8" w:rsidRDefault="003B6E85" w:rsidP="004551E9">
      <w:pPr>
        <w:pStyle w:val="Prrafodelista"/>
      </w:pPr>
      <w:r w:rsidRPr="005153D8">
        <w:t xml:space="preserve">A/RES/34/154, 17 de diciembre de 1979, Año Internacional de los Impedidos; </w:t>
      </w:r>
    </w:p>
    <w:p w:rsidR="003B6E85" w:rsidRPr="005153D8" w:rsidRDefault="003B6E85" w:rsidP="004551E9">
      <w:pPr>
        <w:pStyle w:val="Prrafodelista"/>
      </w:pPr>
      <w:r w:rsidRPr="005153D8">
        <w:t xml:space="preserve">A/RES/35/133, 11 de diciembre de 1980, Año Internacional de los Impedidos; </w:t>
      </w:r>
    </w:p>
    <w:p w:rsidR="003B6E85" w:rsidRPr="005153D8" w:rsidRDefault="003B6E85" w:rsidP="004551E9">
      <w:pPr>
        <w:pStyle w:val="Prrafodelista"/>
      </w:pPr>
      <w:r w:rsidRPr="005153D8">
        <w:t xml:space="preserve">A/RES/36/77, 8 de diciembre de 1981, Año Internacional de los Impedidos. </w:t>
      </w:r>
    </w:p>
    <w:p w:rsidR="003B6E85" w:rsidRPr="005153D8" w:rsidRDefault="003B6E85" w:rsidP="004551E9">
      <w:pPr>
        <w:pStyle w:val="Prrafodelista"/>
      </w:pPr>
      <w:r w:rsidRPr="005153D8">
        <w:t xml:space="preserve">A/RES/37/53, 3 de diciembre de 1982, Ejecución del Programa de Acción Mundial para los Impedidos; </w:t>
      </w:r>
    </w:p>
    <w:p w:rsidR="003B6E85" w:rsidRPr="005153D8" w:rsidRDefault="003B6E85" w:rsidP="004551E9">
      <w:pPr>
        <w:pStyle w:val="Prrafodelista"/>
      </w:pPr>
      <w:r w:rsidRPr="005153D8">
        <w:lastRenderedPageBreak/>
        <w:t xml:space="preserve">A/RES/38/28, 22 de noviembre de 1983, Ejecución del Programa de Acción Mundial para los Impedidos; </w:t>
      </w:r>
    </w:p>
    <w:p w:rsidR="003B6E85" w:rsidRPr="005153D8" w:rsidRDefault="003B6E85" w:rsidP="004551E9">
      <w:pPr>
        <w:pStyle w:val="Prrafodelista"/>
      </w:pPr>
      <w:r w:rsidRPr="005153D8">
        <w:t xml:space="preserve">A/RES/39/26, 23 de noviembre de 1984, Decenio de las Naciones Unidas para los Impedidos; A/RES/40/31, 29 de noviembre de 1985, Ejecución del Programa de Acción Mundial para los Impedidos y Decenio de las Naciones Unidas para los Impedidos; </w:t>
      </w:r>
    </w:p>
    <w:p w:rsidR="003B6E85" w:rsidRPr="005153D8" w:rsidRDefault="003B6E85" w:rsidP="004551E9">
      <w:pPr>
        <w:pStyle w:val="Prrafodelista"/>
      </w:pPr>
      <w:r w:rsidRPr="005153D8">
        <w:t xml:space="preserve">A/RES/41/106, 4 de diciembre de 1986, Ejecución del Programa de Acción Mundial para los Impedidos y Decenio de las Naciones Unidas para los Impedidos; </w:t>
      </w:r>
    </w:p>
    <w:p w:rsidR="003B6E85" w:rsidRPr="005153D8" w:rsidRDefault="003B6E85" w:rsidP="004551E9">
      <w:pPr>
        <w:pStyle w:val="Prrafodelista"/>
      </w:pPr>
      <w:r w:rsidRPr="005153D8">
        <w:t xml:space="preserve">A/RES/42/58, 30 de noviembre de 1987, Ejecución del Programa de Acción Mundial para los Impedidos y Decenio de las Naciones Unidas para los Impedidos; </w:t>
      </w:r>
    </w:p>
    <w:p w:rsidR="003B6E85" w:rsidRPr="005153D8" w:rsidRDefault="003B6E85" w:rsidP="004551E9">
      <w:pPr>
        <w:pStyle w:val="Prrafodelista"/>
      </w:pPr>
      <w:r w:rsidRPr="005153D8">
        <w:t xml:space="preserve">A/RES/43/98, 8 de diciembre de 1988, Ejecución del Programa de Acción Mundial para los Impedidos y Decenio de las Naciones Unidas para los Impedidos; </w:t>
      </w:r>
    </w:p>
    <w:p w:rsidR="003B6E85" w:rsidRPr="005153D8" w:rsidRDefault="003B6E85" w:rsidP="004551E9">
      <w:pPr>
        <w:pStyle w:val="Prrafodelista"/>
      </w:pPr>
      <w:r w:rsidRPr="005153D8">
        <w:t xml:space="preserve">A/RES/44/70, 8 de diciembre de 1989, Ejecución del Programa de Acción Mundial para los Impedidos y Decenio de las Naciones Unidas para los Impedidos; </w:t>
      </w:r>
    </w:p>
    <w:p w:rsidR="003B6E85" w:rsidRPr="005153D8" w:rsidRDefault="003B6E85" w:rsidP="004551E9">
      <w:pPr>
        <w:pStyle w:val="Prrafodelista"/>
      </w:pPr>
      <w:r w:rsidRPr="005153D8">
        <w:t xml:space="preserve">A/RES/45/91, 20 de diciembre de 1990, Ejecución del Programa de Acción Mundial para los Impedidos y Decenio de las Naciones Unidas para los Impedidos; </w:t>
      </w:r>
    </w:p>
    <w:p w:rsidR="003B6E85" w:rsidRPr="005153D8" w:rsidRDefault="003B6E85" w:rsidP="004551E9">
      <w:pPr>
        <w:pStyle w:val="Prrafodelista"/>
      </w:pPr>
      <w:r w:rsidRPr="005153D8">
        <w:t xml:space="preserve">A/RES/46/96, 16 de diciembre de 1991, Ejecución del Programa de Acción Mundial para los Impedidos y Decenio de las Naciones Unidas para los Impedidos; </w:t>
      </w:r>
    </w:p>
    <w:p w:rsidR="003B6E85" w:rsidRPr="005153D8" w:rsidRDefault="003B6E85" w:rsidP="004551E9">
      <w:pPr>
        <w:pStyle w:val="Prrafodelista"/>
      </w:pPr>
      <w:r w:rsidRPr="005153D8">
        <w:t xml:space="preserve">A/RES/47/3, 14 de octubre de 1992, Día Internacional de los Impedidos; </w:t>
      </w:r>
    </w:p>
    <w:p w:rsidR="003B6E85" w:rsidRPr="005153D8" w:rsidRDefault="003B6E85" w:rsidP="004551E9">
      <w:pPr>
        <w:pStyle w:val="Prrafodelista"/>
      </w:pPr>
      <w:r w:rsidRPr="005153D8">
        <w:t xml:space="preserve">A/RES/52/82, 12 de diciembre de 1997, Aplicación del Programa de Acción Mundial para los Impedidos: hacia una sociedad para todos en el siglo XXI; </w:t>
      </w:r>
    </w:p>
    <w:p w:rsidR="003B6E85" w:rsidRPr="005153D8" w:rsidRDefault="003B6E85" w:rsidP="004551E9">
      <w:pPr>
        <w:pStyle w:val="Prrafodelista"/>
      </w:pPr>
      <w:r w:rsidRPr="005153D8">
        <w:lastRenderedPageBreak/>
        <w:t xml:space="preserve">A/RES/54/121, 17 de diciembre de 1999, Aplicación del Programa de Acción Mundial para los Impedidos: hacia una sociedad para todos en el siglo XXI; </w:t>
      </w:r>
    </w:p>
    <w:p w:rsidR="003B6E85" w:rsidRPr="005153D8" w:rsidRDefault="003B6E85" w:rsidP="004551E9">
      <w:pPr>
        <w:pStyle w:val="Prrafodelista"/>
      </w:pPr>
      <w:r w:rsidRPr="005153D8">
        <w:t xml:space="preserve">A/RES/56/115, 19 de diciembre de 2001, Aplicación del Programa de Acción Mundial para los Impedidos: hacia una sociedad para todos en el siglo XXI; </w:t>
      </w:r>
    </w:p>
    <w:p w:rsidR="003B6E85" w:rsidRPr="005153D8" w:rsidRDefault="003B6E85" w:rsidP="004551E9">
      <w:pPr>
        <w:pStyle w:val="Prrafodelista"/>
      </w:pPr>
      <w:r w:rsidRPr="005153D8">
        <w:t xml:space="preserve">A/RES/58/132, 22 de diciembre de 2003, Aplicación del Programa de Acción Mundial para los Impedidos: hacia una sociedad para todos en el siglo XXI; </w:t>
      </w:r>
    </w:p>
    <w:p w:rsidR="003B6E85" w:rsidRPr="006851E2" w:rsidRDefault="003B6E85" w:rsidP="004551E9">
      <w:pPr>
        <w:pStyle w:val="Prrafodelista"/>
      </w:pPr>
      <w:r w:rsidRPr="006851E2">
        <w:t xml:space="preserve">A/RES/60/131, 26 de enero de 2006, Aplicación del Programa de Acción Mundial para los Impedidos: realización de los objetivos de desarrollo del Milenio para las personas con discapacidad; </w:t>
      </w:r>
    </w:p>
    <w:p w:rsidR="003B6E85" w:rsidRPr="006851E2" w:rsidRDefault="003B6E85" w:rsidP="004551E9">
      <w:pPr>
        <w:pStyle w:val="Prrafodelista"/>
      </w:pPr>
      <w:r w:rsidRPr="006851E2">
        <w:t>A/RES/62/127, 24 de enero de 2008, Aplicación del Programa de Acción Mundial para las Personas con Discapacidad: realización de los objetivos de desarrollo del Milenio para las personas con discapacidad.</w:t>
      </w:r>
    </w:p>
    <w:p w:rsidR="003B6E85" w:rsidRPr="003B6E85" w:rsidRDefault="003B6E85" w:rsidP="004551E9">
      <w:pPr>
        <w:pStyle w:val="Prrafodelista"/>
      </w:pPr>
      <w:r w:rsidRPr="006851E2">
        <w:t xml:space="preserve">Resolución de la Asamblea General de la ONU sobre Instituciones nacionales de promoción y protección de los derechos humanos (A/RES/48/134, de 4 de marzo de </w:t>
      </w:r>
      <w:r w:rsidRPr="003B6E85">
        <w:t>1994).</w:t>
      </w:r>
    </w:p>
    <w:p w:rsidR="003B6E85" w:rsidRPr="003B6E85" w:rsidRDefault="003B6E85" w:rsidP="004551E9">
      <w:pPr>
        <w:pStyle w:val="Prrafodelista"/>
      </w:pPr>
      <w:r w:rsidRPr="003B6E85">
        <w:rPr>
          <w:i/>
        </w:rPr>
        <w:t xml:space="preserve">Reglas mínimas para el tratamiento de los reclusos, </w:t>
      </w:r>
      <w:r w:rsidRPr="003B6E85">
        <w:t>aprobadas por el Consejo Económico y Social, resoluciones 663C (XXIV) de 31 de julio de 1957 y 2076 (LXII) de 13 de mayo de 1977;</w:t>
      </w:r>
    </w:p>
    <w:p w:rsidR="003B6E85" w:rsidRPr="003B6E85" w:rsidRDefault="003B6E85" w:rsidP="004551E9">
      <w:pPr>
        <w:pStyle w:val="Prrafodelista"/>
      </w:pPr>
      <w:r w:rsidRPr="003B6E85">
        <w:rPr>
          <w:i/>
        </w:rPr>
        <w:t xml:space="preserve">Principios básicos para el tratamiento de los reclusos, </w:t>
      </w:r>
      <w:r w:rsidRPr="003B6E85">
        <w:t>Adoptados y proclamados por la Asamblea General en su resolución 45/111, de 14 de diciembre de 1990;</w:t>
      </w:r>
    </w:p>
    <w:p w:rsidR="003B6E85" w:rsidRPr="003B6E85" w:rsidRDefault="003B6E85" w:rsidP="004551E9">
      <w:pPr>
        <w:pStyle w:val="Prrafodelista"/>
      </w:pPr>
      <w:r w:rsidRPr="003B6E85">
        <w:t>Conjunto de Principios para la protección de todas las personas sometidas a cualquier forma de detención o prisión, Adoptado por la Asamblea General en su resolución 43/173, de 9 de diciembre de 1988</w:t>
      </w:r>
    </w:p>
    <w:p w:rsidR="003B6E85" w:rsidRPr="003B6E85" w:rsidRDefault="003B6E85" w:rsidP="004551E9">
      <w:pPr>
        <w:pStyle w:val="Prrafodelista"/>
        <w:rPr>
          <w:i/>
        </w:rPr>
      </w:pPr>
      <w:r w:rsidRPr="003B6E85">
        <w:rPr>
          <w:i/>
        </w:rPr>
        <w:lastRenderedPageBreak/>
        <w:t xml:space="preserve">Declaración Universal de Derechos Humanos, </w:t>
      </w:r>
      <w:r w:rsidRPr="003B6E85">
        <w:t>Adoptada y proclamada por la Asamblea General en su resolución 217 A (III), de 10 de diciembre de 1948.</w:t>
      </w:r>
    </w:p>
    <w:p w:rsidR="003B6E85" w:rsidRPr="003B6E85" w:rsidRDefault="003B6E85" w:rsidP="004551E9">
      <w:pPr>
        <w:pStyle w:val="Prrafodelista"/>
        <w:rPr>
          <w:i/>
        </w:rPr>
      </w:pPr>
      <w:r w:rsidRPr="003B6E85">
        <w:rPr>
          <w:i/>
        </w:rPr>
        <w:t xml:space="preserve">Declaración de los Derechos del Retrasado Mental, </w:t>
      </w:r>
      <w:r w:rsidRPr="003B6E85">
        <w:t>Proclamada por la Asamblea General en su resolución 2856 (XXVI), de 20 de diciembre de 1971.</w:t>
      </w:r>
    </w:p>
    <w:p w:rsidR="003B6E85" w:rsidRPr="003B6E85" w:rsidRDefault="003B6E85" w:rsidP="004551E9">
      <w:pPr>
        <w:pStyle w:val="Prrafodelista"/>
      </w:pPr>
      <w:r w:rsidRPr="003B6E85">
        <w:rPr>
          <w:i/>
        </w:rPr>
        <w:t xml:space="preserve">Declaración de los Derechos de los Impedidos, </w:t>
      </w:r>
      <w:r w:rsidRPr="003B6E85">
        <w:t>Proclamada por la Asamblea General en su resolución 3447 (XXX), de 9 de diciembre de 1975.</w:t>
      </w:r>
    </w:p>
    <w:p w:rsidR="003B6E85" w:rsidRPr="003B6E85" w:rsidRDefault="003B6E85" w:rsidP="004551E9">
      <w:pPr>
        <w:pStyle w:val="Prrafodelista"/>
      </w:pPr>
      <w:r w:rsidRPr="003B6E85">
        <w:rPr>
          <w:i/>
        </w:rPr>
        <w:t xml:space="preserve">Año Internacional de los Impedidos, </w:t>
      </w:r>
      <w:r w:rsidRPr="003B6E85">
        <w:t>Resolución de la Asamblea General 31/123 del 16 de diciembre de 1976.</w:t>
      </w:r>
    </w:p>
    <w:p w:rsidR="003B6E85" w:rsidRPr="003B6E85" w:rsidRDefault="003B6E85" w:rsidP="004551E9">
      <w:pPr>
        <w:pStyle w:val="Prrafodelista"/>
      </w:pPr>
      <w:r w:rsidRPr="003B6E85">
        <w:rPr>
          <w:i/>
        </w:rPr>
        <w:t xml:space="preserve">Programa de Acción Mundial para los Impedidos, </w:t>
      </w:r>
      <w:r w:rsidRPr="003B6E85">
        <w:t>Resolución de la Asamblea General 37/52, 3 de diciembre, de 1982.</w:t>
      </w:r>
    </w:p>
    <w:p w:rsidR="003B6E85" w:rsidRPr="003B6E85" w:rsidRDefault="003B6E85" w:rsidP="004551E9">
      <w:pPr>
        <w:pStyle w:val="Prrafodelista"/>
      </w:pPr>
      <w:r w:rsidRPr="003B6E85">
        <w:rPr>
          <w:i/>
        </w:rPr>
        <w:t xml:space="preserve">Directrices de Tallin para el desarrollo de los recursos humanos en la esfera de los impedidos, </w:t>
      </w:r>
      <w:r w:rsidRPr="003B6E85">
        <w:t>Ejecución del Programa de Acción Mundial para los Impedidos y Decenio de las Naciones Unidas para los Impedidos - A/RES/44/70 - 8 diciembre 1989.</w:t>
      </w:r>
    </w:p>
    <w:p w:rsidR="003B6E85" w:rsidRPr="003B6E85" w:rsidRDefault="003B6E85" w:rsidP="004551E9">
      <w:pPr>
        <w:pStyle w:val="Prrafodelista"/>
      </w:pPr>
      <w:r w:rsidRPr="003B6E85">
        <w:t>Principios para la protección de los enfermos mentales y para el mejoramiento de la atención de la salud mental, Resolución de la Asamblea General 46/119, de 17 de diciembre de 1991.</w:t>
      </w:r>
    </w:p>
    <w:p w:rsidR="003B6E85" w:rsidRPr="003B6E85" w:rsidRDefault="003B6E85" w:rsidP="004551E9">
      <w:pPr>
        <w:pStyle w:val="Prrafodelista"/>
      </w:pPr>
      <w:r w:rsidRPr="003B6E85">
        <w:t>Normas Uniformes sobre la igualdad de oportunidades para las personas con discapacidad, A/RES/48/96, 20 de diciembre de 1993.</w:t>
      </w:r>
    </w:p>
    <w:p w:rsidR="003B6E85" w:rsidRPr="003B6E85" w:rsidRDefault="003B6E85" w:rsidP="004551E9">
      <w:pPr>
        <w:pStyle w:val="Prrafodelista"/>
        <w:rPr>
          <w:i/>
        </w:rPr>
      </w:pPr>
      <w:r w:rsidRPr="003B6E85">
        <w:rPr>
          <w:i/>
        </w:rPr>
        <w:t xml:space="preserve">Declaración y el Programa de Acción de Viena </w:t>
      </w:r>
      <w:r w:rsidRPr="003B6E85">
        <w:t>aprobados por la Conferencia Mundial de Derechos Humanos el 25 de junio de 1993, A/CONF.157/23, de  12 de julio de 1993</w:t>
      </w:r>
    </w:p>
    <w:p w:rsidR="003B6E85" w:rsidRPr="003B6E85" w:rsidRDefault="003B6E85" w:rsidP="004551E9">
      <w:pPr>
        <w:pStyle w:val="Prrafodelista"/>
      </w:pPr>
      <w:r w:rsidRPr="003B6E85">
        <w:t xml:space="preserve">Declaración de Naciones Unidas sobre el derecho de las víctimas de violaciones manifiestas de las normas internacionales de derechos humanos y de violaciones graves del derecho internacional humanitario a interponer recursos y obtener reparaciones (A/RES/60/147, de 21 de marzo de 2006) </w:t>
      </w:r>
    </w:p>
    <w:p w:rsidR="003B6E85" w:rsidRPr="003B6E85" w:rsidRDefault="003B6E85" w:rsidP="004551E9">
      <w:pPr>
        <w:pStyle w:val="Prrafodelista"/>
      </w:pPr>
      <w:r w:rsidRPr="003B6E85">
        <w:lastRenderedPageBreak/>
        <w:t>Conjunto de Principios para la Protección y la Promoción de los derechos humanos mediante la lucha contra la impunidad (E/CN.4/2005/102/Add.1, de 8 de febrero de 2005)</w:t>
      </w:r>
    </w:p>
    <w:p w:rsidR="003B6E85" w:rsidRPr="006851E2" w:rsidRDefault="003B6E85" w:rsidP="002C1D94">
      <w:pPr>
        <w:pStyle w:val="titulo150"/>
      </w:pPr>
    </w:p>
    <w:p w:rsidR="003B6E85" w:rsidRPr="00F419DD" w:rsidRDefault="003B6E85" w:rsidP="002C1D94">
      <w:pPr>
        <w:pStyle w:val="titulo150"/>
        <w:rPr>
          <w:b/>
        </w:rPr>
      </w:pPr>
      <w:r w:rsidRPr="00F419DD">
        <w:rPr>
          <w:b/>
        </w:rPr>
        <w:t>III.2.2.) Informes del Secretario General</w:t>
      </w:r>
    </w:p>
    <w:p w:rsidR="003B6E85" w:rsidRPr="003B6E85" w:rsidRDefault="003B6E85" w:rsidP="004551E9"/>
    <w:p w:rsidR="003B6E85" w:rsidRPr="005153D8" w:rsidRDefault="003B6E85" w:rsidP="004551E9">
      <w:pPr>
        <w:pStyle w:val="Prrafodelista"/>
      </w:pPr>
      <w:r w:rsidRPr="005153D8">
        <w:t xml:space="preserve">Informe del Secretario General 1994, Aplicación del Programa de Acción Mundial para los Impedidos, A/RES/49/435; </w:t>
      </w:r>
    </w:p>
    <w:p w:rsidR="003B6E85" w:rsidRPr="005153D8" w:rsidRDefault="003B6E85" w:rsidP="004551E9">
      <w:pPr>
        <w:pStyle w:val="Prrafodelista"/>
      </w:pPr>
      <w:r w:rsidRPr="005153D8">
        <w:t xml:space="preserve">Informe del Secretario General 1997, Examen y evaluación del Programa de Acción Mundial para los Impedidos, A/RES/52/351; </w:t>
      </w:r>
    </w:p>
    <w:p w:rsidR="003B6E85" w:rsidRPr="005153D8" w:rsidRDefault="003B6E85" w:rsidP="004551E9">
      <w:pPr>
        <w:pStyle w:val="Prrafodelista"/>
      </w:pPr>
      <w:r w:rsidRPr="005153D8">
        <w:t xml:space="preserve">Informe del Secretario General 1999, Aplicación del Programa de Acción Mundial para los Impedidos, A/RES/54/388 y add.1; Aplicación del Programa de Acción Mundial para los Impedidos: </w:t>
      </w:r>
    </w:p>
    <w:p w:rsidR="003B6E85" w:rsidRPr="005153D8" w:rsidRDefault="003B6E85" w:rsidP="004551E9">
      <w:pPr>
        <w:pStyle w:val="Prrafodelista"/>
      </w:pPr>
      <w:r w:rsidRPr="005153D8">
        <w:t xml:space="preserve">Informe provisional del Secretario General, E/CN.5/1999/5; 2001, Aplicación del Programa de Acción Mundial para los Impedidos, A/RES/56/169 y </w:t>
      </w:r>
      <w:proofErr w:type="spellStart"/>
      <w:r w:rsidRPr="005153D8">
        <w:t>Corr</w:t>
      </w:r>
      <w:proofErr w:type="spellEnd"/>
      <w:r w:rsidRPr="005153D8">
        <w:t xml:space="preserve">. 1; </w:t>
      </w:r>
    </w:p>
    <w:p w:rsidR="003B6E85" w:rsidRPr="005153D8" w:rsidRDefault="003B6E85" w:rsidP="004551E9">
      <w:pPr>
        <w:pStyle w:val="Prrafodelista"/>
      </w:pPr>
      <w:r w:rsidRPr="005153D8">
        <w:t xml:space="preserve">Informe del Secretario General Aplicación del Programa de Acción Mundial para los Impedidos, E/CN.5/2001/7; 2003, Examen y evaluación del Programa de Acción Mundial para los Impedidos, A/RES/58/61 y E/2003/5; 2005, </w:t>
      </w:r>
    </w:p>
    <w:p w:rsidR="003B6E85" w:rsidRPr="005153D8" w:rsidRDefault="003B6E85" w:rsidP="004551E9">
      <w:pPr>
        <w:pStyle w:val="Prrafodelista"/>
      </w:pPr>
      <w:r w:rsidRPr="005153D8">
        <w:t>Informe del Secretario General sobre la Aplicación del Programa de Acción Mundial para los Impedidos: hacia una sociedad para todos en el siglo XXI, A/RES/60/290; 2007,</w:t>
      </w:r>
    </w:p>
    <w:p w:rsidR="003B6E85" w:rsidRPr="006851E2" w:rsidRDefault="003B6E85" w:rsidP="004551E9">
      <w:pPr>
        <w:pStyle w:val="Prrafodelista"/>
      </w:pPr>
      <w:r w:rsidRPr="006851E2">
        <w:t xml:space="preserve"> Informe del Secretario General sobre la Aplicación del Programa de Acción Mundial para las Personas con Discapacidad: objetivos de desarrollo del Milenio y sinergias con otros instrumentos de las Naciones Unidas relacionados con la discapacidad, A/RES/62/157; </w:t>
      </w:r>
    </w:p>
    <w:p w:rsidR="003B6E85" w:rsidRPr="006851E2" w:rsidRDefault="003B6E85" w:rsidP="004551E9">
      <w:pPr>
        <w:pStyle w:val="Prrafodelista"/>
      </w:pPr>
      <w:r w:rsidRPr="006851E2">
        <w:t>Informe del Secretario General 2008, Quinto examen y evaluación quinquenal del Programa de Acción Mundial para las Personas con Discapacidad, A/RES/63/183</w:t>
      </w:r>
    </w:p>
    <w:p w:rsidR="003B6E85" w:rsidRPr="006851E2" w:rsidRDefault="003B6E85" w:rsidP="004551E9">
      <w:pPr>
        <w:pStyle w:val="Prrafodelista"/>
      </w:pPr>
      <w:r w:rsidRPr="006851E2">
        <w:lastRenderedPageBreak/>
        <w:t>Informe del Secretario General, Progresos realizados para velar por el pleno reconocimiento y el disfrute de los derechos humanos de las personas con discapacidad, A/58/181, 24 de julio de 2003</w:t>
      </w:r>
    </w:p>
    <w:p w:rsidR="003B6E85" w:rsidRPr="00F419DD" w:rsidRDefault="003B6E85" w:rsidP="004551E9">
      <w:pPr>
        <w:pStyle w:val="Ttulo4"/>
        <w:rPr>
          <w:b/>
        </w:rPr>
      </w:pPr>
    </w:p>
    <w:p w:rsidR="003B6E85" w:rsidRPr="00F419DD" w:rsidRDefault="003B6E85" w:rsidP="002C1D94">
      <w:pPr>
        <w:pStyle w:val="titulo150"/>
        <w:rPr>
          <w:b/>
        </w:rPr>
      </w:pPr>
      <w:r w:rsidRPr="00F419DD">
        <w:rPr>
          <w:b/>
        </w:rPr>
        <w:t>III.2.3.) Organización Mundial de la Salud</w:t>
      </w:r>
    </w:p>
    <w:p w:rsidR="003B6E85" w:rsidRPr="003B6E85" w:rsidRDefault="003B6E85" w:rsidP="004551E9"/>
    <w:p w:rsidR="003B6E85" w:rsidRPr="004551E9" w:rsidRDefault="003B6E85" w:rsidP="004551E9">
      <w:pPr>
        <w:pStyle w:val="Prrafodelista"/>
        <w:rPr>
          <w:lang w:val="en-US"/>
        </w:rPr>
      </w:pPr>
      <w:r w:rsidRPr="005153D8">
        <w:t xml:space="preserve">Propuesta con carácter experimental por la Organización Mundial de la Salud en Ginebra, 1980. </w:t>
      </w:r>
      <w:r w:rsidRPr="004551E9">
        <w:rPr>
          <w:lang w:val="en-US"/>
        </w:rPr>
        <w:t>International Classification of Impairments, Disabilities, and Handicaps (Geneva: World Health Organization, 1980)</w:t>
      </w:r>
    </w:p>
    <w:p w:rsidR="003B6E85" w:rsidRPr="004551E9" w:rsidRDefault="003B6E85" w:rsidP="004551E9">
      <w:pPr>
        <w:pStyle w:val="Prrafodelista"/>
        <w:rPr>
          <w:lang w:val="en-US"/>
        </w:rPr>
      </w:pPr>
      <w:r w:rsidRPr="004551E9">
        <w:rPr>
          <w:lang w:val="en-US"/>
        </w:rPr>
        <w:t xml:space="preserve">International Classification of Functioning, Disability and Health (Geneva: World Health Organization, 2001), </w:t>
      </w:r>
      <w:proofErr w:type="spellStart"/>
      <w:r w:rsidRPr="004551E9">
        <w:rPr>
          <w:lang w:val="en-US"/>
        </w:rPr>
        <w:t>aprobada</w:t>
      </w:r>
      <w:proofErr w:type="spellEnd"/>
      <w:r w:rsidRPr="004551E9">
        <w:rPr>
          <w:lang w:val="en-US"/>
        </w:rPr>
        <w:t xml:space="preserve"> por la 54ª </w:t>
      </w:r>
      <w:proofErr w:type="spellStart"/>
      <w:r w:rsidRPr="004551E9">
        <w:rPr>
          <w:lang w:val="en-US"/>
        </w:rPr>
        <w:t>Asamblea</w:t>
      </w:r>
      <w:proofErr w:type="spellEnd"/>
      <w:r w:rsidRPr="004551E9">
        <w:rPr>
          <w:lang w:val="en-US"/>
        </w:rPr>
        <w:t xml:space="preserve"> Mundial de la </w:t>
      </w:r>
      <w:proofErr w:type="spellStart"/>
      <w:r w:rsidRPr="004551E9">
        <w:rPr>
          <w:lang w:val="en-US"/>
        </w:rPr>
        <w:t>Salud</w:t>
      </w:r>
      <w:proofErr w:type="spellEnd"/>
      <w:r w:rsidRPr="004551E9">
        <w:rPr>
          <w:lang w:val="en-US"/>
        </w:rPr>
        <w:t xml:space="preserve">, </w:t>
      </w:r>
      <w:proofErr w:type="spellStart"/>
      <w:r w:rsidRPr="004551E9">
        <w:rPr>
          <w:lang w:val="en-US"/>
        </w:rPr>
        <w:t>celebrada</w:t>
      </w:r>
      <w:proofErr w:type="spellEnd"/>
      <w:r w:rsidRPr="004551E9">
        <w:rPr>
          <w:lang w:val="en-US"/>
        </w:rPr>
        <w:t xml:space="preserve"> del 17 al 22 de mayo de 2001</w:t>
      </w:r>
    </w:p>
    <w:p w:rsidR="003B6E85" w:rsidRPr="005153D8" w:rsidRDefault="003B6E85" w:rsidP="004551E9">
      <w:pPr>
        <w:pStyle w:val="Prrafodelista"/>
      </w:pPr>
      <w:r w:rsidRPr="005153D8">
        <w:t xml:space="preserve">Organización Mundial de la Salud y Grupo del Banco Mundial, Informe mundial sobre la discapacidad 2011. </w:t>
      </w:r>
    </w:p>
    <w:p w:rsidR="003B6E85" w:rsidRDefault="003B6E85" w:rsidP="004551E9">
      <w:pPr>
        <w:pStyle w:val="Prrafodelista"/>
      </w:pPr>
      <w:r w:rsidRPr="005153D8">
        <w:t>Manual de Recursos de la OMS sobre Salud Mental, Organización Mundial de la Salud, Ginebra, 2006</w:t>
      </w:r>
    </w:p>
    <w:p w:rsidR="003B6E85" w:rsidRPr="005153D8" w:rsidRDefault="003B6E85" w:rsidP="002C1D94">
      <w:pPr>
        <w:pStyle w:val="titulo150"/>
      </w:pPr>
    </w:p>
    <w:p w:rsidR="003B6E85" w:rsidRPr="00F419DD" w:rsidRDefault="003B6E85" w:rsidP="002C1D94">
      <w:pPr>
        <w:pStyle w:val="titulo150"/>
        <w:rPr>
          <w:b/>
        </w:rPr>
      </w:pPr>
      <w:r w:rsidRPr="00F419DD">
        <w:rPr>
          <w:b/>
          <w:lang w:val="es-ES"/>
        </w:rPr>
        <w:t xml:space="preserve">III.2.4.) </w:t>
      </w:r>
      <w:r w:rsidRPr="00F419DD">
        <w:rPr>
          <w:b/>
        </w:rPr>
        <w:t>Conferencia de Estados Partes a la CDPD</w:t>
      </w:r>
    </w:p>
    <w:p w:rsidR="003B6E85" w:rsidRPr="000610EC" w:rsidRDefault="003B6E85" w:rsidP="002C1D94">
      <w:pPr>
        <w:pStyle w:val="titulo150"/>
      </w:pPr>
    </w:p>
    <w:p w:rsidR="003B6E85" w:rsidRPr="004551E9" w:rsidRDefault="003B6E85" w:rsidP="004551E9">
      <w:pPr>
        <w:pStyle w:val="Prrafodelista"/>
        <w:rPr>
          <w:lang w:val="en-US"/>
        </w:rPr>
      </w:pPr>
      <w:proofErr w:type="gramStart"/>
      <w:r w:rsidRPr="004551E9">
        <w:rPr>
          <w:lang w:val="en-US"/>
        </w:rPr>
        <w:t>Provisional rules of procedure for the Conferences of States Parties to the Convention on the Rights of Persons with Disabilities, CRPD/CSP/2008/3, 14 October 2008.</w:t>
      </w:r>
      <w:proofErr w:type="gramEnd"/>
    </w:p>
    <w:p w:rsidR="003B6E85" w:rsidRPr="004551E9" w:rsidRDefault="003B6E85" w:rsidP="004551E9">
      <w:pPr>
        <w:pStyle w:val="Prrafodelista"/>
        <w:rPr>
          <w:lang w:val="en-US"/>
        </w:rPr>
      </w:pPr>
      <w:proofErr w:type="gramStart"/>
      <w:r w:rsidRPr="004551E9">
        <w:rPr>
          <w:i/>
          <w:lang w:val="en-US"/>
        </w:rPr>
        <w:t>Conference of States Parties to the Convention on the Rights of Persons with Disabilities.</w:t>
      </w:r>
      <w:proofErr w:type="gramEnd"/>
      <w:r w:rsidRPr="004551E9">
        <w:rPr>
          <w:i/>
          <w:lang w:val="en-US"/>
        </w:rPr>
        <w:t xml:space="preserve"> </w:t>
      </w:r>
      <w:proofErr w:type="gramStart"/>
      <w:r w:rsidRPr="004551E9">
        <w:rPr>
          <w:i/>
          <w:lang w:val="en-US"/>
        </w:rPr>
        <w:t xml:space="preserve">First session, </w:t>
      </w:r>
      <w:r w:rsidRPr="004551E9">
        <w:rPr>
          <w:lang w:val="en-US"/>
        </w:rPr>
        <w:t>New York, 31 October and 3 November 2008.</w:t>
      </w:r>
      <w:proofErr w:type="gramEnd"/>
      <w:r w:rsidRPr="004551E9">
        <w:rPr>
          <w:lang w:val="en-US"/>
        </w:rPr>
        <w:t xml:space="preserve"> Report of the Conference of States Parties to the Convention on the Rights of Persons with Disabilities, CRPD/CSP/2008/4, 23 December 2008. </w:t>
      </w:r>
    </w:p>
    <w:p w:rsidR="003B6E85" w:rsidRPr="004551E9" w:rsidRDefault="003B6E85" w:rsidP="004551E9">
      <w:pPr>
        <w:pStyle w:val="Prrafodelista"/>
        <w:rPr>
          <w:i/>
          <w:lang w:val="en-US"/>
        </w:rPr>
      </w:pPr>
      <w:proofErr w:type="gramStart"/>
      <w:r w:rsidRPr="004551E9">
        <w:rPr>
          <w:i/>
          <w:lang w:val="en-US"/>
        </w:rPr>
        <w:t>Conference of States Parties to the Convention on the Rights of Persons with Disabilities.</w:t>
      </w:r>
      <w:proofErr w:type="gramEnd"/>
      <w:r w:rsidRPr="004551E9">
        <w:rPr>
          <w:i/>
          <w:lang w:val="en-US"/>
        </w:rPr>
        <w:t xml:space="preserve"> Second Session </w:t>
      </w:r>
      <w:r w:rsidRPr="004551E9">
        <w:rPr>
          <w:lang w:val="en-US"/>
        </w:rPr>
        <w:t xml:space="preserve">New York, 2-4 September 2009. Report of the Conference of States Parties to the Convention </w:t>
      </w:r>
      <w:r w:rsidRPr="004551E9">
        <w:rPr>
          <w:lang w:val="en-US"/>
        </w:rPr>
        <w:lastRenderedPageBreak/>
        <w:t>on the Rights of Persons with Disabilities, CRPD/CSP/2009/2, 11 January 2010</w:t>
      </w:r>
      <w:r w:rsidRPr="004551E9">
        <w:rPr>
          <w:i/>
          <w:lang w:val="en-US"/>
        </w:rPr>
        <w:t xml:space="preserve">. </w:t>
      </w:r>
    </w:p>
    <w:p w:rsidR="003B6E85" w:rsidRPr="004551E9" w:rsidRDefault="003B6E85" w:rsidP="004551E9">
      <w:pPr>
        <w:pStyle w:val="Prrafodelista"/>
        <w:rPr>
          <w:lang w:val="en-US"/>
        </w:rPr>
      </w:pPr>
      <w:proofErr w:type="gramStart"/>
      <w:r w:rsidRPr="004551E9">
        <w:rPr>
          <w:i/>
          <w:lang w:val="en-US"/>
        </w:rPr>
        <w:t>Conference of States Parties to the Convention on the Rights of Persons with Disabilities.</w:t>
      </w:r>
      <w:proofErr w:type="gramEnd"/>
      <w:r w:rsidRPr="004551E9">
        <w:rPr>
          <w:i/>
          <w:lang w:val="en-US"/>
        </w:rPr>
        <w:t xml:space="preserve"> </w:t>
      </w:r>
      <w:proofErr w:type="gramStart"/>
      <w:r w:rsidRPr="004551E9">
        <w:rPr>
          <w:i/>
          <w:lang w:val="en-US"/>
        </w:rPr>
        <w:t xml:space="preserve">Third session, </w:t>
      </w:r>
      <w:r w:rsidRPr="004551E9">
        <w:rPr>
          <w:lang w:val="en-US"/>
        </w:rPr>
        <w:t>New York, 1-3 September 2010.</w:t>
      </w:r>
      <w:proofErr w:type="gramEnd"/>
      <w:r w:rsidRPr="004551E9">
        <w:rPr>
          <w:lang w:val="en-US"/>
        </w:rPr>
        <w:t xml:space="preserve"> Report of the Conference of States Parties to the Convention on the Rights of Persons with Disabilities, CRPD/CSP/2010/3, 16 December 2010.</w:t>
      </w:r>
    </w:p>
    <w:p w:rsidR="003B6E85" w:rsidRPr="004551E9" w:rsidRDefault="003B6E85" w:rsidP="004551E9">
      <w:pPr>
        <w:pStyle w:val="Prrafodelista"/>
        <w:rPr>
          <w:lang w:val="en-US"/>
        </w:rPr>
      </w:pPr>
      <w:proofErr w:type="gramStart"/>
      <w:r w:rsidRPr="004551E9">
        <w:rPr>
          <w:i/>
          <w:lang w:val="en-US"/>
        </w:rPr>
        <w:t>Conference of States Parties to the Convention on the Rights of Persons with Disabilities.</w:t>
      </w:r>
      <w:proofErr w:type="gramEnd"/>
      <w:r w:rsidRPr="004551E9">
        <w:rPr>
          <w:i/>
          <w:lang w:val="en-US"/>
        </w:rPr>
        <w:t xml:space="preserve"> Fourth Session, </w:t>
      </w:r>
      <w:r w:rsidRPr="004551E9">
        <w:rPr>
          <w:lang w:val="en-US"/>
        </w:rPr>
        <w:t xml:space="preserve">New York, 7-9 September 2011. Report of the Conference of States Parties to the Convention on the Rights of Persons with Disabilities, CRPD/CSP/2011/2, 8 December 2011. </w:t>
      </w:r>
    </w:p>
    <w:p w:rsidR="003B6E85" w:rsidRPr="004551E9" w:rsidRDefault="003B6E85" w:rsidP="004551E9">
      <w:pPr>
        <w:pStyle w:val="Prrafodelista"/>
        <w:rPr>
          <w:lang w:val="en-US"/>
        </w:rPr>
      </w:pPr>
      <w:proofErr w:type="gramStart"/>
      <w:r w:rsidRPr="004551E9">
        <w:rPr>
          <w:i/>
          <w:lang w:val="en-US"/>
        </w:rPr>
        <w:t>Conference of States Parties to the Convention on the Rights of Persons with Disabilities.</w:t>
      </w:r>
      <w:proofErr w:type="gramEnd"/>
      <w:r w:rsidRPr="004551E9">
        <w:rPr>
          <w:i/>
          <w:lang w:val="en-US"/>
        </w:rPr>
        <w:t xml:space="preserve"> </w:t>
      </w:r>
      <w:proofErr w:type="gramStart"/>
      <w:r w:rsidRPr="004551E9">
        <w:rPr>
          <w:i/>
          <w:lang w:val="en-US"/>
        </w:rPr>
        <w:t xml:space="preserve">Fifth session, </w:t>
      </w:r>
      <w:r w:rsidRPr="004551E9">
        <w:rPr>
          <w:lang w:val="en-US"/>
        </w:rPr>
        <w:t>New York, 12-14 September 2012.</w:t>
      </w:r>
      <w:proofErr w:type="gramEnd"/>
      <w:r w:rsidRPr="004551E9">
        <w:rPr>
          <w:lang w:val="en-US"/>
        </w:rPr>
        <w:t xml:space="preserve"> Report of the Conference of States Parties to the Convention on the Rights of Persons with Disabilities, CRPD/CSP/2012/2, 25 October 2012</w:t>
      </w:r>
    </w:p>
    <w:p w:rsidR="003B6E85" w:rsidRPr="004551E9" w:rsidRDefault="003B6E85" w:rsidP="004551E9">
      <w:pPr>
        <w:pStyle w:val="Prrafodelista"/>
        <w:rPr>
          <w:lang w:val="en-US"/>
        </w:rPr>
      </w:pPr>
      <w:proofErr w:type="gramStart"/>
      <w:r w:rsidRPr="004551E9">
        <w:rPr>
          <w:i/>
          <w:lang w:val="en-US"/>
        </w:rPr>
        <w:t>Conference of States Parties to the Convention on the Rights of Persons with Disabilities.</w:t>
      </w:r>
      <w:proofErr w:type="gramEnd"/>
      <w:r w:rsidRPr="004551E9">
        <w:rPr>
          <w:i/>
          <w:lang w:val="en-US"/>
        </w:rPr>
        <w:t xml:space="preserve"> </w:t>
      </w:r>
      <w:proofErr w:type="gramStart"/>
      <w:r w:rsidRPr="004551E9">
        <w:rPr>
          <w:i/>
          <w:lang w:val="en-US"/>
        </w:rPr>
        <w:t xml:space="preserve">Sixth session, </w:t>
      </w:r>
      <w:r w:rsidRPr="004551E9">
        <w:rPr>
          <w:lang w:val="en-US"/>
        </w:rPr>
        <w:t>New York, 17-19 July 2013.</w:t>
      </w:r>
      <w:proofErr w:type="gramEnd"/>
      <w:r w:rsidRPr="004551E9">
        <w:rPr>
          <w:lang w:val="en-US"/>
        </w:rPr>
        <w:t xml:space="preserve"> Report of the Conference of States Parties to the Convention on the Rights of Persons with Disabilities</w:t>
      </w:r>
    </w:p>
    <w:p w:rsidR="003B6E85" w:rsidRPr="00F419DD" w:rsidRDefault="003B6E85" w:rsidP="002C1D94">
      <w:pPr>
        <w:pStyle w:val="titulo150"/>
        <w:rPr>
          <w:b/>
          <w:lang w:val="en-US"/>
        </w:rPr>
      </w:pPr>
    </w:p>
    <w:p w:rsidR="003B6E85" w:rsidRPr="00F419DD" w:rsidRDefault="003B6E85" w:rsidP="002C1D94">
      <w:pPr>
        <w:pStyle w:val="titulo150"/>
        <w:rPr>
          <w:b/>
        </w:rPr>
      </w:pPr>
      <w:r w:rsidRPr="00F419DD">
        <w:rPr>
          <w:b/>
        </w:rPr>
        <w:t>III.2.5.) Comité Especial de la ONU sobre la CDPD</w:t>
      </w:r>
    </w:p>
    <w:p w:rsidR="003B6E85" w:rsidRPr="003B6E85" w:rsidRDefault="003B6E85" w:rsidP="002C1D94">
      <w:pPr>
        <w:pStyle w:val="titulo150"/>
      </w:pPr>
    </w:p>
    <w:p w:rsidR="003B6E85" w:rsidRPr="003B6E85" w:rsidRDefault="003B6E85" w:rsidP="004551E9">
      <w:pPr>
        <w:pStyle w:val="Prrafodelista"/>
      </w:pPr>
      <w:r w:rsidRPr="003B6E85">
        <w:t xml:space="preserve">Primer período de sesiones, del 29 de julio al 9 de agosto de 2002, UN </w:t>
      </w:r>
      <w:proofErr w:type="spellStart"/>
      <w:r w:rsidRPr="003B6E85">
        <w:t>Doc</w:t>
      </w:r>
      <w:proofErr w:type="spellEnd"/>
      <w:r w:rsidRPr="003B6E85">
        <w:t xml:space="preserve"> A/57/357;</w:t>
      </w:r>
    </w:p>
    <w:p w:rsidR="003B6E85" w:rsidRPr="003B6E85" w:rsidRDefault="003B6E85" w:rsidP="004551E9">
      <w:pPr>
        <w:pStyle w:val="Prrafodelista"/>
      </w:pPr>
      <w:r w:rsidRPr="003B6E85">
        <w:t xml:space="preserve">Segundo período de sesiones, del 16 al 27 de junio de 2003, UN </w:t>
      </w:r>
      <w:proofErr w:type="spellStart"/>
      <w:r w:rsidRPr="003B6E85">
        <w:t>Doc</w:t>
      </w:r>
      <w:proofErr w:type="spellEnd"/>
      <w:r w:rsidRPr="003B6E85">
        <w:t xml:space="preserve">, A/58/118 &amp; Corr.1, 3 </w:t>
      </w:r>
      <w:proofErr w:type="spellStart"/>
      <w:r w:rsidRPr="003B6E85">
        <w:t>July</w:t>
      </w:r>
      <w:proofErr w:type="spellEnd"/>
      <w:r w:rsidRPr="003B6E85">
        <w:t xml:space="preserve"> 2003,</w:t>
      </w:r>
    </w:p>
    <w:p w:rsidR="003B6E85" w:rsidRPr="003B6E85" w:rsidRDefault="003B6E85" w:rsidP="004551E9">
      <w:pPr>
        <w:pStyle w:val="Prrafodelista"/>
      </w:pPr>
      <w:r w:rsidRPr="003B6E85">
        <w:t xml:space="preserve">Grupo de trabajo sobre la convención, del 5 al 16 de enero de 2004, UN </w:t>
      </w:r>
      <w:proofErr w:type="spellStart"/>
      <w:r w:rsidRPr="003B6E85">
        <w:t>Doc</w:t>
      </w:r>
      <w:proofErr w:type="spellEnd"/>
      <w:r w:rsidRPr="003B6E85">
        <w:t xml:space="preserve"> A/AC.265/2004/WG/1;</w:t>
      </w:r>
    </w:p>
    <w:p w:rsidR="003B6E85" w:rsidRPr="003B6E85" w:rsidRDefault="003B6E85" w:rsidP="004551E9">
      <w:pPr>
        <w:pStyle w:val="Prrafodelista"/>
      </w:pPr>
      <w:r w:rsidRPr="003B6E85">
        <w:t xml:space="preserve">Tercer período de sesiones, del 24 de mayo al 4 de junio de 2004, UN </w:t>
      </w:r>
      <w:proofErr w:type="spellStart"/>
      <w:r w:rsidRPr="003B6E85">
        <w:t>Doc</w:t>
      </w:r>
      <w:proofErr w:type="spellEnd"/>
      <w:r w:rsidRPr="003B6E85">
        <w:t>, A/AC.265/2004/5, 9 June 2004;</w:t>
      </w:r>
    </w:p>
    <w:p w:rsidR="003B6E85" w:rsidRPr="003B6E85" w:rsidRDefault="003B6E85" w:rsidP="004551E9">
      <w:pPr>
        <w:pStyle w:val="Prrafodelista"/>
      </w:pPr>
      <w:r w:rsidRPr="003B6E85">
        <w:lastRenderedPageBreak/>
        <w:t xml:space="preserve">Cuarto período de sesiones, del 23 de agosto al 3 de septiembre de 2004, UN </w:t>
      </w:r>
      <w:proofErr w:type="spellStart"/>
      <w:r w:rsidRPr="003B6E85">
        <w:t>Doc</w:t>
      </w:r>
      <w:proofErr w:type="spellEnd"/>
      <w:r w:rsidRPr="003B6E85">
        <w:t xml:space="preserve"> A/59/360, 14 </w:t>
      </w:r>
      <w:proofErr w:type="spellStart"/>
      <w:r w:rsidRPr="003B6E85">
        <w:t>September</w:t>
      </w:r>
      <w:proofErr w:type="spellEnd"/>
      <w:r w:rsidRPr="003B6E85">
        <w:t xml:space="preserve"> 2004;</w:t>
      </w:r>
    </w:p>
    <w:p w:rsidR="003B6E85" w:rsidRPr="003B6E85" w:rsidRDefault="003B6E85" w:rsidP="004551E9">
      <w:pPr>
        <w:pStyle w:val="Prrafodelista"/>
      </w:pPr>
      <w:r w:rsidRPr="003B6E85">
        <w:t xml:space="preserve">Quinto periodo de sesiones, del 24 de enero al 3 de febrero de 2005, UN </w:t>
      </w:r>
      <w:proofErr w:type="spellStart"/>
      <w:r w:rsidRPr="003B6E85">
        <w:t>Doc</w:t>
      </w:r>
      <w:proofErr w:type="spellEnd"/>
      <w:r w:rsidRPr="003B6E85">
        <w:t xml:space="preserve"> A/AC.265/2005/2, 23 </w:t>
      </w:r>
      <w:proofErr w:type="spellStart"/>
      <w:r w:rsidRPr="003B6E85">
        <w:t>February</w:t>
      </w:r>
      <w:proofErr w:type="spellEnd"/>
      <w:r w:rsidRPr="003B6E85">
        <w:t xml:space="preserve"> 2005;</w:t>
      </w:r>
    </w:p>
    <w:p w:rsidR="003B6E85" w:rsidRPr="003B6E85" w:rsidRDefault="003B6E85" w:rsidP="004551E9">
      <w:pPr>
        <w:pStyle w:val="Prrafodelista"/>
      </w:pPr>
      <w:r w:rsidRPr="003B6E85">
        <w:t xml:space="preserve">Sexto periodo de sesiones, del 1° al 12 de agosto de 2005, UN </w:t>
      </w:r>
      <w:proofErr w:type="spellStart"/>
      <w:r w:rsidRPr="003B6E85">
        <w:t>Doc</w:t>
      </w:r>
      <w:proofErr w:type="spellEnd"/>
      <w:r w:rsidRPr="003B6E85">
        <w:t xml:space="preserve"> A/60/266, 17 </w:t>
      </w:r>
      <w:proofErr w:type="spellStart"/>
      <w:r w:rsidRPr="003B6E85">
        <w:t>August</w:t>
      </w:r>
      <w:proofErr w:type="spellEnd"/>
      <w:r w:rsidRPr="003B6E85">
        <w:t xml:space="preserve"> 2005;</w:t>
      </w:r>
    </w:p>
    <w:p w:rsidR="003B6E85" w:rsidRPr="003B6E85" w:rsidRDefault="003B6E85" w:rsidP="004551E9">
      <w:pPr>
        <w:pStyle w:val="Prrafodelista"/>
      </w:pPr>
      <w:r w:rsidRPr="003B6E85">
        <w:t xml:space="preserve">Séptimo periodo de sesiones, del 16 de enero a 3 de febrero de 2006, UN Doc. A/AC.265/2006/2, 13 </w:t>
      </w:r>
      <w:proofErr w:type="spellStart"/>
      <w:r w:rsidRPr="003B6E85">
        <w:t>February</w:t>
      </w:r>
      <w:proofErr w:type="spellEnd"/>
      <w:r w:rsidRPr="003B6E85">
        <w:t xml:space="preserve"> 2006;</w:t>
      </w:r>
    </w:p>
    <w:p w:rsidR="003B6E85" w:rsidRPr="003B6E85" w:rsidRDefault="003B6E85" w:rsidP="004551E9">
      <w:pPr>
        <w:pStyle w:val="Prrafodelista"/>
      </w:pPr>
      <w:r w:rsidRPr="003B6E85">
        <w:t xml:space="preserve">Octavo periodo de sesiones, del 14 al 25 de agosto y 5 de diciembre de 2006, UN </w:t>
      </w:r>
      <w:proofErr w:type="spellStart"/>
      <w:r w:rsidRPr="003B6E85">
        <w:t>Doc</w:t>
      </w:r>
      <w:proofErr w:type="spellEnd"/>
      <w:r w:rsidRPr="003B6E85">
        <w:t xml:space="preserve"> A/AC.265/2006/4, 1 </w:t>
      </w:r>
      <w:proofErr w:type="spellStart"/>
      <w:r w:rsidRPr="003B6E85">
        <w:t>September</w:t>
      </w:r>
      <w:proofErr w:type="spellEnd"/>
      <w:r w:rsidRPr="003B6E85">
        <w:t xml:space="preserve"> 2006) y Final </w:t>
      </w:r>
      <w:proofErr w:type="spellStart"/>
      <w:r w:rsidRPr="003B6E85">
        <w:t>report</w:t>
      </w:r>
      <w:proofErr w:type="spellEnd"/>
      <w:r w:rsidRPr="003B6E85">
        <w:t xml:space="preserve"> of </w:t>
      </w:r>
      <w:proofErr w:type="spellStart"/>
      <w:r w:rsidRPr="003B6E85">
        <w:t>the</w:t>
      </w:r>
      <w:proofErr w:type="spellEnd"/>
      <w:r w:rsidRPr="003B6E85">
        <w:t xml:space="preserve"> Ad Hoc </w:t>
      </w:r>
      <w:proofErr w:type="spellStart"/>
      <w:r w:rsidRPr="003B6E85">
        <w:t>Committee</w:t>
      </w:r>
      <w:proofErr w:type="spellEnd"/>
      <w:r w:rsidRPr="003B6E85">
        <w:t xml:space="preserve"> UN </w:t>
      </w:r>
      <w:proofErr w:type="spellStart"/>
      <w:r w:rsidRPr="003B6E85">
        <w:t>Doc</w:t>
      </w:r>
      <w:proofErr w:type="spellEnd"/>
      <w:r w:rsidRPr="003B6E85">
        <w:t xml:space="preserve"> A/61/611, 6 </w:t>
      </w:r>
      <w:proofErr w:type="spellStart"/>
      <w:r w:rsidRPr="003B6E85">
        <w:t>December</w:t>
      </w:r>
      <w:proofErr w:type="spellEnd"/>
      <w:r w:rsidRPr="003B6E85">
        <w:t xml:space="preserve"> 2006</w:t>
      </w:r>
    </w:p>
    <w:p w:rsidR="003B6E85" w:rsidRPr="003B6E85" w:rsidRDefault="003B6E85" w:rsidP="004551E9"/>
    <w:p w:rsidR="003B6E85" w:rsidRDefault="003B6E85" w:rsidP="002C1D94">
      <w:pPr>
        <w:pStyle w:val="TITULO15"/>
      </w:pPr>
      <w:r w:rsidRPr="003B6E85">
        <w:t>III.3.</w:t>
      </w:r>
      <w:r>
        <w:t>)</w:t>
      </w:r>
      <w:r w:rsidRPr="003B6E85">
        <w:t xml:space="preserve"> D</w:t>
      </w:r>
      <w:r>
        <w:t xml:space="preserve">ecisiones y Resoluciones de órganos del Sistema Universal de Protección de Derechos Humanos. </w:t>
      </w:r>
    </w:p>
    <w:p w:rsidR="003B6E85" w:rsidRPr="003B6E85" w:rsidRDefault="003B6E85" w:rsidP="004551E9"/>
    <w:p w:rsidR="003B6E85" w:rsidRPr="00F419DD" w:rsidRDefault="003B6E85" w:rsidP="002C1D94">
      <w:pPr>
        <w:pStyle w:val="titulo150"/>
        <w:rPr>
          <w:b/>
        </w:rPr>
      </w:pPr>
      <w:r w:rsidRPr="00F419DD">
        <w:rPr>
          <w:b/>
        </w:rPr>
        <w:t xml:space="preserve">III. 3.1.) Órganos extra-convencionales </w:t>
      </w:r>
    </w:p>
    <w:p w:rsidR="003B6E85" w:rsidRPr="006851E2" w:rsidRDefault="003B6E85" w:rsidP="004551E9">
      <w:pPr>
        <w:pStyle w:val="Prrafodelista"/>
      </w:pPr>
      <w:r w:rsidRPr="006851E2">
        <w:t xml:space="preserve">Resolución de la Comisión de Derechos Humanos E/CN.4/RES/1994/27 del 4 de marzo de 1994, sobre los Derechos Humanos de las personas con discapacidad. </w:t>
      </w:r>
    </w:p>
    <w:p w:rsidR="003B6E85" w:rsidRPr="006851E2" w:rsidRDefault="003B6E85" w:rsidP="004551E9">
      <w:pPr>
        <w:pStyle w:val="Prrafodelista"/>
      </w:pPr>
      <w:r w:rsidRPr="006851E2">
        <w:t xml:space="preserve">Vigilancia de la aplicación de las Normas Uniformes sobre la igualdad de oportunidades para las personas con discapacidad, A/RES/52/56 Informe definitivo del Relator Especial durante su primera misión; </w:t>
      </w:r>
    </w:p>
    <w:p w:rsidR="003B6E85" w:rsidRPr="006851E2" w:rsidRDefault="003B6E85" w:rsidP="004551E9">
      <w:pPr>
        <w:pStyle w:val="Prrafodelista"/>
      </w:pPr>
      <w:r w:rsidRPr="006851E2">
        <w:t xml:space="preserve">Vigilancia de la aplicación de las Normas Uniformes sobre la igualdad de oportunidades para las personas con discapacidad, E/CN.5/2000/3 Informe definitivo del Relator Especial durante su segunda misión, 1997–2000 y E/CN.5/2000/3/Corr.1;  </w:t>
      </w:r>
    </w:p>
    <w:p w:rsidR="003B6E85" w:rsidRPr="006851E2" w:rsidRDefault="003B6E85" w:rsidP="004551E9">
      <w:pPr>
        <w:pStyle w:val="Prrafodelista"/>
      </w:pPr>
      <w:r w:rsidRPr="006851E2">
        <w:lastRenderedPageBreak/>
        <w:t xml:space="preserve">Vigilancia de la aplicación de las Normas Uniformes sobre la igualdad de oportunidades para las personas con discapacidad, E/CN.5/2002/4; </w:t>
      </w:r>
    </w:p>
    <w:p w:rsidR="003B6E85" w:rsidRPr="006851E2" w:rsidRDefault="003B6E85" w:rsidP="004551E9">
      <w:pPr>
        <w:pStyle w:val="Prrafodelista"/>
      </w:pPr>
      <w:r w:rsidRPr="006851E2">
        <w:t xml:space="preserve">Opiniones de los gobiernos sobre las propuestas que figuran en el informe del Relator Especial sobre discapacidad, E/CN.5/2002/4 y en particular sobre la relativa al suplemento de las Normas Uniformes sobre la igualdad de oportunidades para las personas con discapacidad E/CN.5/2004/4; </w:t>
      </w:r>
    </w:p>
    <w:p w:rsidR="003B6E85" w:rsidRPr="006851E2" w:rsidRDefault="003B6E85" w:rsidP="004551E9">
      <w:pPr>
        <w:pStyle w:val="Prrafodelista"/>
      </w:pPr>
      <w:r w:rsidRPr="006851E2">
        <w:t xml:space="preserve">Vigilancia de la aplicación de las Normas Uniformes sobre la igualdad de oportunidades para las personas con discapacidad, E/CN.5/2005/5 y E/CN.5/2005/5/Corr.1; </w:t>
      </w:r>
    </w:p>
    <w:p w:rsidR="003B6E85" w:rsidRPr="006851E2" w:rsidRDefault="003B6E85" w:rsidP="004551E9">
      <w:pPr>
        <w:pStyle w:val="Prrafodelista"/>
      </w:pPr>
      <w:r w:rsidRPr="006851E2">
        <w:t xml:space="preserve">Informe de la Relatora Especial de la Comisión de Desarrollo Social sobre la supervisión de la aplicación de las Normas Uniformes sobre la igualdad de oportunidades para las personas con discapacidad - 44º período de sesiones, E/CN.5/2006/4; </w:t>
      </w:r>
    </w:p>
    <w:p w:rsidR="003B6E85" w:rsidRPr="006851E2" w:rsidRDefault="003B6E85" w:rsidP="004551E9">
      <w:pPr>
        <w:pStyle w:val="Prrafodelista"/>
      </w:pPr>
      <w:r w:rsidRPr="006851E2">
        <w:t xml:space="preserve">Informe de la Relatora Especial de la Comisión de Desarrollo Social sobre la supervisión de la aplicación de las Normas Uniformes sobre la igualdad de oportunidades para las personas con discapacidad - 46° período de sesiones, E/CN.5/2007/4; </w:t>
      </w:r>
    </w:p>
    <w:p w:rsidR="003B6E85" w:rsidRPr="006851E2" w:rsidRDefault="003B6E85" w:rsidP="004551E9">
      <w:pPr>
        <w:pStyle w:val="Prrafodelista"/>
      </w:pPr>
      <w:r w:rsidRPr="006851E2">
        <w:t xml:space="preserve">Informe de la Relatora Especial de la Comisión de Desarrollo Social sobre la supervisión de la aplicación de las Normas Uniformes sobre la igualdad de oportunidades para las personas con discapacidad - 46° período de sesiones, E/CN.5/2008/3; </w:t>
      </w:r>
    </w:p>
    <w:p w:rsidR="003B6E85" w:rsidRPr="006851E2" w:rsidRDefault="003B6E85" w:rsidP="004551E9">
      <w:pPr>
        <w:pStyle w:val="Prrafodelista"/>
      </w:pPr>
      <w:r w:rsidRPr="006851E2">
        <w:t>Informe de la Relatora Especial de la Comisión de Desarrollo Social sobre discapacidad, relativo a la vigilancia de la aplicación de las Normas Uniformes sobre la igualdad de oportunidades para las personas con discapacidad - 47° período de sesiones, E/CN.5/2009/6.</w:t>
      </w:r>
    </w:p>
    <w:p w:rsidR="003B6E85" w:rsidRPr="006851E2" w:rsidRDefault="003B6E85" w:rsidP="004551E9">
      <w:pPr>
        <w:pStyle w:val="Prrafodelista"/>
      </w:pPr>
      <w:r w:rsidRPr="006851E2">
        <w:t xml:space="preserve">Estudio actualizado sobre el derecho a la alimentación, presentado por el Sr. </w:t>
      </w:r>
      <w:proofErr w:type="spellStart"/>
      <w:r w:rsidRPr="006851E2">
        <w:t>Asbjørn</w:t>
      </w:r>
      <w:proofErr w:type="spellEnd"/>
      <w:r w:rsidRPr="006851E2">
        <w:t xml:space="preserve"> </w:t>
      </w:r>
      <w:proofErr w:type="spellStart"/>
      <w:r w:rsidRPr="006851E2">
        <w:t>Eide</w:t>
      </w:r>
      <w:proofErr w:type="spellEnd"/>
      <w:r w:rsidRPr="006851E2">
        <w:t xml:space="preserve"> en cumplimiento de la decisión 1998/106 de la Subcomisión, E/CN.4/Sub.2/1999/12, 28 de junio de 1999</w:t>
      </w:r>
    </w:p>
    <w:p w:rsidR="003B6E85" w:rsidRPr="006851E2" w:rsidRDefault="003B6E85" w:rsidP="004551E9">
      <w:pPr>
        <w:pStyle w:val="Prrafodelista"/>
      </w:pPr>
      <w:r w:rsidRPr="006851E2">
        <w:lastRenderedPageBreak/>
        <w:t xml:space="preserve">Informe del Relator Especial sobre el derecho de toda persona al disfrute del más alto nivel posible de salud física y mental, Sr. Paul </w:t>
      </w:r>
      <w:proofErr w:type="spellStart"/>
      <w:r w:rsidRPr="006851E2">
        <w:t>Hunt</w:t>
      </w:r>
      <w:proofErr w:type="spellEnd"/>
      <w:r w:rsidRPr="006851E2">
        <w:t>, E/CN.4/2005/51, 14 de febrero de 2005</w:t>
      </w:r>
    </w:p>
    <w:p w:rsidR="003B6E85" w:rsidRPr="006851E2" w:rsidRDefault="003B6E85" w:rsidP="004551E9">
      <w:pPr>
        <w:pStyle w:val="Prrafodelista"/>
      </w:pPr>
      <w:r w:rsidRPr="006851E2">
        <w:t>Informe provisional del Relator Especial sobre la cuestión de la tortura y otros tratos o penas crueles, inhumanos o degradantes, Manfred Nowak, A/63/175, 28 de julio de 2008</w:t>
      </w:r>
    </w:p>
    <w:p w:rsidR="003B6E85" w:rsidRDefault="003B6E85" w:rsidP="004551E9">
      <w:pPr>
        <w:pStyle w:val="Prrafodelista"/>
      </w:pPr>
      <w:r w:rsidRPr="006851E2">
        <w:t>Informe provisional del Relator Especial sobre la cuestión de la tortura y otros tratos o penas crueles, inhumanos o degr</w:t>
      </w:r>
      <w:r>
        <w:t>adantes, Juan Méndez, A/HRC/22/5</w:t>
      </w:r>
      <w:r w:rsidRPr="006851E2">
        <w:t>3, 1 de febrero de 2013</w:t>
      </w:r>
      <w:r>
        <w:t>;</w:t>
      </w:r>
    </w:p>
    <w:p w:rsidR="003B6E85" w:rsidRPr="006851E2" w:rsidRDefault="003B6E85" w:rsidP="004551E9">
      <w:pPr>
        <w:pStyle w:val="Prrafodelista"/>
      </w:pPr>
      <w:r>
        <w:t xml:space="preserve">Informe provisional del Relator Especial </w:t>
      </w:r>
      <w:r w:rsidRPr="006851E2">
        <w:t>sobre la cuestión de la tortura y otros tratos o penas crueles, inhumanos o degradantes, Juan Méndez</w:t>
      </w:r>
      <w:r>
        <w:t xml:space="preserve">, </w:t>
      </w:r>
      <w:r w:rsidRPr="00FF1AC5">
        <w:t>A/68/295</w:t>
      </w:r>
      <w:r>
        <w:t xml:space="preserve">, </w:t>
      </w:r>
      <w:r w:rsidRPr="00FF1AC5">
        <w:t>9 de agosto de 2013</w:t>
      </w:r>
      <w:r>
        <w:t>.</w:t>
      </w:r>
    </w:p>
    <w:p w:rsidR="003B6E85" w:rsidRPr="004551E9" w:rsidRDefault="003B6E85" w:rsidP="004551E9">
      <w:pPr>
        <w:pStyle w:val="Prrafodelista"/>
        <w:rPr>
          <w:lang w:val="en-US"/>
        </w:rPr>
      </w:pPr>
      <w:r w:rsidRPr="004551E9">
        <w:rPr>
          <w:lang w:val="en-US"/>
        </w:rPr>
        <w:t>Monitoring the Convention on the Rights of Persons with Disabilities: Guidance for human Rights Monitors, Professional training series No. 17, OHCHR, United Nations, New York and Geneva, 2010.</w:t>
      </w:r>
    </w:p>
    <w:p w:rsidR="003B6E85" w:rsidRPr="005153D8" w:rsidRDefault="003B6E85" w:rsidP="004551E9">
      <w:pPr>
        <w:pStyle w:val="Prrafodelista"/>
      </w:pPr>
      <w:r w:rsidRPr="005153D8">
        <w:t>Estudio temático preparado por la Oficina del Alto Comisionado de las Naciones Unidas para los Derechos Humanos sobre la función de la cooperación internacional en apoyo de la labor de ámbito nacional para hacer efectivos los derechos de las personas con discapacidad, A/HRC/16/38, 20 de diciembre de 2010.</w:t>
      </w:r>
    </w:p>
    <w:p w:rsidR="003B6E85" w:rsidRPr="005153D8" w:rsidRDefault="003B6E85" w:rsidP="004551E9">
      <w:pPr>
        <w:pStyle w:val="Prrafodelista"/>
      </w:pPr>
      <w:r w:rsidRPr="005153D8">
        <w:t>Estudio temático preparado por la Oficina del Alto Comisionado de las Naciones Unidas para los Derechos Humanos para mejorar el conocimiento y la comprensión de la Convención sobre los derechos de las personas con discapacidad, A/HRC/10/48, 26 de enero de 2009</w:t>
      </w:r>
    </w:p>
    <w:p w:rsidR="003B6E85" w:rsidRPr="005153D8" w:rsidRDefault="003B6E85" w:rsidP="004551E9">
      <w:pPr>
        <w:pStyle w:val="Prrafodelista"/>
      </w:pPr>
      <w:r w:rsidRPr="005153D8">
        <w:t>Las Naciones Unidas y las personas con discapacidad - Los primeros cincuenta años, accesible en: http://www.un.org/spanish/esa/social/disabled/dis50y00.htm</w:t>
      </w:r>
    </w:p>
    <w:p w:rsidR="003B6E85" w:rsidRPr="005153D8" w:rsidRDefault="003B6E85" w:rsidP="004551E9">
      <w:pPr>
        <w:pStyle w:val="Prrafodelista"/>
      </w:pPr>
      <w:r w:rsidRPr="004551E9">
        <w:rPr>
          <w:lang w:val="en-US"/>
        </w:rPr>
        <w:lastRenderedPageBreak/>
        <w:t xml:space="preserve">The UN and Persons with Disabilities, United Nations Commitment to Advancement of the Status of Persons with Disabilities. </w:t>
      </w:r>
      <w:r w:rsidRPr="005153D8">
        <w:t>Accesible en: http://www.un.org/esa/socdev/enable/disun.htm</w:t>
      </w:r>
    </w:p>
    <w:p w:rsidR="003B6E85" w:rsidRDefault="003B6E85" w:rsidP="004551E9">
      <w:pPr>
        <w:pStyle w:val="Prrafodelista"/>
      </w:pPr>
      <w:r w:rsidRPr="005153D8">
        <w:t xml:space="preserve">“Las Naciones Unidas y las personas con discapacidad - Los primeros cincuenta años”, en Historia de la discapacidad y las Naciones Unidas, disponible en: </w:t>
      </w:r>
      <w:hyperlink r:id="rId11" w:history="1">
        <w:r w:rsidRPr="00F972B2">
          <w:rPr>
            <w:rStyle w:val="Hipervnculo"/>
            <w:sz w:val="20"/>
            <w:szCs w:val="20"/>
            <w:lang w:val="es-ES"/>
          </w:rPr>
          <w:t>http://www.un.org/spanish/esa/social/disabled/dis50y00.htm</w:t>
        </w:r>
      </w:hyperlink>
      <w:r w:rsidRPr="005153D8">
        <w:t>.</w:t>
      </w:r>
    </w:p>
    <w:p w:rsidR="003B6E85" w:rsidRDefault="003B6E85" w:rsidP="004551E9">
      <w:pPr>
        <w:pStyle w:val="Prrafodelista"/>
      </w:pPr>
      <w:r w:rsidRPr="005153D8">
        <w:t>Manual para Parlamentarios sobre la Convención sobre los derechos de las personas con discapacidad y su Protocolo Facultativo, Naciones Unidas, Ginebra 2007</w:t>
      </w:r>
    </w:p>
    <w:p w:rsidR="003B6E85" w:rsidRDefault="003B6E85" w:rsidP="004551E9">
      <w:pPr>
        <w:pStyle w:val="Prrafodelista"/>
      </w:pPr>
      <w:r w:rsidRPr="004551E9">
        <w:rPr>
          <w:lang w:val="en-US"/>
        </w:rPr>
        <w:t xml:space="preserve">Study on the Implementation of Article 33 of the UN Convention on the Rights of Persons with Disabilities in Europe, Regional Office for Europe of the UN High Commissioner for Human Rights, 2011. </w:t>
      </w:r>
      <w:r w:rsidRPr="005153D8">
        <w:t xml:space="preserve">Disponible en: </w:t>
      </w:r>
      <w:hyperlink r:id="rId12" w:history="1">
        <w:r w:rsidRPr="00F972B2">
          <w:rPr>
            <w:rStyle w:val="Hipervnculo"/>
            <w:sz w:val="20"/>
            <w:szCs w:val="20"/>
            <w:lang w:val="es-ES"/>
          </w:rPr>
          <w:t>http://europe.ohchr.org/Documents/Publications/Art_33_CRPD_study.pdf</w:t>
        </w:r>
      </w:hyperlink>
    </w:p>
    <w:p w:rsidR="003B6E85" w:rsidRDefault="003B6E85" w:rsidP="004551E9">
      <w:pPr>
        <w:pStyle w:val="Prrafodelista"/>
      </w:pPr>
      <w:r w:rsidRPr="005153D8">
        <w:t>Informe presentado por el Alto Comisionado para los Derechos Humanos de Naciones Unidas, en ocasión de la Sexta reunión del Comité Especial de la Convención sobre discapacidad, sobre el asunto de la “capacidad jurídica”.</w:t>
      </w:r>
    </w:p>
    <w:p w:rsidR="003B6E85" w:rsidRPr="004551E9" w:rsidRDefault="003B6E85" w:rsidP="004551E9">
      <w:pPr>
        <w:pStyle w:val="Prrafodelista"/>
        <w:rPr>
          <w:lang w:val="en-US"/>
        </w:rPr>
      </w:pPr>
      <w:r w:rsidRPr="005153D8">
        <w:t xml:space="preserve">Estudio del Alto Comisionado de las Naciones Unidas para los Derechos Humanos sobre medidas jurídicas esenciales para la ratificación y la aplicación efectiva de la Convención sobre los Derechos de las Personas con Discapacidad. </w:t>
      </w:r>
      <w:r w:rsidRPr="004551E9">
        <w:rPr>
          <w:lang w:val="en-US"/>
        </w:rPr>
        <w:t xml:space="preserve">(Consultative meeting with stakeholders on legal measures key for the ratification and effective implementation of the CRPD - Geneva, 24 October 2008) </w:t>
      </w:r>
      <w:proofErr w:type="spellStart"/>
      <w:r w:rsidRPr="004551E9">
        <w:rPr>
          <w:lang w:val="en-US"/>
        </w:rPr>
        <w:t>Disponible</w:t>
      </w:r>
      <w:proofErr w:type="spellEnd"/>
      <w:r w:rsidRPr="004551E9">
        <w:rPr>
          <w:lang w:val="en-US"/>
        </w:rPr>
        <w:t xml:space="preserve"> en: </w:t>
      </w:r>
      <w:hyperlink r:id="rId13" w:history="1">
        <w:r w:rsidRPr="004551E9">
          <w:rPr>
            <w:rStyle w:val="Hipervnculo"/>
            <w:sz w:val="20"/>
            <w:szCs w:val="20"/>
            <w:lang w:val="en-US"/>
          </w:rPr>
          <w:t>http://www2.ohchr.org/english/issues/disability/docs/consultation/FinalConsultationreport.241008.doc</w:t>
        </w:r>
      </w:hyperlink>
    </w:p>
    <w:p w:rsidR="003B6E85" w:rsidRPr="004551E9" w:rsidRDefault="003B6E85" w:rsidP="004551E9">
      <w:pPr>
        <w:pStyle w:val="Ttulo4"/>
        <w:rPr>
          <w:lang w:val="en-US"/>
        </w:rPr>
      </w:pPr>
    </w:p>
    <w:p w:rsidR="00662C30" w:rsidRPr="00F419DD" w:rsidRDefault="003B6E85" w:rsidP="002C1D94">
      <w:pPr>
        <w:pStyle w:val="titulo150"/>
        <w:rPr>
          <w:b/>
        </w:rPr>
      </w:pPr>
      <w:r w:rsidRPr="00F419DD">
        <w:rPr>
          <w:b/>
        </w:rPr>
        <w:t xml:space="preserve">III. 3.2 </w:t>
      </w:r>
      <w:r w:rsidR="00662C30" w:rsidRPr="00F419DD">
        <w:rPr>
          <w:b/>
        </w:rPr>
        <w:t>Órganos de tratados</w:t>
      </w:r>
    </w:p>
    <w:p w:rsidR="003B6E85" w:rsidRPr="003B6E85" w:rsidRDefault="003B6E85" w:rsidP="004551E9"/>
    <w:p w:rsidR="00662C30" w:rsidRPr="00F419DD" w:rsidRDefault="00662C30" w:rsidP="004551E9">
      <w:pPr>
        <w:rPr>
          <w:i/>
        </w:rPr>
      </w:pPr>
      <w:r w:rsidRPr="00F419DD">
        <w:rPr>
          <w:i/>
        </w:rPr>
        <w:lastRenderedPageBreak/>
        <w:t>Comité de Derechos Humanos</w:t>
      </w:r>
    </w:p>
    <w:p w:rsidR="00662C30" w:rsidRPr="00983862" w:rsidRDefault="00662C30" w:rsidP="004551E9">
      <w:pPr>
        <w:pStyle w:val="Prrafodelista"/>
      </w:pPr>
      <w:r w:rsidRPr="00983862">
        <w:t>Observación General No. 6, Comentarios generales adoptados por el Comité de los Derechos Humanos, Artículo 6 - Derecho a la vida, 16º período de sesiones, U.N. Doc. HRI/GEN/1/Rev.7 at 143 (1982).</w:t>
      </w:r>
    </w:p>
    <w:p w:rsidR="00662C30" w:rsidRPr="00983862" w:rsidRDefault="00662C30" w:rsidP="004551E9">
      <w:pPr>
        <w:pStyle w:val="Prrafodelista"/>
      </w:pPr>
      <w:r w:rsidRPr="00983862">
        <w:t>Observación general Nº 8 sobre “Derecho a la libertad y a la seguridad personales (artículo 9)” del Comité de Derechos Humanos de la ONU, 16º período de sesiones (1982), párrafo 1. (HRI/GEN/1/Rev.9 (</w:t>
      </w:r>
      <w:proofErr w:type="spellStart"/>
      <w:r w:rsidRPr="00983862">
        <w:t>Vol.I</w:t>
      </w:r>
      <w:proofErr w:type="spellEnd"/>
      <w:r w:rsidRPr="00983862">
        <w:t>))</w:t>
      </w:r>
    </w:p>
    <w:p w:rsidR="00662C30" w:rsidRPr="00983862" w:rsidRDefault="00662C30" w:rsidP="004551E9">
      <w:pPr>
        <w:pStyle w:val="Prrafodelista"/>
      </w:pPr>
      <w:r w:rsidRPr="00983862">
        <w:t>Observación General No. 9, Comentarios generales adoptados por el Comité de los Derechos Humanos, Artículo 10 - Trato humano de las personas privadas de libertad, 16º período de sesiones, U.N. Doc. HRI</w:t>
      </w:r>
      <w:r>
        <w:t>/GEN/1/Rev.7 at 148 (1982)</w:t>
      </w:r>
    </w:p>
    <w:p w:rsidR="00662C30" w:rsidRPr="00983862" w:rsidRDefault="00662C30" w:rsidP="004551E9">
      <w:pPr>
        <w:pStyle w:val="Prrafodelista"/>
      </w:pPr>
      <w:r w:rsidRPr="00983862">
        <w:t>Observación General nº 10 (Artículo 19 libertad de opinión), Comité de Derechos Humanos (1983), HRI/GEN/1/Rev.7</w:t>
      </w:r>
    </w:p>
    <w:p w:rsidR="00662C30" w:rsidRPr="00983862" w:rsidRDefault="00662C30" w:rsidP="004551E9">
      <w:pPr>
        <w:pStyle w:val="Prrafodelista"/>
      </w:pPr>
      <w:r w:rsidRPr="00983862">
        <w:t>Observación General No. 14, Comentarios generales adoptados por el Comité de los Derechos Humanos, Artículo 6 - El derecho a la vida, 23º período de sesiones, U.N. Doc. HRI/GEN/1/Rev.7 at 158 (1984)</w:t>
      </w:r>
    </w:p>
    <w:p w:rsidR="00662C30" w:rsidRPr="00983862" w:rsidRDefault="00662C30" w:rsidP="004551E9">
      <w:pPr>
        <w:pStyle w:val="Prrafodelista"/>
      </w:pPr>
      <w:r w:rsidRPr="00983862">
        <w:t>Observación General No. 16, Comentarios generales adoptados por el Comité de los Derechos Humanos, Artículo 17 - Derecho a la intimidad, 32º período de sesiones, U.N. Doc. HRI/GEN/1/Rev.7 at 162 (1988)</w:t>
      </w:r>
    </w:p>
    <w:p w:rsidR="00662C30" w:rsidRPr="00983862" w:rsidRDefault="00662C30" w:rsidP="004551E9">
      <w:pPr>
        <w:pStyle w:val="Prrafodelista"/>
      </w:pPr>
      <w:r w:rsidRPr="00983862">
        <w:t>Observación general Nº 18 sobre “No Discriminación” del Comité de Derechos Humanos de la ONU, 37º período de sesiones (1989), párrafo 7. (HRI/GEN/1/Rev.9 (</w:t>
      </w:r>
      <w:proofErr w:type="spellStart"/>
      <w:r w:rsidRPr="00983862">
        <w:t>Vol.I</w:t>
      </w:r>
      <w:proofErr w:type="spellEnd"/>
      <w:r w:rsidRPr="00983862">
        <w:t>))</w:t>
      </w:r>
    </w:p>
    <w:p w:rsidR="00662C30" w:rsidRPr="00983862" w:rsidRDefault="00662C30" w:rsidP="004551E9">
      <w:pPr>
        <w:pStyle w:val="Prrafodelista"/>
      </w:pPr>
      <w:r w:rsidRPr="00983862">
        <w:t>Observación general Nº 19 sobre “La familia (artículo 23)” del Comité de Derechos Humanos de la ONU, 39º período de sesiones (1990),</w:t>
      </w:r>
      <w:r>
        <w:t xml:space="preserve"> </w:t>
      </w:r>
      <w:r w:rsidRPr="00983862">
        <w:t>(HRI/GEN/1/Rev.9 (</w:t>
      </w:r>
      <w:proofErr w:type="spellStart"/>
      <w:r w:rsidRPr="00983862">
        <w:t>Vol.I</w:t>
      </w:r>
      <w:proofErr w:type="spellEnd"/>
      <w:r w:rsidRPr="00983862">
        <w:t xml:space="preserve">)).  </w:t>
      </w:r>
    </w:p>
    <w:p w:rsidR="00662C30" w:rsidRPr="00983862" w:rsidRDefault="00662C30" w:rsidP="004551E9">
      <w:pPr>
        <w:pStyle w:val="Prrafodelista"/>
      </w:pPr>
      <w:r w:rsidRPr="00983862">
        <w:t xml:space="preserve">Observación general Nº 20 sobre “Prohibición de la tortura u otros tratos o penas crueles, inhumanos o degradantes (artículo 7)” del </w:t>
      </w:r>
      <w:r w:rsidRPr="00983862">
        <w:lastRenderedPageBreak/>
        <w:t>Comité de Derechos Humanos de la ONU, 44º período de sesiones (1992), párrafos 2 y 7 respectivamente. (HRI/GEN/1/Rev.9 (</w:t>
      </w:r>
      <w:proofErr w:type="spellStart"/>
      <w:r w:rsidRPr="00983862">
        <w:t>Vol.I</w:t>
      </w:r>
      <w:proofErr w:type="spellEnd"/>
      <w:r w:rsidRPr="00983862">
        <w:t>))</w:t>
      </w:r>
    </w:p>
    <w:p w:rsidR="00662C30" w:rsidRPr="00983862" w:rsidRDefault="00662C30" w:rsidP="004551E9">
      <w:pPr>
        <w:pStyle w:val="Prrafodelista"/>
      </w:pPr>
      <w:r w:rsidRPr="00983862">
        <w:t>Observación General No. 24, Comentarios generales adoptados por el Comité de los Derechos Humanos, Observación general sobre cuestiones relacionadas con las reservas formuladas con ocasión de la ratificación del Pacto o de sus Protocolos Facultativos, o de la adhesión a ellos, o en relación con las declaraciones hechas de conformidad con el artículo 41 del Pacto, 52º período de sesiones, U.N. Doc. HRI/GEN/1/Rev.7 at 187 (1994)</w:t>
      </w:r>
    </w:p>
    <w:p w:rsidR="00662C30" w:rsidRPr="00983862" w:rsidRDefault="00662C30" w:rsidP="004551E9">
      <w:pPr>
        <w:pStyle w:val="Prrafodelista"/>
      </w:pPr>
      <w:r w:rsidRPr="00983862">
        <w:t>Observación General No. 25, Comentarios generales adoptados por el Comité de los Derechos Humanos, Artículo 25 - La participación en los asuntos públicos y el derecho de voto, 57º período de sesiones, U.N. Doc. HRI/GEN/1/Rev.7 at 194 (1996).</w:t>
      </w:r>
    </w:p>
    <w:p w:rsidR="00662C30" w:rsidRPr="00983862" w:rsidRDefault="00662C30" w:rsidP="004551E9">
      <w:pPr>
        <w:pStyle w:val="Prrafodelista"/>
      </w:pPr>
      <w:r w:rsidRPr="00983862">
        <w:t>Observación general Nº 28, La igualdad de derechos entre hombres y mujeres (art. 3), Comité de Derechos Humanos de la ONU, 68º período de sesiones (2000), párrafo 19. (HRI/GEN/1/Rev.9 (</w:t>
      </w:r>
      <w:proofErr w:type="spellStart"/>
      <w:r w:rsidRPr="00983862">
        <w:t>Vol.I</w:t>
      </w:r>
      <w:proofErr w:type="spellEnd"/>
      <w:r w:rsidRPr="00983862">
        <w:t>))</w:t>
      </w:r>
    </w:p>
    <w:p w:rsidR="00662C30" w:rsidRPr="00983862" w:rsidRDefault="00662C30" w:rsidP="004551E9">
      <w:pPr>
        <w:pStyle w:val="Prrafodelista"/>
      </w:pPr>
      <w:r w:rsidRPr="00983862">
        <w:t>Observación General No. 31, Comentarios generales adoptados por el Comité de los Derechos Humanos, La índole de la obligación jurídica general impuesta, 80º período de sesiones, U.N. Doc. HRI/GEN/1/Rev.7 at 225 (2004)</w:t>
      </w:r>
    </w:p>
    <w:p w:rsidR="00662C30" w:rsidRPr="00983862" w:rsidRDefault="00662C30" w:rsidP="004551E9">
      <w:pPr>
        <w:pStyle w:val="Prrafodelista"/>
      </w:pPr>
      <w:r w:rsidRPr="00983862">
        <w:rPr>
          <w:i/>
        </w:rPr>
        <w:t xml:space="preserve">Observaciones Finales al Estado Belga, </w:t>
      </w:r>
      <w:r w:rsidRPr="00983862">
        <w:t>CCPR/C/BE</w:t>
      </w:r>
      <w:r>
        <w:t>L/CO/5, 18 de noviembre de 2010</w:t>
      </w:r>
    </w:p>
    <w:p w:rsidR="00662C30" w:rsidRPr="00983862" w:rsidRDefault="00662C30" w:rsidP="004551E9">
      <w:pPr>
        <w:pStyle w:val="Prrafodelista"/>
      </w:pPr>
      <w:r w:rsidRPr="00983862">
        <w:t>Observaciones Finales al Estado Argentino, CCPR/C/ARG/CO/4, 31 de marzo de 2010</w:t>
      </w:r>
    </w:p>
    <w:p w:rsidR="00662C30" w:rsidRPr="00983862" w:rsidRDefault="00662C30" w:rsidP="004551E9">
      <w:pPr>
        <w:pStyle w:val="Prrafodelista"/>
      </w:pPr>
      <w:r w:rsidRPr="00983862">
        <w:t>Observaciones Finales al Estado Noruego, CCPR/C/NOR/CO/6, 18 de noviembre de 2011</w:t>
      </w:r>
    </w:p>
    <w:p w:rsidR="00662C30" w:rsidRPr="00983862" w:rsidRDefault="00662C30" w:rsidP="004551E9">
      <w:pPr>
        <w:pStyle w:val="Prrafodelista"/>
        <w:rPr>
          <w:i/>
        </w:rPr>
      </w:pPr>
      <w:r w:rsidRPr="00983862">
        <w:rPr>
          <w:i/>
        </w:rPr>
        <w:t xml:space="preserve">Observaciones Finales al Estado Ruso, </w:t>
      </w:r>
      <w:r w:rsidRPr="00983862">
        <w:t>CCPR/C/RUS/CO/6, 24 de noviembre de 2009</w:t>
      </w:r>
    </w:p>
    <w:p w:rsidR="00662C30" w:rsidRPr="00983862" w:rsidRDefault="00662C30" w:rsidP="004551E9">
      <w:pPr>
        <w:pStyle w:val="Prrafodelista"/>
      </w:pPr>
      <w:r w:rsidRPr="00983862">
        <w:t>Observaciones Finales al Estado Croata CCPR/C/HRV/CO/2, 4 de noviembre de 2009</w:t>
      </w:r>
    </w:p>
    <w:p w:rsidR="00662C30" w:rsidRPr="00983862" w:rsidRDefault="00662C30" w:rsidP="004551E9">
      <w:pPr>
        <w:pStyle w:val="Prrafodelista"/>
      </w:pPr>
      <w:r w:rsidRPr="00983862">
        <w:lastRenderedPageBreak/>
        <w:t xml:space="preserve">Observaciones Finales al Informe del Estado de la República Dominicana, CCPR/C/DOM/CO/5, 19 </w:t>
      </w:r>
      <w:proofErr w:type="spellStart"/>
      <w:r w:rsidRPr="00983862">
        <w:t>April</w:t>
      </w:r>
      <w:proofErr w:type="spellEnd"/>
      <w:r w:rsidRPr="00983862">
        <w:t xml:space="preserve"> 2012</w:t>
      </w:r>
    </w:p>
    <w:p w:rsidR="00662C30" w:rsidRPr="00983862" w:rsidRDefault="00662C30" w:rsidP="004551E9">
      <w:pPr>
        <w:pStyle w:val="Prrafodelista"/>
      </w:pPr>
      <w:r w:rsidRPr="00983862">
        <w:t>Observaciones finales del Comité de Derechos Humanos al Tercer Informe Periódico de Panamá, CCPR/C/PAN/CO/3, 17 de abril de 2008, párrafo 8.</w:t>
      </w:r>
    </w:p>
    <w:p w:rsidR="00662C30" w:rsidRPr="00983862" w:rsidRDefault="00662C30" w:rsidP="004551E9">
      <w:pPr>
        <w:pStyle w:val="Prrafodelista"/>
      </w:pPr>
      <w:r w:rsidRPr="00983862">
        <w:t>Observaciones finales del Comité de Derechos Humanos al Segundo Informe Periódico de la República Checa, CCPR/C/CZE/CO/2, 9 de agosto de 2007, párrafo 14</w:t>
      </w:r>
    </w:p>
    <w:p w:rsidR="00662C30" w:rsidRPr="00983862" w:rsidRDefault="00662C30" w:rsidP="004551E9">
      <w:pPr>
        <w:pStyle w:val="Prrafodelista"/>
        <w:rPr>
          <w:i/>
        </w:rPr>
      </w:pPr>
      <w:r w:rsidRPr="00983862">
        <w:rPr>
          <w:i/>
        </w:rPr>
        <w:t xml:space="preserve">Hamilton v. Jamaica, Comunicación Nro. 616/1995, </w:t>
      </w:r>
      <w:r w:rsidRPr="00983862">
        <w:t>Dictamen aprobado por el Comité de Derechos Humanos el 28 de julio de 1999 (CCPR/C/66/D/616/1995)</w:t>
      </w:r>
    </w:p>
    <w:p w:rsidR="00662C30" w:rsidRPr="00983862" w:rsidRDefault="00662C30" w:rsidP="004551E9">
      <w:pPr>
        <w:pStyle w:val="Prrafodelista"/>
      </w:pPr>
      <w:proofErr w:type="spellStart"/>
      <w:r w:rsidRPr="00983862">
        <w:t>Bozena</w:t>
      </w:r>
      <w:proofErr w:type="spellEnd"/>
      <w:r w:rsidRPr="00983862">
        <w:t xml:space="preserve"> </w:t>
      </w:r>
      <w:proofErr w:type="spellStart"/>
      <w:r w:rsidRPr="00983862">
        <w:t>Fijalkowska</w:t>
      </w:r>
      <w:proofErr w:type="spellEnd"/>
      <w:r w:rsidRPr="00983862">
        <w:t xml:space="preserve"> Vs. Polonia. Comité de Derechos Humanos. Comunicación No 1061/2002. 4 de agosto de 2005.</w:t>
      </w:r>
    </w:p>
    <w:p w:rsidR="00662C30" w:rsidRPr="00983862" w:rsidRDefault="00662C30" w:rsidP="004551E9">
      <w:pPr>
        <w:pStyle w:val="Prrafodelista"/>
      </w:pPr>
      <w:r w:rsidRPr="00983862">
        <w:t>Vs. Nueva Zelanda. Comunicación No 754/1997. 15 de julio de 1999</w:t>
      </w:r>
    </w:p>
    <w:p w:rsidR="000D0A1A" w:rsidRPr="00F419DD" w:rsidRDefault="000D0A1A" w:rsidP="004551E9">
      <w:pPr>
        <w:rPr>
          <w:i/>
        </w:rPr>
      </w:pPr>
      <w:r w:rsidRPr="00F419DD">
        <w:rPr>
          <w:i/>
        </w:rPr>
        <w:t>Comité de Derechos Económicos, Sociales y Culturales</w:t>
      </w:r>
    </w:p>
    <w:p w:rsidR="000D0A1A" w:rsidRPr="0045059D" w:rsidRDefault="000D0A1A" w:rsidP="004551E9">
      <w:pPr>
        <w:pStyle w:val="Prrafodelista"/>
      </w:pPr>
      <w:r w:rsidRPr="0045059D">
        <w:rPr>
          <w:i/>
        </w:rPr>
        <w:t>Observación general Nº 3, La índole de las obligaciones de los Estados Partes (párrafo 1 del artículo 2 del Pacto),</w:t>
      </w:r>
      <w:r w:rsidRPr="0045059D">
        <w:t xml:space="preserve"> aprobada por el Comité de Derechos Económicos, Sociales y Culturales en 1990, párrafos 1-9. (HRI/GEN/1/Rev.9 (</w:t>
      </w:r>
      <w:proofErr w:type="spellStart"/>
      <w:r w:rsidRPr="0045059D">
        <w:t>Vol.I</w:t>
      </w:r>
      <w:proofErr w:type="spellEnd"/>
      <w:r w:rsidRPr="0045059D">
        <w:t>)).</w:t>
      </w:r>
    </w:p>
    <w:p w:rsidR="000D0A1A" w:rsidRPr="0045059D" w:rsidRDefault="000D0A1A" w:rsidP="004551E9">
      <w:pPr>
        <w:pStyle w:val="Prrafodelista"/>
      </w:pPr>
      <w:r w:rsidRPr="0045059D">
        <w:t>Observación general 4, El derecho a una vivienda adecuada (párrafo 1 del artículo 11 del Pacto), (Sexto período de sesiones, 1991), U.N. Doc. E/1991/23 (1991),</w:t>
      </w:r>
    </w:p>
    <w:p w:rsidR="000D0A1A" w:rsidRPr="0045059D" w:rsidRDefault="000D0A1A" w:rsidP="004551E9">
      <w:pPr>
        <w:pStyle w:val="Prrafodelista"/>
      </w:pPr>
      <w:r w:rsidRPr="0045059D">
        <w:rPr>
          <w:i/>
        </w:rPr>
        <w:t>Observación General Nro. 5, las personas con discapacidad</w:t>
      </w:r>
      <w:r w:rsidRPr="0045059D">
        <w:t>, aprobada por el Comité de Derechos Económicos, Sociales y Culturales en 1994. (HRI/GEN/1/Rev.9 (</w:t>
      </w:r>
      <w:proofErr w:type="spellStart"/>
      <w:r w:rsidRPr="0045059D">
        <w:t>Vol.I</w:t>
      </w:r>
      <w:proofErr w:type="spellEnd"/>
      <w:r w:rsidRPr="0045059D">
        <w:t>))</w:t>
      </w:r>
    </w:p>
    <w:p w:rsidR="000D0A1A" w:rsidRPr="0045059D" w:rsidRDefault="000D0A1A" w:rsidP="004551E9">
      <w:pPr>
        <w:pStyle w:val="Prrafodelista"/>
      </w:pPr>
      <w:r w:rsidRPr="0045059D">
        <w:t>Observación general 12, El derecho a una alimentación adecuada (art. 11), (20º período de sesiones, 1999), U.N. Doc. E/C.12/1999/5 (1999)</w:t>
      </w:r>
    </w:p>
    <w:p w:rsidR="000D0A1A" w:rsidRPr="0045059D" w:rsidRDefault="000D0A1A" w:rsidP="004551E9">
      <w:pPr>
        <w:pStyle w:val="Prrafodelista"/>
      </w:pPr>
      <w:r w:rsidRPr="0045059D">
        <w:rPr>
          <w:i/>
        </w:rPr>
        <w:lastRenderedPageBreak/>
        <w:t>Observación general Nº 13, El derecho a la educación (artículo 13),</w:t>
      </w:r>
      <w:r w:rsidRPr="0045059D">
        <w:t xml:space="preserve"> aprobada por el Comité de Derechos Económicos, Sociales y Culturales en 1999, (HRI/GEN/1/Rev.9 (</w:t>
      </w:r>
      <w:proofErr w:type="spellStart"/>
      <w:r w:rsidRPr="0045059D">
        <w:t>Vol.I</w:t>
      </w:r>
      <w:proofErr w:type="spellEnd"/>
      <w:r w:rsidRPr="0045059D">
        <w:t>))</w:t>
      </w:r>
    </w:p>
    <w:p w:rsidR="000D0A1A" w:rsidRPr="0045059D" w:rsidRDefault="000D0A1A" w:rsidP="004551E9">
      <w:pPr>
        <w:pStyle w:val="Prrafodelista"/>
      </w:pPr>
      <w:r w:rsidRPr="0045059D">
        <w:rPr>
          <w:i/>
        </w:rPr>
        <w:t>Observación general Nº 14 (2000). El derecho al disfrute del más alto nivel posible de salud</w:t>
      </w:r>
      <w:r w:rsidRPr="0045059D">
        <w:t xml:space="preserve"> (artículo 12 del Pacto Internacional de Derechos Económicos, Sociales y Culturales), E/C.12/2000/4, 11 de agosto de 2000</w:t>
      </w:r>
    </w:p>
    <w:p w:rsidR="000D0A1A" w:rsidRPr="0045059D" w:rsidRDefault="000D0A1A" w:rsidP="004551E9">
      <w:pPr>
        <w:pStyle w:val="Prrafodelista"/>
      </w:pPr>
      <w:r w:rsidRPr="0045059D">
        <w:t>Observación general 15, El derecho al agua (artículos 11 y 12 del Pacto), (29º período de sesiones 2002), U.N. Doc. HRI/GEN/1/Rev.7 at 117 (2002)</w:t>
      </w:r>
    </w:p>
    <w:p w:rsidR="000D0A1A" w:rsidRPr="0045059D" w:rsidRDefault="000D0A1A" w:rsidP="004551E9">
      <w:pPr>
        <w:pStyle w:val="Prrafodelista"/>
      </w:pPr>
      <w:r w:rsidRPr="0045059D">
        <w:t>Observación general Nº 16 (2005), La igualdad de derechos del hombre y la mujer al disfrute de los derechos económicos, sociales y culturales (artículo 3 del Pacto Internacional de Derechos Económicos, Sociales y Culturales)</w:t>
      </w:r>
    </w:p>
    <w:p w:rsidR="000D0A1A" w:rsidRPr="0045059D" w:rsidRDefault="000D0A1A" w:rsidP="004551E9">
      <w:pPr>
        <w:pStyle w:val="Prrafodelista"/>
      </w:pPr>
      <w:r w:rsidRPr="0045059D">
        <w:t>Observación General nº 17, Derecho de toda persona a beneficiarse de la protección de los intereses morales y materiales que le correspondan por razón de las producciones científicas, literarias o artísticas de que sea autor(a) (apartado c) del párrafo 1 del artículo 15 del Pacto, E/C.12/GC/17, 12 de enero de 2006</w:t>
      </w:r>
    </w:p>
    <w:p w:rsidR="000D0A1A" w:rsidRPr="0045059D" w:rsidRDefault="000D0A1A" w:rsidP="004551E9">
      <w:pPr>
        <w:pStyle w:val="Prrafodelista"/>
      </w:pPr>
      <w:r w:rsidRPr="0045059D">
        <w:rPr>
          <w:i/>
        </w:rPr>
        <w:t>Observación general Nº 18, derecho al trabajo,</w:t>
      </w:r>
      <w:r w:rsidRPr="0045059D">
        <w:t xml:space="preserve"> (Artículo 6 del Pacto Internacional de Derecho Económicos, Sociales y Culturales), E/C.12/GC/18, 6 de febrero de 2006</w:t>
      </w:r>
    </w:p>
    <w:p w:rsidR="000D0A1A" w:rsidRPr="0045059D" w:rsidRDefault="000D0A1A" w:rsidP="004551E9">
      <w:pPr>
        <w:pStyle w:val="Prrafodelista"/>
      </w:pPr>
      <w:r w:rsidRPr="0045059D">
        <w:rPr>
          <w:i/>
        </w:rPr>
        <w:t>Observación General No. 19. El derecho a la seguridad social</w:t>
      </w:r>
      <w:r w:rsidRPr="0045059D">
        <w:t>, Comité Derechos Económicos, Sociales y Culturales, ﻿﻿E/C.12/GC/19, 4 de febrero de 2008, párrafo 2</w:t>
      </w:r>
    </w:p>
    <w:p w:rsidR="000D0A1A" w:rsidRPr="0045059D" w:rsidRDefault="000D0A1A" w:rsidP="004551E9">
      <w:pPr>
        <w:pStyle w:val="Prrafodelista"/>
      </w:pPr>
      <w:r w:rsidRPr="0045059D">
        <w:t>Observación General n°20 del Comité de Derechos Econ</w:t>
      </w:r>
      <w:r>
        <w:t xml:space="preserve">ómicos, Sociales y Culturales, </w:t>
      </w:r>
      <w:r w:rsidRPr="0045059D">
        <w:t>La no discriminación y los derechos económicos, sociales y culturales (artículo 2, párrafo 2 del Pacto Internacional de Derechos Económicos, Sociales y Culturales)</w:t>
      </w:r>
      <w:r>
        <w:tab/>
      </w:r>
      <w:r w:rsidRPr="0045059D">
        <w:t>, E/C.12/GC/20, 2 de julio de 2009</w:t>
      </w:r>
    </w:p>
    <w:p w:rsidR="000D0A1A" w:rsidRPr="0045059D" w:rsidRDefault="000D0A1A" w:rsidP="004551E9">
      <w:pPr>
        <w:pStyle w:val="Prrafodelista"/>
      </w:pPr>
      <w:r w:rsidRPr="0045059D">
        <w:rPr>
          <w:i/>
        </w:rPr>
        <w:lastRenderedPageBreak/>
        <w:t>Observación general Nº 21, Derecho de toda persona a participar en la vida cultural</w:t>
      </w:r>
      <w:r w:rsidRPr="0045059D">
        <w:t xml:space="preserve"> (artículo 15, párrafo 1 a), del Pacto Internacional de Derechos Económicos, Sociales y Culturas), E/C.12/GC/21/Rev.1, 17 de mayo de 2010</w:t>
      </w:r>
    </w:p>
    <w:p w:rsidR="000D0A1A" w:rsidRPr="0045059D" w:rsidRDefault="000D0A1A" w:rsidP="004551E9">
      <w:pPr>
        <w:pStyle w:val="Prrafodelista"/>
      </w:pPr>
      <w:r w:rsidRPr="0045059D">
        <w:t>Directrices sobre los documentos específicos que deben presentar los Estados Partes con arreglo a los artículos 16 y 17 del Pacto Internacional de Derechos Económicos, Sociales y Culturales, E/C.12/2008/2, 24 de marzo de 2009</w:t>
      </w:r>
    </w:p>
    <w:p w:rsidR="000D0A1A" w:rsidRDefault="000D0A1A" w:rsidP="004551E9">
      <w:pPr>
        <w:pStyle w:val="Prrafodelista"/>
      </w:pPr>
      <w:r w:rsidRPr="0045059D">
        <w:rPr>
          <w:i/>
        </w:rPr>
        <w:t>Informe de Argentina</w:t>
      </w:r>
      <w:r w:rsidRPr="0045059D">
        <w:t xml:space="preserve"> (E/C.12</w:t>
      </w:r>
      <w:r>
        <w:t xml:space="preserve">/ARG/3, 26 de enero de 2011)  </w:t>
      </w:r>
    </w:p>
    <w:p w:rsidR="000D0A1A" w:rsidRDefault="000D0A1A" w:rsidP="004551E9">
      <w:pPr>
        <w:pStyle w:val="Prrafodelista"/>
      </w:pPr>
      <w:r w:rsidRPr="0045059D">
        <w:rPr>
          <w:i/>
        </w:rPr>
        <w:t>Informe de Brasil</w:t>
      </w:r>
      <w:r w:rsidRPr="0045059D">
        <w:t xml:space="preserve"> (E/C.1</w:t>
      </w:r>
      <w:r>
        <w:t xml:space="preserve">2/BRA/2, 28 de enero de 2008) </w:t>
      </w:r>
    </w:p>
    <w:p w:rsidR="000D0A1A" w:rsidRDefault="000D0A1A" w:rsidP="004551E9">
      <w:pPr>
        <w:pStyle w:val="Prrafodelista"/>
      </w:pPr>
      <w:r w:rsidRPr="0045059D">
        <w:rPr>
          <w:i/>
        </w:rPr>
        <w:t>Informe de España</w:t>
      </w:r>
      <w:r w:rsidRPr="0045059D">
        <w:t xml:space="preserve"> (HRI/CORE/ESP</w:t>
      </w:r>
      <w:r>
        <w:t>/2010, 21 de febrero de 2011)</w:t>
      </w:r>
    </w:p>
    <w:p w:rsidR="000D0A1A" w:rsidRDefault="000D0A1A" w:rsidP="004551E9">
      <w:pPr>
        <w:pStyle w:val="Prrafodelista"/>
      </w:pPr>
      <w:r w:rsidRPr="0045059D">
        <w:rPr>
          <w:i/>
        </w:rPr>
        <w:t>Informe de Nueva Zelanda</w:t>
      </w:r>
      <w:r w:rsidRPr="0045059D">
        <w:t xml:space="preserve"> (E/C.1</w:t>
      </w:r>
      <w:r>
        <w:t xml:space="preserve">2/NZL/3, 17 de enero de 2011) </w:t>
      </w:r>
    </w:p>
    <w:p w:rsidR="000D0A1A" w:rsidRDefault="000D0A1A" w:rsidP="004551E9">
      <w:pPr>
        <w:pStyle w:val="Prrafodelista"/>
      </w:pPr>
      <w:r w:rsidRPr="0045059D">
        <w:rPr>
          <w:i/>
        </w:rPr>
        <w:t>Informe de Perú</w:t>
      </w:r>
      <w:r w:rsidRPr="0045059D">
        <w:t xml:space="preserve"> (E/C.12/</w:t>
      </w:r>
      <w:r>
        <w:t>PER/2-4, 20 de enero de 2011)</w:t>
      </w:r>
    </w:p>
    <w:p w:rsidR="000D0A1A" w:rsidRDefault="000D0A1A" w:rsidP="004551E9">
      <w:pPr>
        <w:pStyle w:val="Prrafodelista"/>
      </w:pPr>
      <w:r w:rsidRPr="0045059D">
        <w:t>I</w:t>
      </w:r>
      <w:r w:rsidRPr="004328C9">
        <w:rPr>
          <w:i/>
        </w:rPr>
        <w:t>nforme de Reino Unido</w:t>
      </w:r>
      <w:r w:rsidRPr="0045059D">
        <w:t xml:space="preserve"> (E/C.12</w:t>
      </w:r>
      <w:r>
        <w:t>/GBR/5,  31 de enero de 2008)</w:t>
      </w:r>
    </w:p>
    <w:p w:rsidR="000D0A1A" w:rsidRPr="0045059D" w:rsidRDefault="000D0A1A" w:rsidP="004551E9">
      <w:pPr>
        <w:pStyle w:val="Prrafodelista"/>
      </w:pPr>
      <w:r w:rsidRPr="0045059D">
        <w:t>Observaciones Finales del Comité a Argentina</w:t>
      </w:r>
      <w:r>
        <w:t xml:space="preserve"> (E/C.12/ARG/CO/3)</w:t>
      </w:r>
    </w:p>
    <w:p w:rsidR="000D0A1A" w:rsidRPr="0045059D" w:rsidRDefault="000D0A1A" w:rsidP="004551E9">
      <w:pPr>
        <w:pStyle w:val="Prrafodelista"/>
      </w:pPr>
      <w:r w:rsidRPr="0045059D">
        <w:t>Observaciones Finales del Comité a Brasil</w:t>
      </w:r>
      <w:r>
        <w:t xml:space="preserve"> </w:t>
      </w:r>
      <w:r w:rsidRPr="0045059D">
        <w:t>(E/C.12/BRA/CO/2, 12 de junio de 2009)</w:t>
      </w:r>
    </w:p>
    <w:p w:rsidR="000D0A1A" w:rsidRPr="0045059D" w:rsidRDefault="000D0A1A" w:rsidP="004551E9">
      <w:pPr>
        <w:pStyle w:val="Prrafodelista"/>
      </w:pPr>
      <w:r w:rsidRPr="0045059D">
        <w:t>Observaciones Finales del Comité a España (E/C.1</w:t>
      </w:r>
      <w:r>
        <w:t>2/ESP/CO/5, 6 de junio de 2012)</w:t>
      </w:r>
    </w:p>
    <w:p w:rsidR="000D0A1A" w:rsidRPr="004328C9" w:rsidRDefault="000D0A1A" w:rsidP="004551E9">
      <w:pPr>
        <w:pStyle w:val="Prrafodelista"/>
      </w:pPr>
      <w:r w:rsidRPr="004328C9">
        <w:t>Observaciones finales del Comité a la República de Moldava, (E/C.12/MDA/CO/2,  12 de julio de 2011)</w:t>
      </w:r>
    </w:p>
    <w:p w:rsidR="000D0A1A" w:rsidRDefault="000D0A1A" w:rsidP="004551E9">
      <w:pPr>
        <w:pStyle w:val="Prrafodelista"/>
      </w:pPr>
      <w:r w:rsidRPr="004328C9">
        <w:t>Observaciones finales del Comité a Mauritania, (E/C.12/MRT/CO/1, 10 de diciembre de 2012)</w:t>
      </w:r>
    </w:p>
    <w:p w:rsidR="000D0A1A" w:rsidRPr="0045059D" w:rsidRDefault="000D0A1A" w:rsidP="004551E9">
      <w:pPr>
        <w:pStyle w:val="Prrafodelista"/>
      </w:pPr>
      <w:r w:rsidRPr="0045059D">
        <w:t>Observaciones Finales del Comité a Nueva Zelanda</w:t>
      </w:r>
      <w:r>
        <w:t xml:space="preserve"> </w:t>
      </w:r>
      <w:r w:rsidRPr="0045059D">
        <w:t>(E/C.1</w:t>
      </w:r>
      <w:r>
        <w:t>2/NZL/CO/3, 31 de mayo de 2012)</w:t>
      </w:r>
    </w:p>
    <w:p w:rsidR="000D0A1A" w:rsidRPr="0045059D" w:rsidRDefault="000D0A1A" w:rsidP="004551E9">
      <w:pPr>
        <w:pStyle w:val="Prrafodelista"/>
      </w:pPr>
      <w:r w:rsidRPr="0045059D">
        <w:rPr>
          <w:i/>
        </w:rPr>
        <w:t>Observaciones Finales del Comité a Perú</w:t>
      </w:r>
      <w:r>
        <w:t xml:space="preserve"> </w:t>
      </w:r>
      <w:r w:rsidRPr="0045059D">
        <w:t>(E/C.12/</w:t>
      </w:r>
      <w:r>
        <w:t>PER/CO/2-4; 30 de mayo de 2012)</w:t>
      </w:r>
    </w:p>
    <w:p w:rsidR="000D0A1A" w:rsidRPr="0045059D" w:rsidRDefault="000D0A1A" w:rsidP="004551E9">
      <w:pPr>
        <w:pStyle w:val="Prrafodelista"/>
      </w:pPr>
      <w:r w:rsidRPr="004328C9">
        <w:t>Observaciones Finales del Comité al Reino Unido</w:t>
      </w:r>
      <w:r>
        <w:t xml:space="preserve"> </w:t>
      </w:r>
      <w:r w:rsidRPr="0045059D">
        <w:t>(E/C.12/GBR/CO/5, 12 de junio de 2009)</w:t>
      </w:r>
    </w:p>
    <w:p w:rsidR="000D0A1A" w:rsidRPr="00F419DD" w:rsidRDefault="00847E04" w:rsidP="004551E9">
      <w:pPr>
        <w:rPr>
          <w:i/>
        </w:rPr>
      </w:pPr>
      <w:r w:rsidRPr="00F419DD">
        <w:rPr>
          <w:i/>
        </w:rPr>
        <w:t>Comité Contra la Tortura</w:t>
      </w:r>
    </w:p>
    <w:p w:rsidR="00847E04" w:rsidRPr="006F0393" w:rsidRDefault="00847E04" w:rsidP="004551E9">
      <w:pPr>
        <w:pStyle w:val="Prrafodelista"/>
      </w:pPr>
      <w:r w:rsidRPr="006F0393">
        <w:lastRenderedPageBreak/>
        <w:t>Observación General n° 2. Aplicación del Artículo 2 por los Estados Partes, Comité contra la Tortura, CAT/C/GC/2, 24 de enero de 2008</w:t>
      </w:r>
    </w:p>
    <w:p w:rsidR="00847E04" w:rsidRPr="006F0393" w:rsidRDefault="00847E04" w:rsidP="004551E9">
      <w:pPr>
        <w:pStyle w:val="Prrafodelista"/>
      </w:pPr>
      <w:r w:rsidRPr="006F0393">
        <w:rPr>
          <w:i/>
        </w:rPr>
        <w:t>Observaciones Finales al Estado de Colombia</w:t>
      </w:r>
      <w:r w:rsidRPr="006F0393">
        <w:t>,  Informe Anual del Comité Contra la Tortura, período 2009-2010,</w:t>
      </w:r>
    </w:p>
    <w:p w:rsidR="00847E04" w:rsidRPr="006F0393" w:rsidRDefault="00847E04" w:rsidP="004551E9">
      <w:pPr>
        <w:pStyle w:val="Prrafodelista"/>
      </w:pPr>
      <w:r w:rsidRPr="006F0393">
        <w:rPr>
          <w:i/>
        </w:rPr>
        <w:t>Observaciones Finales al Estado de Bosnia y Herzegovina</w:t>
      </w:r>
      <w:r w:rsidRPr="006F0393">
        <w:t>,  Informe Anual del Comité Contra la Tortura, período 2010-2011</w:t>
      </w:r>
    </w:p>
    <w:p w:rsidR="00847E04" w:rsidRPr="006F0393" w:rsidRDefault="00847E04" w:rsidP="004551E9">
      <w:pPr>
        <w:pStyle w:val="Prrafodelista"/>
      </w:pPr>
      <w:r w:rsidRPr="006F0393">
        <w:rPr>
          <w:i/>
        </w:rPr>
        <w:t>Observaciones Finales al Estado de Estonia</w:t>
      </w:r>
      <w:r w:rsidRPr="006F0393">
        <w:t>, Informe Anual del Comité Contra la Tortura, período 2007-2008,</w:t>
      </w:r>
    </w:p>
    <w:p w:rsidR="00847E04" w:rsidRPr="006F0393" w:rsidRDefault="00847E04" w:rsidP="004551E9">
      <w:pPr>
        <w:pStyle w:val="Prrafodelista"/>
      </w:pPr>
      <w:r w:rsidRPr="006F0393">
        <w:rPr>
          <w:i/>
        </w:rPr>
        <w:t>Observaciones Finales al Estado de Azerbaiyán</w:t>
      </w:r>
      <w:r w:rsidRPr="006F0393">
        <w:t>,  Informe Anual del Comité Contra la Tortura, período 2009-2010</w:t>
      </w:r>
    </w:p>
    <w:p w:rsidR="00847E04" w:rsidRPr="006F0393" w:rsidRDefault="00847E04" w:rsidP="004551E9">
      <w:pPr>
        <w:pStyle w:val="Prrafodelista"/>
      </w:pPr>
      <w:r w:rsidRPr="006F0393">
        <w:rPr>
          <w:i/>
        </w:rPr>
        <w:t>Observaciones Finales al Estado de Letonia</w:t>
      </w:r>
      <w:r w:rsidRPr="006F0393">
        <w:t>, Informe Anual del Comité Contra la Tortura, período 2007-2008,</w:t>
      </w:r>
    </w:p>
    <w:p w:rsidR="00847E04" w:rsidRPr="006F0393" w:rsidRDefault="00847E04" w:rsidP="004551E9">
      <w:pPr>
        <w:pStyle w:val="Prrafodelista"/>
      </w:pPr>
      <w:r w:rsidRPr="006F0393">
        <w:rPr>
          <w:i/>
        </w:rPr>
        <w:t>Observaciones Finales al Estado de Eslovaquia</w:t>
      </w:r>
      <w:r w:rsidRPr="006F0393">
        <w:t>,  Informe Anual del Comité Contra la Tortura, período 2009-2010</w:t>
      </w:r>
    </w:p>
    <w:p w:rsidR="00847E04" w:rsidRPr="006F0393" w:rsidRDefault="00847E04" w:rsidP="004551E9">
      <w:pPr>
        <w:pStyle w:val="Prrafodelista"/>
      </w:pPr>
      <w:r w:rsidRPr="006F0393">
        <w:rPr>
          <w:i/>
        </w:rPr>
        <w:t>Observaciones Finales al Estado Serbio</w:t>
      </w:r>
      <w:r w:rsidRPr="006F0393">
        <w:t>, Informe Anual del Comité Contra la Tortura, período 2008-2009</w:t>
      </w:r>
    </w:p>
    <w:p w:rsidR="00847E04" w:rsidRPr="00F419DD" w:rsidRDefault="004B35D3" w:rsidP="004551E9">
      <w:pPr>
        <w:rPr>
          <w:i/>
        </w:rPr>
      </w:pPr>
      <w:r w:rsidRPr="00F419DD">
        <w:rPr>
          <w:i/>
        </w:rPr>
        <w:t>Comité para la Eliminación de Todas las Formas de Discriminación contra la Mujer</w:t>
      </w:r>
    </w:p>
    <w:p w:rsidR="004B35D3" w:rsidRPr="009D384A" w:rsidRDefault="004B35D3" w:rsidP="004551E9">
      <w:pPr>
        <w:pStyle w:val="Prrafodelista"/>
      </w:pPr>
      <w:r w:rsidRPr="009D384A">
        <w:rPr>
          <w:i/>
        </w:rPr>
        <w:t xml:space="preserve">Recomendación general Nº 18, Las mujeres discapacitadas. </w:t>
      </w:r>
      <w:r w:rsidRPr="009D384A">
        <w:t>Décimo período de sesiones (1991), Comité para la Eliminación de la Discriminación contra la Mujer, Recopilación de las Observaciones Generales y Recomendaciones Generales adoptadas por Órganos creados en virtud de tratados de Derechos Humanos. Naciones Unidas, HRI/GEN/1/Rev.7, 12 de mayo de 2004</w:t>
      </w:r>
    </w:p>
    <w:p w:rsidR="004B35D3" w:rsidRPr="009D384A" w:rsidRDefault="004B35D3" w:rsidP="004551E9">
      <w:pPr>
        <w:pStyle w:val="Prrafodelista"/>
      </w:pPr>
      <w:r w:rsidRPr="009D384A">
        <w:rPr>
          <w:i/>
        </w:rPr>
        <w:t xml:space="preserve">Recomendación general Nº 21, La igualdad en el matrimonio y en las relaciones familiares, </w:t>
      </w:r>
      <w:r w:rsidRPr="009D384A">
        <w:t>Comité de las Naciones Unidas para la Eliminación de la Discriminación de la Mujer, A/49/38, 1994</w:t>
      </w:r>
    </w:p>
    <w:p w:rsidR="004B35D3" w:rsidRPr="009D384A" w:rsidRDefault="004B35D3" w:rsidP="004551E9">
      <w:pPr>
        <w:pStyle w:val="Prrafodelista"/>
      </w:pPr>
      <w:r w:rsidRPr="009D384A">
        <w:t xml:space="preserve">Recomendación general Nº 24, Artículo 12 de la Convención sobre la eliminación de todas las formas de discriminación contra la mujer - La mujer y la salud. 20º período de sesiones (1999), Comité para la </w:t>
      </w:r>
      <w:r w:rsidRPr="009D384A">
        <w:lastRenderedPageBreak/>
        <w:t>Eliminación de la Discriminación contra la Mujer, Recopilación de las Observaciones Generales y Recomendaciones Generales adoptadas por Órganos creados en virtud de tratados de Derechos Humanos. Naciones Unidas, HRI/GEN/1/Rev.7, 12 de mayo de 2004</w:t>
      </w:r>
    </w:p>
    <w:p w:rsidR="004B35D3" w:rsidRPr="009D384A" w:rsidRDefault="004B35D3" w:rsidP="004551E9">
      <w:pPr>
        <w:pStyle w:val="Prrafodelista"/>
      </w:pPr>
      <w:r w:rsidRPr="009D384A">
        <w:t>Recomendación general Nº 28 relativa al artículo 2 de la Convención sobre la eliminación de todas las formas de discriminación contra la mujer. Comité para la Eliminación de la Discriminación  contra la Mujer. CEDAW/C/GC/28, 16 de diciembre de 2010</w:t>
      </w:r>
    </w:p>
    <w:p w:rsidR="004B35D3" w:rsidRPr="009D384A" w:rsidRDefault="004B35D3" w:rsidP="004551E9">
      <w:pPr>
        <w:pStyle w:val="Prrafodelista"/>
        <w:rPr>
          <w:i/>
        </w:rPr>
      </w:pPr>
      <w:r w:rsidRPr="009D384A">
        <w:rPr>
          <w:i/>
        </w:rPr>
        <w:t xml:space="preserve">Recomendación general Nº 27 sobre las mujeres de edad y la protección de sus derechos humanos, </w:t>
      </w:r>
      <w:r w:rsidRPr="009D384A">
        <w:t>Comité para la Eliminación de la Discriminación contra la Mujer, CEDAW/C/GC/27, 16 de diciembre de 2010</w:t>
      </w:r>
    </w:p>
    <w:p w:rsidR="004B35D3" w:rsidRPr="009D384A" w:rsidRDefault="004B35D3" w:rsidP="004551E9">
      <w:pPr>
        <w:pStyle w:val="Prrafodelista"/>
        <w:rPr>
          <w:i/>
        </w:rPr>
      </w:pPr>
      <w:r w:rsidRPr="009D384A">
        <w:rPr>
          <w:i/>
        </w:rPr>
        <w:t xml:space="preserve">Informe de Argentina </w:t>
      </w:r>
      <w:r w:rsidRPr="009D384A">
        <w:t>(CEDAW/C/ARG/6,8 de septiembre de 2008)</w:t>
      </w:r>
      <w:r w:rsidRPr="009D384A">
        <w:rPr>
          <w:i/>
        </w:rPr>
        <w:t xml:space="preserve"> </w:t>
      </w:r>
    </w:p>
    <w:p w:rsidR="004B35D3" w:rsidRPr="009D384A" w:rsidRDefault="004B35D3" w:rsidP="004551E9">
      <w:pPr>
        <w:pStyle w:val="Prrafodelista"/>
        <w:rPr>
          <w:i/>
        </w:rPr>
      </w:pPr>
      <w:r w:rsidRPr="009D384A">
        <w:rPr>
          <w:i/>
        </w:rPr>
        <w:t xml:space="preserve">Informe de España </w:t>
      </w:r>
      <w:r w:rsidRPr="009D384A">
        <w:t>(CEDAW/C/ESP/6, 28 de abril de 2008)</w:t>
      </w:r>
      <w:r w:rsidRPr="009D384A">
        <w:rPr>
          <w:i/>
        </w:rPr>
        <w:t xml:space="preserve"> </w:t>
      </w:r>
    </w:p>
    <w:p w:rsidR="004B35D3" w:rsidRPr="009D384A" w:rsidRDefault="004B35D3" w:rsidP="004551E9">
      <w:pPr>
        <w:pStyle w:val="Prrafodelista"/>
      </w:pPr>
      <w:r w:rsidRPr="009D384A">
        <w:rPr>
          <w:i/>
        </w:rPr>
        <w:t xml:space="preserve">Informe de México </w:t>
      </w:r>
      <w:r w:rsidRPr="009D384A">
        <w:t>(CEDAW/C/MEX/7-8, 17 de mayo de 2011)</w:t>
      </w:r>
    </w:p>
    <w:p w:rsidR="004B35D3" w:rsidRPr="009D384A" w:rsidRDefault="004B35D3" w:rsidP="004551E9">
      <w:pPr>
        <w:pStyle w:val="Prrafodelista"/>
        <w:rPr>
          <w:i/>
        </w:rPr>
      </w:pPr>
      <w:r w:rsidRPr="009D384A">
        <w:rPr>
          <w:i/>
        </w:rPr>
        <w:t xml:space="preserve">Informe de Montenegro </w:t>
      </w:r>
      <w:r w:rsidRPr="009D384A">
        <w:t>(CEDAW/C/MNE/1, 12 de agosto de 2010)</w:t>
      </w:r>
      <w:r w:rsidRPr="009D384A">
        <w:rPr>
          <w:i/>
        </w:rPr>
        <w:t xml:space="preserve">  </w:t>
      </w:r>
    </w:p>
    <w:p w:rsidR="004B35D3" w:rsidRPr="009D384A" w:rsidRDefault="004B35D3" w:rsidP="004551E9">
      <w:pPr>
        <w:pStyle w:val="Prrafodelista"/>
      </w:pPr>
      <w:r w:rsidRPr="009D384A">
        <w:t xml:space="preserve">Informe de Nueva Zelanda (CEDAW/C/NZL/7, 7 de enero de 2011) </w:t>
      </w:r>
    </w:p>
    <w:p w:rsidR="004B35D3" w:rsidRPr="0078741B" w:rsidRDefault="004B35D3" w:rsidP="004551E9">
      <w:pPr>
        <w:pStyle w:val="Prrafodelista"/>
        <w:rPr>
          <w:i/>
          <w:lang w:val="pt-BR"/>
        </w:rPr>
      </w:pPr>
      <w:r w:rsidRPr="0078741B">
        <w:rPr>
          <w:i/>
          <w:lang w:val="pt-BR"/>
        </w:rPr>
        <w:t xml:space="preserve">Informe de </w:t>
      </w:r>
      <w:proofErr w:type="spellStart"/>
      <w:r w:rsidRPr="0078741B">
        <w:rPr>
          <w:i/>
          <w:lang w:val="pt-BR"/>
        </w:rPr>
        <w:t>Paraguay</w:t>
      </w:r>
      <w:proofErr w:type="spellEnd"/>
      <w:r w:rsidRPr="0078741B">
        <w:rPr>
          <w:i/>
          <w:lang w:val="pt-BR"/>
        </w:rPr>
        <w:t xml:space="preserve"> </w:t>
      </w:r>
      <w:r w:rsidRPr="0078741B">
        <w:rPr>
          <w:lang w:val="pt-BR"/>
        </w:rPr>
        <w:t>(CEDAW/C/PAR/6, 12 de agosto de 2010</w:t>
      </w:r>
      <w:proofErr w:type="gramStart"/>
      <w:r w:rsidRPr="0078741B">
        <w:rPr>
          <w:lang w:val="pt-BR"/>
        </w:rPr>
        <w:t>)</w:t>
      </w:r>
      <w:proofErr w:type="gramEnd"/>
      <w:r w:rsidRPr="0078741B">
        <w:rPr>
          <w:i/>
          <w:lang w:val="pt-BR"/>
        </w:rPr>
        <w:t xml:space="preserve"> </w:t>
      </w:r>
    </w:p>
    <w:p w:rsidR="004B35D3" w:rsidRPr="009D384A" w:rsidRDefault="004B35D3" w:rsidP="004551E9">
      <w:pPr>
        <w:pStyle w:val="Prrafodelista"/>
      </w:pPr>
      <w:r w:rsidRPr="009D384A">
        <w:rPr>
          <w:i/>
        </w:rPr>
        <w:t xml:space="preserve">Informe de Rusia </w:t>
      </w:r>
      <w:r w:rsidRPr="009D384A">
        <w:t xml:space="preserve">(CEDAW/C/USR/7, 22 de mayo de 2009) </w:t>
      </w:r>
    </w:p>
    <w:p w:rsidR="004B35D3" w:rsidRPr="009D384A" w:rsidRDefault="004B35D3" w:rsidP="004551E9">
      <w:pPr>
        <w:pStyle w:val="Prrafodelista"/>
      </w:pPr>
      <w:r w:rsidRPr="009D384A">
        <w:t>Observaciones Finales del Comité a Argentina (CEDAW/C/ARG/CO/6, 16 de agosto de 2010)</w:t>
      </w:r>
    </w:p>
    <w:p w:rsidR="004B35D3" w:rsidRPr="009D384A" w:rsidRDefault="004B35D3" w:rsidP="004551E9">
      <w:pPr>
        <w:pStyle w:val="Prrafodelista"/>
      </w:pPr>
      <w:r w:rsidRPr="009D384A">
        <w:t>Observaciones Finales del Comité a España (CEDAW/C/ESP/CO/6, 7 de agosto de 2009)</w:t>
      </w:r>
    </w:p>
    <w:p w:rsidR="004B35D3" w:rsidRPr="009D384A" w:rsidRDefault="004B35D3" w:rsidP="004551E9">
      <w:pPr>
        <w:pStyle w:val="Prrafodelista"/>
      </w:pPr>
      <w:r w:rsidRPr="009D384A">
        <w:t>Observaciones Finales del Comité a México (CEDAW/C/MEX/CO/7-8, 27 de Julio de 2012)</w:t>
      </w:r>
    </w:p>
    <w:p w:rsidR="004B35D3" w:rsidRPr="009D384A" w:rsidRDefault="004B35D3" w:rsidP="004551E9">
      <w:pPr>
        <w:pStyle w:val="Prrafodelista"/>
      </w:pPr>
      <w:r w:rsidRPr="009D384A">
        <w:t>Observaciones Finales del Comité a Montenegro (CEDAW/C/MNE/CO/1, 4 de noviembre de 2011)</w:t>
      </w:r>
    </w:p>
    <w:p w:rsidR="004B35D3" w:rsidRPr="009D384A" w:rsidRDefault="004B35D3" w:rsidP="004551E9">
      <w:pPr>
        <w:pStyle w:val="Prrafodelista"/>
      </w:pPr>
      <w:r w:rsidRPr="009D384A">
        <w:t xml:space="preserve">Observaciones Finales del Comité a Nueva Zelanda (CEDAW/C/NZL/CO/7, 27 </w:t>
      </w:r>
      <w:proofErr w:type="spellStart"/>
      <w:r w:rsidRPr="009D384A">
        <w:t>July</w:t>
      </w:r>
      <w:proofErr w:type="spellEnd"/>
      <w:r w:rsidRPr="009D384A">
        <w:t xml:space="preserve"> 2012)</w:t>
      </w:r>
    </w:p>
    <w:p w:rsidR="004B35D3" w:rsidRPr="009D384A" w:rsidRDefault="004B35D3" w:rsidP="004551E9">
      <w:pPr>
        <w:pStyle w:val="Prrafodelista"/>
      </w:pPr>
      <w:r w:rsidRPr="009D384A">
        <w:lastRenderedPageBreak/>
        <w:t>Observaciones Finales del Comité a Paraguay  (CEDAW/C/PRY/CO/6, 8 de noviembre de 2011)</w:t>
      </w:r>
    </w:p>
    <w:p w:rsidR="004B35D3" w:rsidRPr="009D384A" w:rsidRDefault="004B35D3" w:rsidP="004551E9">
      <w:pPr>
        <w:pStyle w:val="Prrafodelista"/>
      </w:pPr>
      <w:r w:rsidRPr="009D384A">
        <w:t>Observaciones Finales del Comité a Rusia (CEDAW/C/USR/CO/7, 16 de agosto de 2010)</w:t>
      </w:r>
    </w:p>
    <w:p w:rsidR="004B35D3" w:rsidRPr="009D384A" w:rsidRDefault="004B35D3" w:rsidP="004551E9">
      <w:pPr>
        <w:pStyle w:val="Prrafodelista"/>
      </w:pPr>
      <w:r w:rsidRPr="009D384A">
        <w:t>Informe de México producido por el Comité para la Eliminación de la Discriminación contra la Mujer bajo el Artículo 8 del Protocolo Facultativo de la Convención y respuesta del Gobierno de México, Comité para la Eliminación de la Discriminación contra la Mujer, CEDAW/C/2005/OP.8/MEXICO, 27 enero 2005</w:t>
      </w:r>
    </w:p>
    <w:p w:rsidR="004B35D3" w:rsidRPr="009D384A" w:rsidRDefault="004B35D3" w:rsidP="004551E9">
      <w:pPr>
        <w:pStyle w:val="Prrafodelista"/>
      </w:pPr>
      <w:r w:rsidRPr="009D384A">
        <w:rPr>
          <w:i/>
        </w:rPr>
        <w:t xml:space="preserve">Comunicación No. 2/2003, Sra. A. T. contra Hungría </w:t>
      </w:r>
      <w:r w:rsidRPr="009D384A">
        <w:t>(dictamen adoptado el 26 de enero de 2005, 32° período de sesiones)</w:t>
      </w:r>
    </w:p>
    <w:p w:rsidR="004B35D3" w:rsidRPr="009D384A" w:rsidRDefault="004B35D3" w:rsidP="004551E9">
      <w:pPr>
        <w:pStyle w:val="Prrafodelista"/>
      </w:pPr>
      <w:r w:rsidRPr="009D384A">
        <w:rPr>
          <w:i/>
        </w:rPr>
        <w:t xml:space="preserve">Comunicación No. 17/2008, M. L. S. P. contra Brasil, </w:t>
      </w:r>
      <w:r w:rsidRPr="009D384A">
        <w:t>49º período de sesiones, CEDAW/C/49/D/17/2008, 27 de septiembre de 2011,</w:t>
      </w:r>
    </w:p>
    <w:p w:rsidR="004B35D3" w:rsidRPr="009D384A" w:rsidRDefault="004B35D3" w:rsidP="004551E9">
      <w:pPr>
        <w:pStyle w:val="Prrafodelista"/>
      </w:pPr>
      <w:r w:rsidRPr="009D384A">
        <w:rPr>
          <w:i/>
        </w:rPr>
        <w:t xml:space="preserve">Comunicación No 27/2010, Z. M. contra Italia, </w:t>
      </w:r>
      <w:r w:rsidRPr="009D384A">
        <w:t>Dictamen aprobado por el Comité en su 51º período de sesiones, 13 de febrero a 2 de marzo de 2012, CEDAW/C/51/D/19/2008, 27 de abril de 2012</w:t>
      </w:r>
    </w:p>
    <w:p w:rsidR="004B35D3" w:rsidRPr="00F419DD" w:rsidRDefault="004B35D3" w:rsidP="004551E9">
      <w:pPr>
        <w:rPr>
          <w:i/>
        </w:rPr>
      </w:pPr>
      <w:r w:rsidRPr="00F419DD">
        <w:rPr>
          <w:i/>
        </w:rPr>
        <w:t xml:space="preserve">Comité </w:t>
      </w:r>
      <w:r w:rsidR="009C2142" w:rsidRPr="00F419DD">
        <w:rPr>
          <w:i/>
        </w:rPr>
        <w:t xml:space="preserve">sobre </w:t>
      </w:r>
      <w:r w:rsidRPr="00F419DD">
        <w:rPr>
          <w:i/>
        </w:rPr>
        <w:t>los Derechos del Niño</w:t>
      </w:r>
    </w:p>
    <w:p w:rsidR="004B35D3" w:rsidRPr="009D384A" w:rsidRDefault="004B35D3" w:rsidP="004551E9">
      <w:pPr>
        <w:pStyle w:val="Prrafodelista"/>
      </w:pPr>
      <w:r w:rsidRPr="009D384A">
        <w:rPr>
          <w:i/>
        </w:rPr>
        <w:t>Observación general Nº 1 (Propósito de la Educación)</w:t>
      </w:r>
      <w:r w:rsidRPr="009D384A">
        <w:t xml:space="preserve"> Comité sobre los Derechos del Niño, 26º período de sesiones (2001) (HRI/GEN/1/Rev.9 (</w:t>
      </w:r>
      <w:proofErr w:type="spellStart"/>
      <w:r w:rsidRPr="009D384A">
        <w:t>Vol.I</w:t>
      </w:r>
      <w:proofErr w:type="spellEnd"/>
      <w:r w:rsidRPr="009D384A">
        <w:t>), párrafo 9.</w:t>
      </w:r>
    </w:p>
    <w:p w:rsidR="004B35D3" w:rsidRPr="009D384A" w:rsidRDefault="004B35D3" w:rsidP="004551E9">
      <w:pPr>
        <w:pStyle w:val="Prrafodelista"/>
      </w:pPr>
      <w:r w:rsidRPr="009D384A">
        <w:t>Observación general Nº 4 (La salud y el desarrollo de los adolescentes en el contexto de la Convención sobre los Derechos del Niño) Comité sobre los Derechos del Niño, 33º período de sesiones (2003), (HRI/GEN/1/Rev.9 (</w:t>
      </w:r>
      <w:proofErr w:type="spellStart"/>
      <w:r w:rsidRPr="009D384A">
        <w:t>Vol.I</w:t>
      </w:r>
      <w:proofErr w:type="spellEnd"/>
      <w:r w:rsidRPr="009D384A">
        <w:t>), párrafo 8</w:t>
      </w:r>
    </w:p>
    <w:p w:rsidR="004B35D3" w:rsidRPr="009D384A" w:rsidRDefault="004B35D3" w:rsidP="004551E9">
      <w:pPr>
        <w:pStyle w:val="Prrafodelista"/>
      </w:pPr>
      <w:r w:rsidRPr="009D384A">
        <w:t>Observación General nº 9 (2006), Los derechos de los niños con discapacidad, Comité de los Derechos del Niño, CRC/C/GC/9, 27 de febrero de 2007</w:t>
      </w:r>
    </w:p>
    <w:p w:rsidR="004B35D3" w:rsidRPr="009D384A" w:rsidRDefault="004B35D3" w:rsidP="004551E9">
      <w:pPr>
        <w:pStyle w:val="Prrafodelista"/>
      </w:pPr>
      <w:r w:rsidRPr="009D384A">
        <w:rPr>
          <w:i/>
        </w:rPr>
        <w:t>Observación General nº 12 (2009), El derecho del niño a ser escuchado</w:t>
      </w:r>
      <w:r w:rsidRPr="009D384A">
        <w:t>, Comité de los Derechos del Niño El derecho del niño a ser escuchado, CRC/C/GC/12, 20 de julio de 2009,</w:t>
      </w:r>
    </w:p>
    <w:p w:rsidR="004B35D3" w:rsidRPr="009D384A" w:rsidRDefault="004B35D3" w:rsidP="004551E9">
      <w:pPr>
        <w:pStyle w:val="Prrafodelista"/>
      </w:pPr>
      <w:r w:rsidRPr="009D384A">
        <w:rPr>
          <w:i/>
        </w:rPr>
        <w:lastRenderedPageBreak/>
        <w:t>Observación general Nº 17 (Artículo 24 - Derechos del niño)</w:t>
      </w:r>
      <w:r w:rsidRPr="009D384A">
        <w:t xml:space="preserve"> Comité sobre los Derechos del Niño, 35º período de sesiones (1989), (HRI/GEN/1/Rev.9 (</w:t>
      </w:r>
      <w:proofErr w:type="spellStart"/>
      <w:r w:rsidRPr="009D384A">
        <w:t>Vol.I</w:t>
      </w:r>
      <w:proofErr w:type="spellEnd"/>
      <w:r w:rsidRPr="009D384A">
        <w:t>)).</w:t>
      </w:r>
    </w:p>
    <w:p w:rsidR="004B35D3" w:rsidRPr="009D384A" w:rsidRDefault="004B35D3" w:rsidP="004551E9">
      <w:pPr>
        <w:pStyle w:val="Prrafodelista"/>
      </w:pPr>
      <w:r w:rsidRPr="009D384A">
        <w:t>Comité de los Derechos del Niño, Orientaciones generales respecto de la forma y el  contenido de los informes que han de presentar los Estados partes en virtud del artículo 44, párrafo 1 b), de la Convención sobre los Derechos del Niño, Aprobadas por el Comité en su 55º período de sesiones (13 de septiembre 1º de octubre de 2010), CRC/C/58/Rev.2, 23 de noviembre de 2010</w:t>
      </w:r>
    </w:p>
    <w:p w:rsidR="004B35D3" w:rsidRPr="009D384A" w:rsidRDefault="004B35D3" w:rsidP="004551E9">
      <w:pPr>
        <w:pStyle w:val="Prrafodelista"/>
      </w:pPr>
      <w:r w:rsidRPr="009D384A">
        <w:rPr>
          <w:i/>
        </w:rPr>
        <w:t>Informe de Canadá (</w:t>
      </w:r>
      <w:r w:rsidRPr="009D384A">
        <w:t>CRC/C/CAN/3-4, 4 de enero de 2012).</w:t>
      </w:r>
    </w:p>
    <w:p w:rsidR="004B35D3" w:rsidRPr="009D384A" w:rsidRDefault="004B35D3" w:rsidP="004551E9">
      <w:pPr>
        <w:pStyle w:val="Prrafodelista"/>
      </w:pPr>
      <w:r w:rsidRPr="009D384A">
        <w:rPr>
          <w:i/>
        </w:rPr>
        <w:t>Informe de Austria</w:t>
      </w:r>
      <w:r w:rsidRPr="009D384A">
        <w:t xml:space="preserve"> (CRC/C/AUT/3-4, 16 de noviembre de 2011)</w:t>
      </w:r>
    </w:p>
    <w:p w:rsidR="004B35D3" w:rsidRPr="009D384A" w:rsidRDefault="004B35D3" w:rsidP="004551E9">
      <w:pPr>
        <w:pStyle w:val="Prrafodelista"/>
      </w:pPr>
      <w:r w:rsidRPr="009D384A">
        <w:rPr>
          <w:i/>
        </w:rPr>
        <w:t>Informe de Italia</w:t>
      </w:r>
      <w:r w:rsidRPr="009D384A">
        <w:t xml:space="preserve"> (CRC/C/ITA/3-4, 5 de julio de 2010)</w:t>
      </w:r>
    </w:p>
    <w:p w:rsidR="004B35D3" w:rsidRPr="009D384A" w:rsidRDefault="004B35D3" w:rsidP="004551E9">
      <w:pPr>
        <w:pStyle w:val="Prrafodelista"/>
      </w:pPr>
      <w:r w:rsidRPr="009D384A">
        <w:rPr>
          <w:i/>
        </w:rPr>
        <w:t>Informe de Bolivia</w:t>
      </w:r>
      <w:r w:rsidRPr="009D384A">
        <w:t xml:space="preserve"> (CRC/C/BOL/4, 25 de marzo de 2009).</w:t>
      </w:r>
    </w:p>
    <w:p w:rsidR="004B35D3" w:rsidRPr="009D384A" w:rsidRDefault="004B35D3" w:rsidP="004551E9">
      <w:pPr>
        <w:pStyle w:val="Prrafodelista"/>
      </w:pPr>
      <w:r w:rsidRPr="009D384A">
        <w:rPr>
          <w:i/>
        </w:rPr>
        <w:t>Observaciones Finales del Comité a Canadá</w:t>
      </w:r>
      <w:r w:rsidRPr="009D384A">
        <w:t xml:space="preserve"> (CRC/C/CAN/CO/3-4, 6 de diciembre de 2012)</w:t>
      </w:r>
    </w:p>
    <w:p w:rsidR="004B35D3" w:rsidRPr="009D384A" w:rsidRDefault="004B35D3" w:rsidP="004551E9">
      <w:pPr>
        <w:pStyle w:val="Prrafodelista"/>
      </w:pPr>
      <w:r w:rsidRPr="009D384A">
        <w:rPr>
          <w:i/>
        </w:rPr>
        <w:t>Observaciones Finales del Comité a Austria</w:t>
      </w:r>
      <w:r w:rsidRPr="009D384A">
        <w:t xml:space="preserve"> (CRC/C/AUT/CO/3-4, 3 de diciembre de 2012) </w:t>
      </w:r>
    </w:p>
    <w:p w:rsidR="004B35D3" w:rsidRPr="009D384A" w:rsidRDefault="004B35D3" w:rsidP="004551E9">
      <w:pPr>
        <w:pStyle w:val="Prrafodelista"/>
      </w:pPr>
      <w:r w:rsidRPr="009D384A">
        <w:rPr>
          <w:i/>
        </w:rPr>
        <w:t>Observaciones Finales del Comité a Italia</w:t>
      </w:r>
      <w:r w:rsidRPr="009D384A">
        <w:t xml:space="preserve"> (CRC/C/ITA/CO/3-4,  31 de octubre de 2011) </w:t>
      </w:r>
    </w:p>
    <w:p w:rsidR="004B35D3" w:rsidRPr="009D384A" w:rsidRDefault="004B35D3" w:rsidP="004551E9">
      <w:pPr>
        <w:pStyle w:val="Prrafodelista"/>
      </w:pPr>
      <w:r w:rsidRPr="009D384A">
        <w:t>Observaciones Finales del Comité a Bolivia (CRC/C/BOL/CO/4, 16 de octubre de 2009)</w:t>
      </w:r>
    </w:p>
    <w:p w:rsidR="009C2142" w:rsidRPr="00F419DD" w:rsidRDefault="009C2142" w:rsidP="004551E9">
      <w:pPr>
        <w:rPr>
          <w:i/>
        </w:rPr>
      </w:pPr>
      <w:r w:rsidRPr="00F419DD">
        <w:rPr>
          <w:i/>
        </w:rPr>
        <w:t>Comité sobre los Derechos de las Personas con Discapacidad</w:t>
      </w:r>
    </w:p>
    <w:p w:rsidR="003D679D" w:rsidRPr="003D679D" w:rsidRDefault="003D679D" w:rsidP="004551E9">
      <w:pPr>
        <w:pStyle w:val="Prrafodelista"/>
      </w:pPr>
      <w:r w:rsidRPr="003D679D">
        <w:t xml:space="preserve">Observación general Nº 1 (2014), Artículo 12: Igual reconocimiento como persona ante la ley, CRPD/C/GC/1, 19 de mayo de 2014; </w:t>
      </w:r>
    </w:p>
    <w:p w:rsidR="003D679D" w:rsidRPr="003D679D" w:rsidRDefault="003D679D" w:rsidP="004551E9">
      <w:pPr>
        <w:pStyle w:val="Prrafodelista"/>
      </w:pPr>
      <w:r w:rsidRPr="003D679D">
        <w:t>Observación general Nº 2 (2014), Artículo 9: Accesibilidad, CRPD/C/GC/2, 11 de abril de 2014.</w:t>
      </w:r>
    </w:p>
    <w:p w:rsidR="009C2142" w:rsidRPr="00373D32" w:rsidRDefault="009C2142" w:rsidP="004551E9">
      <w:pPr>
        <w:pStyle w:val="Prrafodelista"/>
      </w:pPr>
      <w:r w:rsidRPr="00373D32">
        <w:t xml:space="preserve">Directrices relativas al documento específico sobre la Convención que deben presentar los Estados partes con arreglo al párrafo 1 del artículo 35 de la Convención sobre los derechos de las personas con </w:t>
      </w:r>
      <w:r w:rsidRPr="00373D32">
        <w:lastRenderedPageBreak/>
        <w:t>discapacidad, Comité de la ONU sobre los Derechos de las Personas con Discapacidad, CRPD/C/2/3, 18 de noviembre de 2009</w:t>
      </w:r>
    </w:p>
    <w:p w:rsidR="009C2142" w:rsidRPr="00373D32" w:rsidRDefault="009C2142" w:rsidP="004551E9">
      <w:pPr>
        <w:pStyle w:val="Prrafodelista"/>
      </w:pPr>
      <w:r w:rsidRPr="00373D32">
        <w:t>Observaciones finales del Comité a Túnez, CRPD/C/TUN/CO/1, 13 de mayo de 2011</w:t>
      </w:r>
    </w:p>
    <w:p w:rsidR="009C2142" w:rsidRPr="00373D32" w:rsidRDefault="009C2142" w:rsidP="004551E9">
      <w:pPr>
        <w:pStyle w:val="Prrafodelista"/>
      </w:pPr>
      <w:r w:rsidRPr="00373D32">
        <w:t>Observaciones finales del Comité a España, CRPD/C/ESP/CO/1, 19 de octubre de 2011</w:t>
      </w:r>
    </w:p>
    <w:p w:rsidR="009C2142" w:rsidRPr="00373D32" w:rsidRDefault="009C2142" w:rsidP="004551E9">
      <w:pPr>
        <w:pStyle w:val="Prrafodelista"/>
      </w:pPr>
      <w:r w:rsidRPr="00373D32">
        <w:t>Observaciones finales del Comité a Perú, CRPD/C/PER/CO/1, 20 de abril 2012</w:t>
      </w:r>
    </w:p>
    <w:p w:rsidR="009C2142" w:rsidRPr="00373D32" w:rsidRDefault="009C2142" w:rsidP="004551E9">
      <w:pPr>
        <w:pStyle w:val="Prrafodelista"/>
      </w:pPr>
      <w:r w:rsidRPr="00373D32">
        <w:t>Observaciones finales del Comité a Argentina, CRPD/C/ARG/CO/1, 19 de octubre de 2012</w:t>
      </w:r>
    </w:p>
    <w:p w:rsidR="009C2142" w:rsidRPr="00373D32" w:rsidRDefault="009C2142" w:rsidP="004551E9">
      <w:pPr>
        <w:pStyle w:val="Prrafodelista"/>
      </w:pPr>
      <w:r w:rsidRPr="00373D32">
        <w:t>Observaciones finales del Comité a China, CRPD/C/CHN/CO/1, 15 de octubre de 2012</w:t>
      </w:r>
    </w:p>
    <w:p w:rsidR="009C2142" w:rsidRPr="00373D32" w:rsidRDefault="009C2142" w:rsidP="004551E9">
      <w:pPr>
        <w:pStyle w:val="Prrafodelista"/>
      </w:pPr>
      <w:r w:rsidRPr="00373D32">
        <w:t>Observaciones finales del Comité a Hungría, CRPD/C/HUN/CO/1, 22 de octubre de 2012</w:t>
      </w:r>
    </w:p>
    <w:p w:rsidR="009C2142" w:rsidRPr="00373D32" w:rsidRDefault="009C2142" w:rsidP="004551E9">
      <w:pPr>
        <w:pStyle w:val="Prrafodelista"/>
      </w:pPr>
      <w:r w:rsidRPr="00373D32">
        <w:t>Observaciones finales del Comité a Paraguay, CRPD/C/PRY/CO/1, 15 de mayo  de 2013</w:t>
      </w:r>
    </w:p>
    <w:p w:rsidR="009C2142" w:rsidRPr="00373D32" w:rsidRDefault="009C2142" w:rsidP="004551E9">
      <w:pPr>
        <w:pStyle w:val="Prrafodelista"/>
      </w:pPr>
      <w:r w:rsidRPr="00373D32">
        <w:t>Observaciones finales del Comité a El Salvador,  CRPD/C/SLV/CO/1, 13 de septiembre de 2013</w:t>
      </w:r>
    </w:p>
    <w:p w:rsidR="009C2142" w:rsidRPr="00373D32" w:rsidRDefault="009C2142" w:rsidP="004551E9">
      <w:pPr>
        <w:pStyle w:val="Prrafodelista"/>
      </w:pPr>
      <w:r w:rsidRPr="00373D32">
        <w:t>Observaciones finales del Comité a Austria, CRPD/C/AUT/CO/1, 30 de septiembre de 2013</w:t>
      </w:r>
    </w:p>
    <w:p w:rsidR="009C2142" w:rsidRDefault="009C2142" w:rsidP="004551E9">
      <w:pPr>
        <w:pStyle w:val="Prrafodelista"/>
      </w:pPr>
      <w:r w:rsidRPr="00373D32">
        <w:t>Observaciones finales del Comité a Australia, CRPD/C/AUS/CO/1, 21 de octubre de 2013</w:t>
      </w:r>
    </w:p>
    <w:p w:rsidR="007F3223" w:rsidRDefault="007F3223" w:rsidP="004551E9">
      <w:pPr>
        <w:pStyle w:val="Prrafodelista"/>
      </w:pPr>
      <w:r w:rsidRPr="00373D32">
        <w:t xml:space="preserve">Observaciones finales del Comité a </w:t>
      </w:r>
      <w:r>
        <w:t xml:space="preserve">Costa Rica, </w:t>
      </w:r>
      <w:r w:rsidRPr="007F3223">
        <w:t xml:space="preserve">CRPD/C/CRI/CO/1, 12 de mayo de 2014. </w:t>
      </w:r>
    </w:p>
    <w:p w:rsidR="007F3223" w:rsidRDefault="007F3223" w:rsidP="004551E9">
      <w:pPr>
        <w:pStyle w:val="Prrafodelista"/>
      </w:pPr>
      <w:r w:rsidRPr="00373D32">
        <w:t xml:space="preserve">Observaciones finales del Comité a </w:t>
      </w:r>
      <w:r>
        <w:t xml:space="preserve">Suecia, </w:t>
      </w:r>
      <w:r w:rsidRPr="007F3223">
        <w:t>CRPD/C/SWE/CO/1, 12 de mayo de 2014</w:t>
      </w:r>
      <w:r>
        <w:t>.</w:t>
      </w:r>
    </w:p>
    <w:p w:rsidR="007F3223" w:rsidRPr="00373D32" w:rsidRDefault="007F3223" w:rsidP="004551E9">
      <w:pPr>
        <w:pStyle w:val="Prrafodelista"/>
      </w:pPr>
      <w:r w:rsidRPr="00373D32">
        <w:t>Observaciones finales del Comité a</w:t>
      </w:r>
      <w:r>
        <w:t xml:space="preserve"> </w:t>
      </w:r>
      <w:proofErr w:type="spellStart"/>
      <w:r>
        <w:t>Azerbaijan</w:t>
      </w:r>
      <w:proofErr w:type="spellEnd"/>
      <w:r w:rsidRPr="007F3223">
        <w:t>, CRPD/C/AZE/CO/1, 12 de mayo de 2014</w:t>
      </w:r>
      <w:r>
        <w:t>.</w:t>
      </w:r>
    </w:p>
    <w:p w:rsidR="007F3223" w:rsidRDefault="007F3223" w:rsidP="004551E9">
      <w:pPr>
        <w:pStyle w:val="Prrafodelista"/>
      </w:pPr>
      <w:proofErr w:type="spellStart"/>
      <w:r w:rsidRPr="007F3223">
        <w:t>Szilvia</w:t>
      </w:r>
      <w:proofErr w:type="spellEnd"/>
      <w:r w:rsidRPr="007F3223">
        <w:t xml:space="preserve"> </w:t>
      </w:r>
      <w:proofErr w:type="spellStart"/>
      <w:r w:rsidRPr="007F3223">
        <w:t>Nyusti</w:t>
      </w:r>
      <w:proofErr w:type="spellEnd"/>
      <w:r w:rsidRPr="007F3223">
        <w:t xml:space="preserve">, </w:t>
      </w:r>
      <w:proofErr w:type="spellStart"/>
      <w:r w:rsidRPr="007F3223">
        <w:t>Péter</w:t>
      </w:r>
      <w:proofErr w:type="spellEnd"/>
      <w:r w:rsidRPr="007F3223">
        <w:t xml:space="preserve"> </w:t>
      </w:r>
      <w:proofErr w:type="spellStart"/>
      <w:r w:rsidRPr="007F3223">
        <w:t>Takács</w:t>
      </w:r>
      <w:proofErr w:type="spellEnd"/>
      <w:r w:rsidRPr="007F3223">
        <w:t xml:space="preserve"> and </w:t>
      </w:r>
      <w:proofErr w:type="spellStart"/>
      <w:r w:rsidRPr="007F3223">
        <w:t>Tamás</w:t>
      </w:r>
      <w:proofErr w:type="spellEnd"/>
      <w:r w:rsidRPr="007F3223">
        <w:t xml:space="preserve"> </w:t>
      </w:r>
      <w:proofErr w:type="spellStart"/>
      <w:r w:rsidRPr="007F3223">
        <w:t>Fazekas</w:t>
      </w:r>
      <w:proofErr w:type="spellEnd"/>
      <w:r w:rsidRPr="007F3223">
        <w:t xml:space="preserve"> v </w:t>
      </w:r>
      <w:proofErr w:type="spellStart"/>
      <w:r w:rsidRPr="007F3223">
        <w:t>Hungary</w:t>
      </w:r>
      <w:proofErr w:type="spellEnd"/>
      <w:r w:rsidRPr="007F3223">
        <w:t xml:space="preserve"> (Comunicación Nº 1/2010), CRPD/C/9/D/1/2010, 21 de junio de 2013; </w:t>
      </w:r>
    </w:p>
    <w:p w:rsidR="007F3223" w:rsidRDefault="007F3223" w:rsidP="004551E9">
      <w:pPr>
        <w:pStyle w:val="Prrafodelista"/>
      </w:pPr>
      <w:proofErr w:type="spellStart"/>
      <w:r w:rsidRPr="007F3223">
        <w:lastRenderedPageBreak/>
        <w:t>Liliane</w:t>
      </w:r>
      <w:proofErr w:type="spellEnd"/>
      <w:r w:rsidRPr="007F3223">
        <w:t xml:space="preserve"> </w:t>
      </w:r>
      <w:proofErr w:type="spellStart"/>
      <w:r w:rsidRPr="007F3223">
        <w:t>Gröninger</w:t>
      </w:r>
      <w:proofErr w:type="spellEnd"/>
      <w:r w:rsidRPr="007F3223">
        <w:t xml:space="preserve"> v. Alemania (Comunicación Nº 2(2010), CRPD/C/11/D/2/2010, 4 de abril de 2014; </w:t>
      </w:r>
    </w:p>
    <w:p w:rsidR="007F3223" w:rsidRDefault="007F3223" w:rsidP="004551E9">
      <w:pPr>
        <w:pStyle w:val="Prrafodelista"/>
      </w:pPr>
      <w:r w:rsidRPr="007F3223">
        <w:t xml:space="preserve">H.M. v </w:t>
      </w:r>
      <w:proofErr w:type="spellStart"/>
      <w:r w:rsidRPr="007F3223">
        <w:t>Sweden</w:t>
      </w:r>
      <w:proofErr w:type="spellEnd"/>
      <w:r w:rsidRPr="007F3223">
        <w:t xml:space="preserve"> (Comunicación Nº 3/2011) CRPD/C/7/D/3/2011, 21 de mayo de 2012; </w:t>
      </w:r>
    </w:p>
    <w:p w:rsidR="007F3223" w:rsidRPr="004551E9" w:rsidRDefault="007F3223" w:rsidP="004551E9">
      <w:pPr>
        <w:pStyle w:val="Prrafodelista"/>
        <w:rPr>
          <w:lang w:val="en-US"/>
        </w:rPr>
      </w:pPr>
      <w:proofErr w:type="spellStart"/>
      <w:r w:rsidRPr="004551E9">
        <w:rPr>
          <w:lang w:val="en-US"/>
        </w:rPr>
        <w:t>Zsolt</w:t>
      </w:r>
      <w:proofErr w:type="spellEnd"/>
      <w:r w:rsidRPr="004551E9">
        <w:rPr>
          <w:lang w:val="en-US"/>
        </w:rPr>
        <w:t xml:space="preserve"> </w:t>
      </w:r>
      <w:proofErr w:type="spellStart"/>
      <w:r w:rsidRPr="004551E9">
        <w:rPr>
          <w:lang w:val="en-US"/>
        </w:rPr>
        <w:t>Bujdosó</w:t>
      </w:r>
      <w:proofErr w:type="spellEnd"/>
      <w:r w:rsidRPr="004551E9">
        <w:rPr>
          <w:lang w:val="en-US"/>
        </w:rPr>
        <w:t xml:space="preserve"> and five others v. Hungary (Communication No. 4/2011), CRPD/C/10/D/4/2011, 20 September 2013; </w:t>
      </w:r>
    </w:p>
    <w:p w:rsidR="007F3223" w:rsidRPr="004551E9" w:rsidRDefault="007F3223" w:rsidP="004551E9">
      <w:pPr>
        <w:pStyle w:val="Prrafodelista"/>
        <w:rPr>
          <w:lang w:val="en-US"/>
        </w:rPr>
      </w:pPr>
      <w:proofErr w:type="gramStart"/>
      <w:r w:rsidRPr="004551E9">
        <w:rPr>
          <w:lang w:val="en-US"/>
        </w:rPr>
        <w:t xml:space="preserve">Kenneth </w:t>
      </w:r>
      <w:proofErr w:type="spellStart"/>
      <w:r w:rsidRPr="004551E9">
        <w:rPr>
          <w:lang w:val="en-US"/>
        </w:rPr>
        <w:t>McAlpine</w:t>
      </w:r>
      <w:proofErr w:type="spellEnd"/>
      <w:r w:rsidRPr="004551E9">
        <w:rPr>
          <w:lang w:val="en-US"/>
        </w:rPr>
        <w:t xml:space="preserve"> v.</w:t>
      </w:r>
      <w:proofErr w:type="gramEnd"/>
      <w:r w:rsidRPr="004551E9">
        <w:rPr>
          <w:lang w:val="en-US"/>
        </w:rPr>
        <w:t xml:space="preserve"> The United Kingdom of Great Britain and Northern Ireland, (</w:t>
      </w:r>
      <w:proofErr w:type="spellStart"/>
      <w:r w:rsidRPr="004551E9">
        <w:rPr>
          <w:lang w:val="en-US"/>
        </w:rPr>
        <w:t>Comunicación</w:t>
      </w:r>
      <w:proofErr w:type="spellEnd"/>
      <w:r w:rsidRPr="004551E9">
        <w:rPr>
          <w:lang w:val="en-US"/>
        </w:rPr>
        <w:t xml:space="preserve"> Nº 6/2011) CRPD/C/8/D/6/2011, 13 de </w:t>
      </w:r>
      <w:proofErr w:type="spellStart"/>
      <w:r w:rsidRPr="004551E9">
        <w:rPr>
          <w:lang w:val="en-US"/>
        </w:rPr>
        <w:t>noviembre</w:t>
      </w:r>
      <w:proofErr w:type="spellEnd"/>
      <w:r w:rsidRPr="004551E9">
        <w:rPr>
          <w:lang w:val="en-US"/>
        </w:rPr>
        <w:t xml:space="preserve"> de 2012; </w:t>
      </w:r>
    </w:p>
    <w:p w:rsidR="007F3223" w:rsidRDefault="007F3223" w:rsidP="004551E9">
      <w:pPr>
        <w:pStyle w:val="Prrafodelista"/>
      </w:pPr>
      <w:r w:rsidRPr="007F3223">
        <w:t>X. v. Argentina (Comunicación Nº 8/2012) CRPD/C/11/D/8/2012, 11 de abril de 2014.</w:t>
      </w:r>
    </w:p>
    <w:p w:rsidR="007F3223" w:rsidRPr="007F3223" w:rsidRDefault="007F3223" w:rsidP="004551E9">
      <w:pPr>
        <w:pStyle w:val="Prrafodelista"/>
      </w:pPr>
    </w:p>
    <w:p w:rsidR="006851E2" w:rsidRDefault="003B6E85" w:rsidP="002C1D94">
      <w:pPr>
        <w:pStyle w:val="Ttulo15"/>
      </w:pPr>
      <w:r w:rsidRPr="003B6E85">
        <w:t>IV.</w:t>
      </w:r>
      <w:r>
        <w:t>)</w:t>
      </w:r>
      <w:r w:rsidRPr="003B6E85">
        <w:t xml:space="preserve"> ORGANOS DE CODIFICACION</w:t>
      </w:r>
    </w:p>
    <w:p w:rsidR="003B6E85" w:rsidRDefault="003B6E85" w:rsidP="004551E9"/>
    <w:p w:rsidR="006851E2" w:rsidRDefault="006851E2" w:rsidP="002C1D94">
      <w:pPr>
        <w:pStyle w:val="TITULO15"/>
      </w:pPr>
      <w:r w:rsidRPr="006851E2">
        <w:t>Comisión de Derecho Internacional</w:t>
      </w:r>
    </w:p>
    <w:p w:rsidR="003B6E85" w:rsidRPr="003B6E85" w:rsidRDefault="003B6E85" w:rsidP="004551E9"/>
    <w:p w:rsidR="006851E2" w:rsidRPr="005153D8" w:rsidRDefault="006851E2" w:rsidP="004551E9">
      <w:pPr>
        <w:pStyle w:val="Prrafodelista"/>
      </w:pPr>
      <w:r w:rsidRPr="005153D8">
        <w:t xml:space="preserve">Fragmentación del Derecho Internacional: Dificultades de la diversificación y Expansión del Derecho Internacional, Informe del Grupo de Estudio de la Comisión de Derecho Internacional Elaborado por </w:t>
      </w:r>
      <w:proofErr w:type="spellStart"/>
      <w:r w:rsidRPr="005153D8">
        <w:t>Martti</w:t>
      </w:r>
      <w:proofErr w:type="spellEnd"/>
      <w:r w:rsidRPr="005153D8">
        <w:t xml:space="preserve"> </w:t>
      </w:r>
      <w:proofErr w:type="spellStart"/>
      <w:r w:rsidRPr="005153D8">
        <w:t>Koskenniemi</w:t>
      </w:r>
      <w:proofErr w:type="spellEnd"/>
      <w:r w:rsidRPr="005153D8">
        <w:t>,  13 de abril de 2006, A/CN.4/L.682</w:t>
      </w:r>
    </w:p>
    <w:p w:rsidR="00C175A4" w:rsidRDefault="006851E2" w:rsidP="004551E9">
      <w:pPr>
        <w:pStyle w:val="Prrafodelista"/>
      </w:pPr>
      <w:r w:rsidRPr="005153D8">
        <w:t>Primer informe sobre los acuerdos ulteriores y la práctica ulterior en relación con la interpretación de los tratados, Informe de GEORG NOLTE, Relator Especial, Comisión de Derecho Internacional, A/CN.4/660, 19 de marzo de 2013</w:t>
      </w:r>
      <w:r w:rsidR="00C175A4">
        <w:t>;</w:t>
      </w:r>
    </w:p>
    <w:p w:rsidR="00C175A4" w:rsidRPr="004551E9" w:rsidRDefault="00C175A4" w:rsidP="004551E9">
      <w:pPr>
        <w:pStyle w:val="Prrafodelista"/>
        <w:rPr>
          <w:lang w:val="en-US"/>
        </w:rPr>
      </w:pPr>
      <w:r w:rsidRPr="004551E9">
        <w:rPr>
          <w:lang w:val="en-US"/>
        </w:rPr>
        <w:t>Conclusions of the work of the Study Group on the Fragmentation of International Law: Difficulties arising from the Diversification and Expansion of International Law;</w:t>
      </w:r>
    </w:p>
    <w:p w:rsidR="00C175A4" w:rsidRDefault="00C175A4" w:rsidP="004551E9">
      <w:pPr>
        <w:pStyle w:val="Prrafodelista"/>
      </w:pPr>
      <w:r w:rsidRPr="00C175A4">
        <w:lastRenderedPageBreak/>
        <w:t>Guía de la Práctica sobre las Reservas a los Tratados, aprobado por la Comisión en su 63º período de sesiones, (26 de abril a 3 de junio y 4 de julio a 12 de agosto de 2011), A/66/10/Add.1</w:t>
      </w:r>
      <w:r>
        <w:t>;</w:t>
      </w:r>
    </w:p>
    <w:p w:rsidR="006851E2" w:rsidRPr="004551E9" w:rsidRDefault="000469D9" w:rsidP="004551E9">
      <w:pPr>
        <w:pStyle w:val="Prrafodelista"/>
        <w:rPr>
          <w:lang w:val="en-US"/>
        </w:rPr>
      </w:pPr>
      <w:r w:rsidRPr="004551E9">
        <w:rPr>
          <w:lang w:val="en-US"/>
        </w:rPr>
        <w:t xml:space="preserve">Reports of the Special </w:t>
      </w:r>
      <w:proofErr w:type="spellStart"/>
      <w:r w:rsidRPr="004551E9">
        <w:rPr>
          <w:lang w:val="en-US"/>
        </w:rPr>
        <w:t>Rapporteur</w:t>
      </w:r>
      <w:proofErr w:type="spellEnd"/>
      <w:r w:rsidRPr="004551E9">
        <w:rPr>
          <w:lang w:val="en-US"/>
        </w:rPr>
        <w:t xml:space="preserve"> on Reservations to Treaties </w:t>
      </w:r>
      <w:proofErr w:type="spellStart"/>
      <w:r w:rsidRPr="004551E9">
        <w:rPr>
          <w:lang w:val="en-US"/>
        </w:rPr>
        <w:t>Allain</w:t>
      </w:r>
      <w:proofErr w:type="spellEnd"/>
      <w:r w:rsidRPr="004551E9">
        <w:rPr>
          <w:lang w:val="en-US"/>
        </w:rPr>
        <w:t xml:space="preserve"> Pellet: </w:t>
      </w:r>
      <w:proofErr w:type="spellStart"/>
      <w:r w:rsidRPr="004551E9">
        <w:rPr>
          <w:lang w:val="en-US"/>
        </w:rPr>
        <w:t>Premilinary</w:t>
      </w:r>
      <w:proofErr w:type="spellEnd"/>
      <w:r w:rsidRPr="004551E9">
        <w:rPr>
          <w:lang w:val="en-US"/>
        </w:rPr>
        <w:t xml:space="preserve"> Report, 1995, doc. </w:t>
      </w:r>
      <w:proofErr w:type="gramStart"/>
      <w:r w:rsidRPr="004551E9">
        <w:rPr>
          <w:lang w:val="en-US"/>
        </w:rPr>
        <w:t>A/CN.4/470 and Corr. 1 and 2 (78 p.); Second report, 1996, doc.</w:t>
      </w:r>
      <w:proofErr w:type="gramEnd"/>
      <w:r w:rsidRPr="004551E9">
        <w:rPr>
          <w:lang w:val="en-US"/>
        </w:rPr>
        <w:t xml:space="preserve"> </w:t>
      </w:r>
      <w:proofErr w:type="gramStart"/>
      <w:r w:rsidRPr="004551E9">
        <w:rPr>
          <w:lang w:val="en-US"/>
        </w:rPr>
        <w:t>A/CN.4/477 (23 p.) and Add.</w:t>
      </w:r>
      <w:proofErr w:type="gramEnd"/>
      <w:r w:rsidRPr="004551E9">
        <w:rPr>
          <w:lang w:val="en-US"/>
        </w:rPr>
        <w:t xml:space="preserve"> </w:t>
      </w:r>
      <w:proofErr w:type="gramStart"/>
      <w:r w:rsidRPr="004551E9">
        <w:rPr>
          <w:lang w:val="en-US"/>
        </w:rPr>
        <w:t>1 (90 p).</w:t>
      </w:r>
      <w:proofErr w:type="gramEnd"/>
      <w:r w:rsidRPr="004551E9">
        <w:rPr>
          <w:lang w:val="en-US"/>
        </w:rPr>
        <w:t xml:space="preserve"> </w:t>
      </w:r>
      <w:proofErr w:type="gramStart"/>
      <w:r w:rsidRPr="004551E9">
        <w:rPr>
          <w:lang w:val="en-US"/>
        </w:rPr>
        <w:t>and</w:t>
      </w:r>
      <w:proofErr w:type="gramEnd"/>
      <w:r w:rsidRPr="004551E9">
        <w:rPr>
          <w:lang w:val="en-US"/>
        </w:rPr>
        <w:t xml:space="preserve"> A/CN.4/478 (bibliography) (22 p.); Third report, 1998, doc. </w:t>
      </w:r>
      <w:proofErr w:type="gramStart"/>
      <w:r w:rsidRPr="004551E9">
        <w:rPr>
          <w:lang w:val="en-US"/>
        </w:rPr>
        <w:t>A/CN.4/491 and Add.1, 2, 3, 4, 5 and 6.</w:t>
      </w:r>
      <w:proofErr w:type="gramEnd"/>
      <w:r w:rsidRPr="004551E9">
        <w:rPr>
          <w:lang w:val="en-US"/>
        </w:rPr>
        <w:t xml:space="preserve"> (127 p.); Fourth report, 1999, doc. </w:t>
      </w:r>
      <w:proofErr w:type="gramStart"/>
      <w:r w:rsidRPr="004551E9">
        <w:rPr>
          <w:lang w:val="en-US"/>
        </w:rPr>
        <w:t>A/CN.4/499 (23 p.); Fifth report, 2000, doc.</w:t>
      </w:r>
      <w:proofErr w:type="gramEnd"/>
      <w:r w:rsidRPr="004551E9">
        <w:rPr>
          <w:lang w:val="en-US"/>
        </w:rPr>
        <w:t xml:space="preserve"> </w:t>
      </w:r>
      <w:proofErr w:type="gramStart"/>
      <w:r w:rsidRPr="004551E9">
        <w:rPr>
          <w:lang w:val="en-US"/>
        </w:rPr>
        <w:t>A/CN.4/508 and Add.</w:t>
      </w:r>
      <w:proofErr w:type="gramEnd"/>
      <w:r w:rsidRPr="004551E9">
        <w:rPr>
          <w:lang w:val="en-US"/>
        </w:rPr>
        <w:t xml:space="preserve"> 1 and 2, </w:t>
      </w:r>
      <w:proofErr w:type="gramStart"/>
      <w:r w:rsidRPr="004551E9">
        <w:rPr>
          <w:lang w:val="en-US"/>
        </w:rPr>
        <w:t>84p.;</w:t>
      </w:r>
      <w:proofErr w:type="gramEnd"/>
      <w:r w:rsidRPr="004551E9">
        <w:rPr>
          <w:lang w:val="en-US"/>
        </w:rPr>
        <w:t xml:space="preserve"> Add. 3 and 4; Sixth report, 2001, doc. </w:t>
      </w:r>
      <w:proofErr w:type="gramStart"/>
      <w:r w:rsidRPr="004551E9">
        <w:rPr>
          <w:lang w:val="en-US"/>
        </w:rPr>
        <w:t>A/CN.4/518 (9 p.) and Add.</w:t>
      </w:r>
      <w:proofErr w:type="gramEnd"/>
      <w:r w:rsidRPr="004551E9">
        <w:rPr>
          <w:lang w:val="en-US"/>
        </w:rPr>
        <w:t xml:space="preserve"> </w:t>
      </w:r>
      <w:proofErr w:type="gramStart"/>
      <w:r w:rsidRPr="004551E9">
        <w:rPr>
          <w:lang w:val="en-US"/>
        </w:rPr>
        <w:t>1, 2 and 3 (29, 16 and 7 p.); Seventh report, 2002, doc.</w:t>
      </w:r>
      <w:proofErr w:type="gramEnd"/>
      <w:r w:rsidRPr="004551E9">
        <w:rPr>
          <w:lang w:val="en-US"/>
        </w:rPr>
        <w:t xml:space="preserve"> </w:t>
      </w:r>
      <w:proofErr w:type="gramStart"/>
      <w:r w:rsidRPr="004551E9">
        <w:rPr>
          <w:lang w:val="en-US"/>
        </w:rPr>
        <w:t>A/CN.4/526 (22 p.) and Add.</w:t>
      </w:r>
      <w:proofErr w:type="gramEnd"/>
      <w:r w:rsidRPr="004551E9">
        <w:rPr>
          <w:lang w:val="en-US"/>
        </w:rPr>
        <w:t xml:space="preserve"> </w:t>
      </w:r>
      <w:proofErr w:type="gramStart"/>
      <w:r w:rsidRPr="004551E9">
        <w:rPr>
          <w:lang w:val="en-US"/>
        </w:rPr>
        <w:t>1, 2 and 3 (12, 42 and 13 p.); Eighth report, 2003, A/CN.4/535 (20 p.) and Add.1 (17 p.); Ninth report, 2004, A/CN.4/544; Tenth report, 2005, A/CN.4/558 and Add.</w:t>
      </w:r>
      <w:proofErr w:type="gramEnd"/>
      <w:r w:rsidRPr="004551E9">
        <w:rPr>
          <w:lang w:val="en-US"/>
        </w:rPr>
        <w:t xml:space="preserve"> </w:t>
      </w:r>
      <w:proofErr w:type="gramStart"/>
      <w:r w:rsidRPr="004551E9">
        <w:rPr>
          <w:lang w:val="en-US"/>
        </w:rPr>
        <w:t>1 and 2; Eleventh report, 2006, A/CN.4/574; Twelve report, 2007, A/CN.4/584 and Corr. 1; Thirteenth report, 2008, A/CN.4/600; Fourteenth report, 2009, A/CN.4/614 and Add.</w:t>
      </w:r>
      <w:proofErr w:type="gramEnd"/>
      <w:r w:rsidRPr="004551E9">
        <w:rPr>
          <w:lang w:val="en-US"/>
        </w:rPr>
        <w:t xml:space="preserve"> 1; </w:t>
      </w:r>
      <w:proofErr w:type="gramStart"/>
      <w:r w:rsidRPr="004551E9">
        <w:rPr>
          <w:lang w:val="en-US"/>
        </w:rPr>
        <w:t>Fifteen</w:t>
      </w:r>
      <w:proofErr w:type="gramEnd"/>
      <w:r w:rsidRPr="004551E9">
        <w:rPr>
          <w:lang w:val="en-US"/>
        </w:rPr>
        <w:t xml:space="preserve"> report, 2010, A/CN.4/624 and Add. 1 </w:t>
      </w:r>
      <w:proofErr w:type="gramStart"/>
      <w:r w:rsidRPr="004551E9">
        <w:rPr>
          <w:lang w:val="en-US"/>
        </w:rPr>
        <w:t>et</w:t>
      </w:r>
      <w:proofErr w:type="gramEnd"/>
      <w:r w:rsidRPr="004551E9">
        <w:rPr>
          <w:lang w:val="en-US"/>
        </w:rPr>
        <w:t xml:space="preserve"> 2; Sixteen report, 2010, A/CN.4/626 and Add. </w:t>
      </w:r>
      <w:proofErr w:type="gramStart"/>
      <w:r w:rsidRPr="004551E9">
        <w:rPr>
          <w:lang w:val="en-US"/>
        </w:rPr>
        <w:t>1; Seventeenth report, 2011, A/CN.4/647 and Add.</w:t>
      </w:r>
      <w:proofErr w:type="gramEnd"/>
      <w:r w:rsidRPr="004551E9">
        <w:rPr>
          <w:lang w:val="en-US"/>
        </w:rPr>
        <w:t xml:space="preserve"> 1.</w:t>
      </w:r>
      <w:r w:rsidR="006851E2" w:rsidRPr="004551E9">
        <w:rPr>
          <w:lang w:val="en-US"/>
        </w:rPr>
        <w:t xml:space="preserve">  </w:t>
      </w:r>
    </w:p>
    <w:p w:rsidR="006851E2" w:rsidRPr="004551E9" w:rsidRDefault="006851E2" w:rsidP="004551E9">
      <w:pPr>
        <w:rPr>
          <w:lang w:val="en-US"/>
        </w:rPr>
      </w:pPr>
    </w:p>
    <w:p w:rsidR="006851E2" w:rsidRPr="00562DB8" w:rsidRDefault="003B6E85" w:rsidP="002C1D94">
      <w:pPr>
        <w:pStyle w:val="Ttulo15"/>
        <w:rPr>
          <w:lang w:val="en-US"/>
        </w:rPr>
      </w:pPr>
      <w:r w:rsidRPr="00562DB8">
        <w:rPr>
          <w:lang w:val="en-US"/>
        </w:rPr>
        <w:t xml:space="preserve">V.) INFORMES DE </w:t>
      </w:r>
      <w:proofErr w:type="spellStart"/>
      <w:r w:rsidRPr="00562DB8">
        <w:rPr>
          <w:lang w:val="en-US"/>
        </w:rPr>
        <w:t>ongs</w:t>
      </w:r>
      <w:proofErr w:type="spellEnd"/>
    </w:p>
    <w:p w:rsidR="003B6E85" w:rsidRPr="004551E9" w:rsidRDefault="003B6E85" w:rsidP="004551E9">
      <w:pPr>
        <w:rPr>
          <w:lang w:val="en-US"/>
        </w:rPr>
      </w:pPr>
    </w:p>
    <w:p w:rsidR="006851E2" w:rsidRPr="004551E9" w:rsidRDefault="006851E2" w:rsidP="004551E9">
      <w:pPr>
        <w:pStyle w:val="Prrafodelista"/>
        <w:rPr>
          <w:lang w:val="en-US"/>
        </w:rPr>
      </w:pPr>
      <w:r w:rsidRPr="004551E9">
        <w:rPr>
          <w:lang w:val="en-US"/>
        </w:rPr>
        <w:t>Agenda 22, Disability policy planning instructions for local authorities, Swedish Disability Federation, (www.hso.se)</w:t>
      </w:r>
    </w:p>
    <w:p w:rsidR="006851E2" w:rsidRPr="004551E9" w:rsidRDefault="006851E2" w:rsidP="004551E9">
      <w:pPr>
        <w:pStyle w:val="Prrafodelista"/>
        <w:rPr>
          <w:lang w:val="en-US"/>
        </w:rPr>
      </w:pPr>
      <w:r w:rsidRPr="004551E9">
        <w:rPr>
          <w:lang w:val="en-US"/>
        </w:rPr>
        <w:t xml:space="preserve">International Disability Rights Monitor, Disability and Tsunami Relief Efforts in India, Indonesia and Thailand, Center for International Rehabilitation (September 2005): </w:t>
      </w:r>
      <w:r w:rsidRPr="004551E9">
        <w:rPr>
          <w:lang w:val="en-US"/>
        </w:rPr>
        <w:lastRenderedPageBreak/>
        <w:t>http://www.handicap-international.fr/bibliographie-handicap/7Donnees/RapportEtude/IDRM_Tsunami.pdf</w:t>
      </w:r>
    </w:p>
    <w:p w:rsidR="006851E2" w:rsidRPr="004551E9" w:rsidRDefault="006851E2" w:rsidP="004551E9">
      <w:pPr>
        <w:pStyle w:val="Prrafodelista"/>
        <w:rPr>
          <w:lang w:val="en-US"/>
        </w:rPr>
      </w:pPr>
      <w:r w:rsidRPr="004551E9">
        <w:rPr>
          <w:lang w:val="en-US"/>
        </w:rPr>
        <w:t>International Disability Alliance, Position Paper on the Convention on the Rights of Persons with Disabilities (CRPD) and Other Instruments, April 25, 2008</w:t>
      </w:r>
    </w:p>
    <w:p w:rsidR="006851E2" w:rsidRPr="004551E9" w:rsidRDefault="006851E2" w:rsidP="004551E9">
      <w:pPr>
        <w:pStyle w:val="Prrafodelista"/>
        <w:rPr>
          <w:lang w:val="en-US"/>
        </w:rPr>
      </w:pPr>
      <w:r w:rsidRPr="004551E9">
        <w:rPr>
          <w:lang w:val="en-US"/>
        </w:rPr>
        <w:t>Human Rights YES!, (2007) by Janet E. Lord, Katherine N. Guernsey, Joelle M. Balfe &amp; Valerie L. Karr, Nancy Flowers, Editor, University of Minnesota</w:t>
      </w:r>
    </w:p>
    <w:p w:rsidR="006851E2" w:rsidRPr="001414A6" w:rsidRDefault="006851E2" w:rsidP="004551E9">
      <w:pPr>
        <w:pStyle w:val="Prrafodelista"/>
      </w:pPr>
      <w:r w:rsidRPr="001414A6">
        <w:t xml:space="preserve">Abandonados y Desaparecidos: Segregación y Abuso de Niños y Adultos con Discapacidad en México (2010), </w:t>
      </w:r>
      <w:proofErr w:type="spellStart"/>
      <w:r w:rsidRPr="001414A6">
        <w:t>Disability</w:t>
      </w:r>
      <w:proofErr w:type="spellEnd"/>
      <w:r w:rsidRPr="001414A6">
        <w:t xml:space="preserve"> </w:t>
      </w:r>
      <w:proofErr w:type="spellStart"/>
      <w:r w:rsidRPr="001414A6">
        <w:t>Rights</w:t>
      </w:r>
      <w:proofErr w:type="spellEnd"/>
      <w:r w:rsidRPr="001414A6">
        <w:t xml:space="preserve"> International y Comisión </w:t>
      </w:r>
      <w:proofErr w:type="spellStart"/>
      <w:r w:rsidRPr="001414A6">
        <w:t>Méxicana</w:t>
      </w:r>
      <w:proofErr w:type="spellEnd"/>
      <w:r w:rsidRPr="001414A6">
        <w:t xml:space="preserve"> de Defensa y Promoción de los Derechos Humanos</w:t>
      </w:r>
    </w:p>
    <w:p w:rsidR="006851E2" w:rsidRPr="004551E9" w:rsidRDefault="006851E2" w:rsidP="004551E9">
      <w:pPr>
        <w:pStyle w:val="Prrafodelista"/>
        <w:rPr>
          <w:lang w:val="en-US"/>
        </w:rPr>
      </w:pPr>
      <w:r w:rsidRPr="004551E9">
        <w:rPr>
          <w:lang w:val="en-US"/>
        </w:rPr>
        <w:t xml:space="preserve">Torture not Treatment: Electric Shock and Long-Term Restraint in the United States on Children and Adults with Disabilities at the Judge Rotenberg Center, (2010), Mental Disability Rights International  </w:t>
      </w:r>
    </w:p>
    <w:p w:rsidR="006851E2" w:rsidRPr="001414A6" w:rsidRDefault="006851E2" w:rsidP="004551E9">
      <w:pPr>
        <w:pStyle w:val="Prrafodelista"/>
      </w:pPr>
      <w:r w:rsidRPr="004551E9">
        <w:rPr>
          <w:lang w:val="en-US"/>
        </w:rPr>
        <w:t xml:space="preserve">Implementation Manual for the United Nations Convention on the Rights of Persons with Disabilities, World Network of Users and Survivors of Psychiatry, February 2008. </w:t>
      </w:r>
      <w:r w:rsidRPr="001414A6">
        <w:t>Disponible en: http://wnusp.rafus.dk/documents/WNUSP_CRPD_Manual.pdf</w:t>
      </w:r>
    </w:p>
    <w:p w:rsidR="006851E2" w:rsidRPr="001414A6" w:rsidRDefault="006851E2" w:rsidP="004551E9">
      <w:pPr>
        <w:pStyle w:val="Prrafodelista"/>
      </w:pPr>
      <w:r w:rsidRPr="001414A6">
        <w:t xml:space="preserve">Vidas arrasadas: (2007) La segregación de las personas en los asilos psiquiátricos argentinos, Mental </w:t>
      </w:r>
      <w:proofErr w:type="spellStart"/>
      <w:r w:rsidRPr="001414A6">
        <w:t>Disability</w:t>
      </w:r>
      <w:proofErr w:type="spellEnd"/>
      <w:r w:rsidRPr="001414A6">
        <w:t xml:space="preserve"> </w:t>
      </w:r>
      <w:proofErr w:type="spellStart"/>
      <w:r w:rsidRPr="001414A6">
        <w:t>Rights</w:t>
      </w:r>
      <w:proofErr w:type="spellEnd"/>
      <w:r w:rsidRPr="001414A6">
        <w:t xml:space="preserve"> International y Centro de Estudios Legales y Sociales, disponible en: http://www.cels.org.ar/common/documentos/mdri_cels.pdf</w:t>
      </w:r>
    </w:p>
    <w:p w:rsidR="006851E2" w:rsidRPr="001414A6" w:rsidRDefault="006851E2" w:rsidP="004551E9">
      <w:pPr>
        <w:pStyle w:val="Prrafodelista"/>
      </w:pPr>
      <w:r w:rsidRPr="001414A6">
        <w:t xml:space="preserve">Yo quiero ser una ciudadana como cualquier otra” Obstáculos para la participación política de personas con discapacidad en Perú, </w:t>
      </w:r>
      <w:proofErr w:type="spellStart"/>
      <w:r w:rsidRPr="001414A6">
        <w:t>Human</w:t>
      </w:r>
      <w:proofErr w:type="spellEnd"/>
      <w:r w:rsidRPr="001414A6">
        <w:t xml:space="preserve"> </w:t>
      </w:r>
      <w:proofErr w:type="spellStart"/>
      <w:r w:rsidRPr="001414A6">
        <w:t>Rights</w:t>
      </w:r>
      <w:proofErr w:type="spellEnd"/>
      <w:r w:rsidRPr="001414A6">
        <w:t xml:space="preserve"> </w:t>
      </w:r>
      <w:proofErr w:type="spellStart"/>
      <w:r w:rsidRPr="001414A6">
        <w:t>Watch</w:t>
      </w:r>
      <w:proofErr w:type="spellEnd"/>
      <w:r w:rsidRPr="001414A6">
        <w:t>, Disponible en: http://www.hrw.org/sites/default/files/reports/peru0512spForUpload_0.pdf</w:t>
      </w:r>
    </w:p>
    <w:p w:rsidR="006851E2" w:rsidRPr="006851E2" w:rsidRDefault="006851E2" w:rsidP="004551E9"/>
    <w:sectPr w:rsidR="006851E2" w:rsidRPr="006851E2" w:rsidSect="00601263">
      <w:footerReference w:type="default" r:id="rId14"/>
      <w:pgSz w:w="11906" w:h="16838"/>
      <w:pgMar w:top="1701" w:right="2268"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5381" w:rsidRDefault="00CC5381" w:rsidP="004551E9">
      <w:r>
        <w:separator/>
      </w:r>
    </w:p>
    <w:p w:rsidR="00CC5381" w:rsidRDefault="00CC5381" w:rsidP="004551E9"/>
  </w:endnote>
  <w:endnote w:type="continuationSeparator" w:id="0">
    <w:p w:rsidR="00CC5381" w:rsidRDefault="00CC5381" w:rsidP="004551E9">
      <w:r>
        <w:continuationSeparator/>
      </w:r>
    </w:p>
    <w:p w:rsidR="00CC5381" w:rsidRDefault="00CC5381" w:rsidP="004551E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EurekaSans-BlackItalic">
    <w:altName w:val="Eureka Sans"/>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04797"/>
      <w:docPartObj>
        <w:docPartGallery w:val="Page Numbers (Bottom of Page)"/>
        <w:docPartUnique/>
      </w:docPartObj>
    </w:sdtPr>
    <w:sdtContent>
      <w:p w:rsidR="00887731" w:rsidRDefault="00BB3E10" w:rsidP="004551E9">
        <w:fldSimple w:instr=" PAGE   \* MERGEFORMAT ">
          <w:r w:rsidR="00933B4B">
            <w:rPr>
              <w:noProof/>
            </w:rPr>
            <w:t>76</w:t>
          </w:r>
        </w:fldSimple>
      </w:p>
    </w:sdtContent>
  </w:sdt>
  <w:p w:rsidR="00887731" w:rsidRDefault="00887731" w:rsidP="004551E9"/>
  <w:p w:rsidR="00887731" w:rsidRDefault="00887731" w:rsidP="004551E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5381" w:rsidRDefault="00CC5381" w:rsidP="004551E9">
      <w:r>
        <w:separator/>
      </w:r>
    </w:p>
    <w:p w:rsidR="00CC5381" w:rsidRDefault="00CC5381" w:rsidP="004551E9"/>
  </w:footnote>
  <w:footnote w:type="continuationSeparator" w:id="0">
    <w:p w:rsidR="00CC5381" w:rsidRDefault="00CC5381" w:rsidP="004551E9">
      <w:r>
        <w:continuationSeparator/>
      </w:r>
    </w:p>
    <w:p w:rsidR="00CC5381" w:rsidRDefault="00CC5381" w:rsidP="004551E9"/>
  </w:footnote>
  <w:footnote w:id="1">
    <w:p w:rsidR="00887731" w:rsidRPr="00597337" w:rsidRDefault="00887731" w:rsidP="004551E9">
      <w:pPr>
        <w:pStyle w:val="Pie"/>
        <w:rPr>
          <w:lang w:val="es-AR"/>
        </w:rPr>
      </w:pPr>
      <w:r w:rsidRPr="00597337">
        <w:rPr>
          <w:rStyle w:val="Refdenotaalpie"/>
        </w:rPr>
        <w:footnoteRef/>
      </w:r>
      <w:r w:rsidRPr="00597337">
        <w:rPr>
          <w:lang w:val="es-AR"/>
        </w:rPr>
        <w:t xml:space="preserve"> </w:t>
      </w:r>
      <w:r w:rsidRPr="00597337">
        <w:t>Resolución 60/232 de la Asamblea General de la ONU; A/61/611, de 6 de diciembre de 2006.</w:t>
      </w:r>
    </w:p>
  </w:footnote>
  <w:footnote w:id="2">
    <w:p w:rsidR="00887731" w:rsidRPr="00597337" w:rsidRDefault="00887731" w:rsidP="004551E9">
      <w:pPr>
        <w:pStyle w:val="Pie"/>
      </w:pPr>
      <w:r w:rsidRPr="00597337">
        <w:rPr>
          <w:rStyle w:val="Refdenotaalpie"/>
        </w:rPr>
        <w:footnoteRef/>
      </w:r>
      <w:r w:rsidRPr="00597337">
        <w:t xml:space="preserve"> Se utiliza la acrónimo OPD aunque cuyo equivalente en lengua inglesa DPOs (</w:t>
      </w:r>
      <w:r w:rsidRPr="00597337">
        <w:rPr>
          <w:i/>
        </w:rPr>
        <w:t>Disabled People’s Organizations</w:t>
      </w:r>
      <w:r w:rsidRPr="00597337">
        <w:t xml:space="preserve">) es mayormente usado. </w:t>
      </w:r>
    </w:p>
  </w:footnote>
  <w:footnote w:id="3">
    <w:p w:rsidR="00887731" w:rsidRPr="00597337" w:rsidRDefault="00887731" w:rsidP="004551E9">
      <w:pPr>
        <w:pStyle w:val="Pie"/>
      </w:pPr>
      <w:r w:rsidRPr="00597337">
        <w:rPr>
          <w:rStyle w:val="Refdenotaalpie"/>
        </w:rPr>
        <w:footnoteRef/>
      </w:r>
      <w:r w:rsidRPr="00597337">
        <w:t xml:space="preserve"> Véase: “Claves para entender la Convención Internacional sobre los derechos de las personas con discapacidad” en: </w:t>
      </w:r>
      <w:r w:rsidRPr="00597337">
        <w:rPr>
          <w:caps/>
        </w:rPr>
        <w:t>Cabra de Luna, M.A., Bariffi, F., &amp; Palacios, A.</w:t>
      </w:r>
      <w:r w:rsidRPr="00597337">
        <w:t xml:space="preserve">, (2007) </w:t>
      </w:r>
      <w:r w:rsidRPr="00597337">
        <w:rPr>
          <w:i/>
        </w:rPr>
        <w:t>Derechos Humanos de las Personas con Discapacidad: La Convención Internacional de las Naciones Unidas</w:t>
      </w:r>
      <w:r w:rsidRPr="00597337">
        <w:t>, Editorial Areces, Madrid, pp.61-70.</w:t>
      </w:r>
    </w:p>
  </w:footnote>
  <w:footnote w:id="4">
    <w:p w:rsidR="00887731" w:rsidRPr="00597337" w:rsidRDefault="00887731" w:rsidP="004551E9">
      <w:pPr>
        <w:pStyle w:val="Pie"/>
      </w:pPr>
      <w:r w:rsidRPr="00597337">
        <w:rPr>
          <w:rStyle w:val="Refdenotaalpie"/>
        </w:rPr>
        <w:footnoteRef/>
      </w:r>
      <w:r w:rsidRPr="00597337">
        <w:t xml:space="preserve"> Véase </w:t>
      </w:r>
      <w:r w:rsidRPr="00597337">
        <w:rPr>
          <w:caps/>
        </w:rPr>
        <w:t>Palacios, A., &amp; Bariffi, F.,</w:t>
      </w:r>
      <w:r w:rsidRPr="00597337">
        <w:t xml:space="preserve"> (2007), La discapacidad como una cuestión de derechos humanos. Una aproximación a la Convención Internacional sobre los Derechos de las Personas con Discapacidad, Cinca, Madrid.</w:t>
      </w:r>
    </w:p>
  </w:footnote>
  <w:footnote w:id="5">
    <w:p w:rsidR="00887731" w:rsidRPr="004551E9" w:rsidRDefault="00887731" w:rsidP="004551E9">
      <w:pPr>
        <w:pStyle w:val="Pie"/>
        <w:rPr>
          <w:lang w:val="en-US"/>
        </w:rPr>
      </w:pPr>
      <w:r w:rsidRPr="00597337">
        <w:rPr>
          <w:rStyle w:val="Refdenotaalpie"/>
        </w:rPr>
        <w:footnoteRef/>
      </w:r>
      <w:r w:rsidRPr="004551E9">
        <w:rPr>
          <w:lang w:val="en-US"/>
        </w:rPr>
        <w:t xml:space="preserve"> </w:t>
      </w:r>
      <w:proofErr w:type="spellStart"/>
      <w:r w:rsidRPr="004551E9">
        <w:rPr>
          <w:lang w:val="en-US"/>
        </w:rPr>
        <w:t>Véase</w:t>
      </w:r>
      <w:proofErr w:type="spellEnd"/>
      <w:r w:rsidRPr="004551E9">
        <w:rPr>
          <w:lang w:val="en-US"/>
        </w:rPr>
        <w:t xml:space="preserve"> Monitoring the Convention on the Rights of Persons with Disabilities: Guidance for human Rights Monitors, Professional training series No. 17, OHCHR, United Nations, New York and Geneva, 2010. </w:t>
      </w:r>
    </w:p>
  </w:footnote>
  <w:footnote w:id="6">
    <w:p w:rsidR="00887731" w:rsidRPr="00597337" w:rsidRDefault="00887731" w:rsidP="004551E9">
      <w:pPr>
        <w:pStyle w:val="Pie"/>
      </w:pPr>
      <w:r w:rsidRPr="00597337">
        <w:rPr>
          <w:rStyle w:val="Refdenotaalpie"/>
        </w:rPr>
        <w:footnoteRef/>
      </w:r>
      <w:r w:rsidRPr="00597337">
        <w:t xml:space="preserve"> Véase Estudio temático preparado por la Oficina del Alto Comisionado de las Naciones Unidas para los Derechos Humanos sobre la función de la cooperación internacional en apoyo de la labor de ámbito nacional para hacer efectivos los derechos de las personas con discapacidad, A/HRC/16/38, 20 de diciembre de 2010.</w:t>
      </w:r>
    </w:p>
  </w:footnote>
  <w:footnote w:id="7">
    <w:p w:rsidR="00887731" w:rsidRPr="00597337" w:rsidRDefault="00887731" w:rsidP="004551E9">
      <w:pPr>
        <w:pStyle w:val="Pie"/>
      </w:pPr>
      <w:r w:rsidRPr="00597337">
        <w:rPr>
          <w:rStyle w:val="Refdenotaalpie"/>
        </w:rPr>
        <w:footnoteRef/>
      </w:r>
      <w:r w:rsidRPr="00597337">
        <w:t xml:space="preserve"> ASIS ROIG, R., (En Prensa), </w:t>
      </w:r>
      <w:r w:rsidRPr="00597337">
        <w:rPr>
          <w:i/>
        </w:rPr>
        <w:t>Sobre discapacidad y derechos</w:t>
      </w:r>
      <w:r w:rsidRPr="00597337">
        <w:t xml:space="preserve">, Instituto de Derechos Humanos Bartolomé de las Casas, Dykinson. </w:t>
      </w:r>
    </w:p>
  </w:footnote>
  <w:footnote w:id="8">
    <w:p w:rsidR="00887731" w:rsidRPr="00597337" w:rsidRDefault="00887731" w:rsidP="004551E9">
      <w:pPr>
        <w:pStyle w:val="Pie"/>
      </w:pPr>
      <w:r w:rsidRPr="00597337">
        <w:rPr>
          <w:rStyle w:val="Refdenotaalpie"/>
        </w:rPr>
        <w:footnoteRef/>
      </w:r>
      <w:r w:rsidRPr="00597337">
        <w:t xml:space="preserve"> Palacios, A., &amp; Bariffi, F., (2007), op. cit.</w:t>
      </w:r>
    </w:p>
  </w:footnote>
  <w:footnote w:id="9">
    <w:p w:rsidR="00887731" w:rsidRPr="00597337" w:rsidRDefault="00887731" w:rsidP="004551E9">
      <w:pPr>
        <w:pStyle w:val="Pie"/>
      </w:pPr>
      <w:r w:rsidRPr="00597337">
        <w:rPr>
          <w:rStyle w:val="Refdenotaalpie"/>
        </w:rPr>
        <w:footnoteRef/>
      </w:r>
      <w:r w:rsidRPr="00597337">
        <w:t xml:space="preserve"> Véase PALACIOS, A., (2008), El modelo social de discapacidad: orígenes, caracterización y plasmación en la Convención Internacional sobre los Derechos de las Personas con Discapacidad, Colección CERMI, Ediciones Cinca, Madrid; PALACIOS, A., &amp; ROMAÑACH, J., (2006), El modelo de la diversidad: La Bioética y los Derechos Humanos como herramientas para alcanzar la plena dignidad en la diversidad funcional, Diversitas-AIES, Madrid.  </w:t>
      </w:r>
    </w:p>
  </w:footnote>
  <w:footnote w:id="10">
    <w:p w:rsidR="00887731" w:rsidRPr="00597337" w:rsidRDefault="00887731" w:rsidP="004551E9">
      <w:pPr>
        <w:pStyle w:val="Pie"/>
      </w:pPr>
      <w:r w:rsidRPr="00597337">
        <w:rPr>
          <w:rStyle w:val="Refdenotaalpie"/>
        </w:rPr>
        <w:footnoteRef/>
      </w:r>
      <w:r w:rsidRPr="00597337">
        <w:t xml:space="preserve"> Aunque en el presente trabajo se hará alusión a este modelo como “modelo médico”, cabe destacar que pero la denominación de </w:t>
      </w:r>
      <w:r w:rsidRPr="00597337">
        <w:rPr>
          <w:i/>
        </w:rPr>
        <w:t>rehabilitador</w:t>
      </w:r>
      <w:r w:rsidRPr="00597337">
        <w:t xml:space="preserve"> refleja de manera más leal la ideología que lo sustenta. </w:t>
      </w:r>
    </w:p>
  </w:footnote>
  <w:footnote w:id="11">
    <w:p w:rsidR="00887731" w:rsidRPr="00597337" w:rsidRDefault="00887731" w:rsidP="004551E9">
      <w:pPr>
        <w:pStyle w:val="Pie"/>
      </w:pPr>
      <w:r w:rsidRPr="00597337">
        <w:rPr>
          <w:rStyle w:val="Refdenotaalpie"/>
        </w:rPr>
        <w:footnoteRef/>
      </w:r>
      <w:r w:rsidRPr="00597337">
        <w:t xml:space="preserve"> VV.AA., (1993) </w:t>
      </w:r>
      <w:r w:rsidRPr="00597337">
        <w:rPr>
          <w:i/>
          <w:iCs/>
        </w:rPr>
        <w:t>La Discapacidad y la Rehabilitación en Juan Luis Vives. Homo homini par</w:t>
      </w:r>
      <w:r w:rsidRPr="00597337">
        <w:t>, R. PUIG DE LA BELLACASA, Real Patronato de Prevención y de Atención a Personas con Minusvalía, Madrid.</w:t>
      </w:r>
    </w:p>
  </w:footnote>
  <w:footnote w:id="12">
    <w:p w:rsidR="00887731" w:rsidRPr="00562DB8" w:rsidRDefault="00887731" w:rsidP="004551E9">
      <w:pPr>
        <w:pStyle w:val="Pie"/>
        <w:rPr>
          <w:noProof/>
          <w:lang w:val="en-US"/>
        </w:rPr>
      </w:pPr>
      <w:r w:rsidRPr="00597337">
        <w:rPr>
          <w:rStyle w:val="Refdenotaalpie"/>
          <w:noProof/>
        </w:rPr>
        <w:footnoteRef/>
      </w:r>
      <w:r w:rsidRPr="00562DB8">
        <w:rPr>
          <w:noProof/>
          <w:lang w:val="en-US"/>
        </w:rPr>
        <w:t xml:space="preserve"> Véase </w:t>
      </w:r>
      <w:r w:rsidRPr="00597337">
        <w:rPr>
          <w:rStyle w:val="Textoennegrita"/>
          <w:szCs w:val="20"/>
          <w:lang w:val="en-US"/>
        </w:rPr>
        <w:t>Stiker, H. J.,</w:t>
      </w:r>
      <w:r w:rsidRPr="00597337">
        <w:rPr>
          <w:lang w:val="en-US"/>
        </w:rPr>
        <w:t xml:space="preserve"> (1999) </w:t>
      </w:r>
      <w:r w:rsidRPr="00597337">
        <w:rPr>
          <w:i/>
          <w:iCs/>
          <w:lang w:val="en-US"/>
        </w:rPr>
        <w:t xml:space="preserve">A History of Disability, </w:t>
      </w:r>
      <w:r w:rsidRPr="00597337">
        <w:rPr>
          <w:lang w:val="en-US"/>
        </w:rPr>
        <w:t xml:space="preserve">Translated by William Sayers, Ann Arbor, The University of Michigan Press, </w:t>
      </w:r>
      <w:r w:rsidRPr="00562DB8">
        <w:rPr>
          <w:noProof/>
          <w:lang w:val="en-US"/>
        </w:rPr>
        <w:t xml:space="preserve">p. 124. </w:t>
      </w:r>
    </w:p>
  </w:footnote>
  <w:footnote w:id="13">
    <w:p w:rsidR="00887731" w:rsidRPr="00597337" w:rsidRDefault="00887731" w:rsidP="004551E9">
      <w:pPr>
        <w:pStyle w:val="Pie"/>
        <w:rPr>
          <w:noProof/>
        </w:rPr>
      </w:pPr>
      <w:r w:rsidRPr="00597337">
        <w:rPr>
          <w:rStyle w:val="Refdenotaalpie"/>
          <w:noProof/>
        </w:rPr>
        <w:footnoteRef/>
      </w:r>
      <w:r w:rsidRPr="00597337">
        <w:rPr>
          <w:noProof/>
        </w:rPr>
        <w:t xml:space="preserve"> Véase </w:t>
      </w:r>
      <w:r w:rsidRPr="00597337">
        <w:rPr>
          <w:rStyle w:val="Textoennegrita"/>
          <w:szCs w:val="20"/>
        </w:rPr>
        <w:t>Aguado Díaz, A.,</w:t>
      </w:r>
      <w:r w:rsidRPr="00597337">
        <w:t xml:space="preserve"> (1995) </w:t>
      </w:r>
      <w:r w:rsidRPr="00597337">
        <w:rPr>
          <w:i/>
        </w:rPr>
        <w:t>Historia de las deficiencias,</w:t>
      </w:r>
      <w:r w:rsidRPr="00597337">
        <w:t xml:space="preserve"> Escuela Libre Editorial, Colección Tesis y Praxis, Madrid</w:t>
      </w:r>
      <w:r w:rsidRPr="00597337">
        <w:rPr>
          <w:noProof/>
        </w:rPr>
        <w:t>.</w:t>
      </w:r>
    </w:p>
  </w:footnote>
  <w:footnote w:id="14">
    <w:p w:rsidR="00887731" w:rsidRPr="00597337" w:rsidRDefault="00887731" w:rsidP="004551E9">
      <w:pPr>
        <w:pStyle w:val="Pie"/>
        <w:rPr>
          <w:lang w:val="en-US"/>
        </w:rPr>
      </w:pPr>
      <w:r w:rsidRPr="00597337">
        <w:rPr>
          <w:rStyle w:val="Refdenotaalpie"/>
        </w:rPr>
        <w:footnoteRef/>
      </w:r>
      <w:r w:rsidRPr="004551E9">
        <w:rPr>
          <w:lang w:val="en-US"/>
        </w:rPr>
        <w:t xml:space="preserve"> </w:t>
      </w:r>
      <w:proofErr w:type="spellStart"/>
      <w:r w:rsidRPr="004551E9">
        <w:rPr>
          <w:lang w:val="en-US"/>
        </w:rPr>
        <w:t>Véase</w:t>
      </w:r>
      <w:proofErr w:type="spellEnd"/>
      <w:r w:rsidRPr="004551E9">
        <w:rPr>
          <w:lang w:val="en-US"/>
        </w:rPr>
        <w:t xml:space="preserve"> </w:t>
      </w:r>
      <w:r w:rsidRPr="00597337">
        <w:rPr>
          <w:lang w:val="en-US"/>
        </w:rPr>
        <w:t xml:space="preserve">QUINN, G. &amp; DEGENER, T., (2002b) </w:t>
      </w:r>
      <w:r w:rsidRPr="00597337">
        <w:rPr>
          <w:i/>
          <w:lang w:val="en-US"/>
        </w:rPr>
        <w:t>A Survey of International, Comparative and Regional Disability Law Reform</w:t>
      </w:r>
      <w:r w:rsidRPr="00597337">
        <w:rPr>
          <w:lang w:val="en-US"/>
        </w:rPr>
        <w:t xml:space="preserve">,  </w:t>
      </w:r>
      <w:proofErr w:type="spellStart"/>
      <w:r w:rsidRPr="00597337">
        <w:rPr>
          <w:lang w:val="en-US"/>
        </w:rPr>
        <w:t>accesible</w:t>
      </w:r>
      <w:proofErr w:type="spellEnd"/>
      <w:r w:rsidRPr="00597337">
        <w:rPr>
          <w:lang w:val="en-US"/>
        </w:rPr>
        <w:t xml:space="preserve"> en: </w:t>
      </w:r>
      <w:r w:rsidR="00BB3E10">
        <w:fldChar w:fldCharType="begin"/>
      </w:r>
      <w:r w:rsidR="00BB3E10" w:rsidRPr="00F71B0D">
        <w:rPr>
          <w:lang w:val="en-US"/>
        </w:rPr>
        <w:instrText>HYPERLINK "http://www.dredf.org/international/degener_quinn.html"</w:instrText>
      </w:r>
      <w:r w:rsidR="00BB3E10">
        <w:fldChar w:fldCharType="separate"/>
      </w:r>
      <w:r w:rsidRPr="00597337">
        <w:rPr>
          <w:rStyle w:val="Hipervnculo"/>
          <w:lang w:val="en-US"/>
        </w:rPr>
        <w:t>http://www.dredf.org/international/degener_quinn.html</w:t>
      </w:r>
      <w:r w:rsidR="00BB3E10">
        <w:fldChar w:fldCharType="end"/>
      </w:r>
      <w:r w:rsidRPr="004551E9">
        <w:rPr>
          <w:lang w:val="en-US"/>
        </w:rPr>
        <w:t xml:space="preserve">  </w:t>
      </w:r>
    </w:p>
  </w:footnote>
  <w:footnote w:id="15">
    <w:p w:rsidR="00887731" w:rsidRPr="00597337" w:rsidRDefault="00887731" w:rsidP="004551E9">
      <w:pPr>
        <w:pStyle w:val="Pie"/>
        <w:rPr>
          <w:noProof/>
        </w:rPr>
      </w:pPr>
      <w:r w:rsidRPr="00597337">
        <w:rPr>
          <w:rStyle w:val="Refdenotaalpie"/>
          <w:noProof/>
        </w:rPr>
        <w:footnoteRef/>
      </w:r>
      <w:r w:rsidRPr="00597337">
        <w:rPr>
          <w:noProof/>
        </w:rPr>
        <w:t xml:space="preserve"> Cfr. </w:t>
      </w:r>
      <w:hyperlink r:id="rId1" w:history="1">
        <w:r w:rsidRPr="00597337">
          <w:t>Clasificación Internacional del funcionamiento, de la discapacidad y de la salud : CIF / Organización Mundial de la Salud, Organización Panamericana de la Salud</w:t>
        </w:r>
      </w:hyperlink>
      <w:r w:rsidRPr="00597337">
        <w:t>, Ministerio de Trabajo y Asuntos Sociales, Secretaría General de Asuntos Sociales, Instituto de Migraciones y Servicios Sociales (IMSERSO), Madrid, 2001.</w:t>
      </w:r>
    </w:p>
  </w:footnote>
  <w:footnote w:id="16">
    <w:p w:rsidR="00887731" w:rsidRPr="00597337" w:rsidRDefault="00887731" w:rsidP="004551E9">
      <w:pPr>
        <w:pStyle w:val="Pie"/>
        <w:rPr>
          <w:noProof/>
          <w:lang w:val="en-US"/>
        </w:rPr>
      </w:pPr>
      <w:r w:rsidRPr="00597337">
        <w:rPr>
          <w:rStyle w:val="Refdenotaalpie"/>
          <w:noProof/>
        </w:rPr>
        <w:footnoteRef/>
      </w:r>
      <w:r w:rsidRPr="00597337">
        <w:rPr>
          <w:noProof/>
        </w:rPr>
        <w:t xml:space="preserve"> Véase ABBERLEY, P., (1998) “Trabajo, Utopía y deficiencia”, en BARTON, L. (comp.), </w:t>
      </w:r>
      <w:r w:rsidRPr="00597337">
        <w:rPr>
          <w:i/>
          <w:noProof/>
        </w:rPr>
        <w:t>Discapacidad y Sociedad</w:t>
      </w:r>
      <w:r w:rsidRPr="00597337">
        <w:rPr>
          <w:noProof/>
        </w:rPr>
        <w:t xml:space="preserve">, Morata S.L., Madrid; BARNES, C., (2000), </w:t>
      </w:r>
      <w:r w:rsidRPr="00597337">
        <w:rPr>
          <w:i/>
          <w:noProof/>
        </w:rPr>
        <w:t xml:space="preserve">Disabled People in Britain and Discrimination. </w:t>
      </w:r>
      <w:r w:rsidRPr="00597337">
        <w:rPr>
          <w:i/>
          <w:noProof/>
          <w:lang w:val="en-US"/>
        </w:rPr>
        <w:t>A case for Anti-discrimination Legislation</w:t>
      </w:r>
      <w:r w:rsidRPr="00597337">
        <w:rPr>
          <w:noProof/>
          <w:lang w:val="en-US"/>
        </w:rPr>
        <w:t>, third edition, Hurst and Company, London in association with the British Council of Organizations of Disabled People</w:t>
      </w:r>
      <w:r w:rsidRPr="00597337">
        <w:rPr>
          <w:i/>
          <w:noProof/>
          <w:lang w:val="en-US"/>
        </w:rPr>
        <w:t xml:space="preserve">, </w:t>
      </w:r>
      <w:r w:rsidRPr="00597337">
        <w:rPr>
          <w:noProof/>
          <w:lang w:val="en-US"/>
        </w:rPr>
        <w:t xml:space="preserve">United Kingdom; BARNES, C. (1998), “Las teorías de la discapacidad y los orígenes de la opresión de las personas discapacitadas en la sociedad occidental”, en BARTON L. (comp.), op. cit; MORRIS, J. (ed.) </w:t>
      </w:r>
      <w:r w:rsidRPr="00597337">
        <w:rPr>
          <w:noProof/>
        </w:rPr>
        <w:t xml:space="preserve">(1996), </w:t>
      </w:r>
      <w:r w:rsidRPr="00597337">
        <w:rPr>
          <w:i/>
          <w:noProof/>
        </w:rPr>
        <w:t xml:space="preserve">Encuentros con desconocidas. Feminismo y discapacidad, </w:t>
      </w:r>
      <w:r w:rsidRPr="00597337">
        <w:rPr>
          <w:noProof/>
        </w:rPr>
        <w:t xml:space="preserve">Narcea, Madrid; OLIVER, M., (1998), “Una sociología de la discapacidad o una sociología discapacitada?”, en BARTON, L. (comp.), op. cit; SILVERS, A., WASSERMAN, D. &amp; MAHOWALD, M. B. (1998) </w:t>
      </w:r>
      <w:r w:rsidRPr="00597337">
        <w:rPr>
          <w:i/>
          <w:noProof/>
        </w:rPr>
        <w:t xml:space="preserve">Disability, Difference, Discrimination. </w:t>
      </w:r>
      <w:r w:rsidRPr="00597337">
        <w:rPr>
          <w:i/>
          <w:noProof/>
          <w:lang w:val="en-GB"/>
        </w:rPr>
        <w:t xml:space="preserve">Perspective on Justice in Bioethics and Public Policy, </w:t>
      </w:r>
      <w:r w:rsidRPr="00597337">
        <w:rPr>
          <w:noProof/>
          <w:lang w:val="en-GB"/>
        </w:rPr>
        <w:t>Rowman &amp; Littlefield Publishers, Inc..</w:t>
      </w:r>
    </w:p>
  </w:footnote>
  <w:footnote w:id="17">
    <w:p w:rsidR="00887731" w:rsidRPr="00562DB8" w:rsidRDefault="00887731" w:rsidP="004551E9">
      <w:pPr>
        <w:pStyle w:val="Pie"/>
        <w:rPr>
          <w:lang w:val="en-US"/>
        </w:rPr>
      </w:pPr>
      <w:r w:rsidRPr="00597337">
        <w:rPr>
          <w:rStyle w:val="Refdenotaalpie"/>
        </w:rPr>
        <w:footnoteRef/>
      </w:r>
      <w:r w:rsidRPr="00562DB8">
        <w:rPr>
          <w:lang w:val="en-US"/>
        </w:rPr>
        <w:t xml:space="preserve"> </w:t>
      </w:r>
      <w:r w:rsidRPr="00562DB8">
        <w:rPr>
          <w:noProof/>
          <w:lang w:val="en-US"/>
        </w:rPr>
        <w:t>Véase STIKER, H. J., (1999), op.</w:t>
      </w:r>
      <w:r w:rsidRPr="00597337">
        <w:rPr>
          <w:noProof/>
          <w:lang w:val="en-US"/>
        </w:rPr>
        <w:t xml:space="preserve"> </w:t>
      </w:r>
      <w:r w:rsidRPr="00562DB8">
        <w:rPr>
          <w:noProof/>
          <w:lang w:val="en-US"/>
        </w:rPr>
        <w:t>cit.,</w:t>
      </w:r>
      <w:r w:rsidRPr="00562DB8">
        <w:rPr>
          <w:lang w:val="en-US"/>
        </w:rPr>
        <w:t xml:space="preserve"> p. 12. </w:t>
      </w:r>
    </w:p>
  </w:footnote>
  <w:footnote w:id="18">
    <w:p w:rsidR="00887731" w:rsidRPr="00597337" w:rsidRDefault="00887731" w:rsidP="004551E9">
      <w:pPr>
        <w:pStyle w:val="Pie"/>
      </w:pPr>
      <w:r w:rsidRPr="00597337">
        <w:rPr>
          <w:rStyle w:val="Refdenotaalpie"/>
        </w:rPr>
        <w:footnoteRef/>
      </w:r>
      <w:r w:rsidRPr="00597337">
        <w:t xml:space="preserve"> Véase COURTIS, C., (2004), “Discapacidad e inclusión social: retos teóricos y desafíos prácticos. Algunos comentarios a partir de la Ley 51/2003”, en </w:t>
      </w:r>
      <w:r w:rsidRPr="00597337">
        <w:rPr>
          <w:i/>
        </w:rPr>
        <w:t>Jueces para la Democracia</w:t>
      </w:r>
      <w:r w:rsidRPr="00597337">
        <w:t>, núm. 51, p. 7.</w:t>
      </w:r>
    </w:p>
  </w:footnote>
  <w:footnote w:id="19">
    <w:p w:rsidR="00887731" w:rsidRPr="00597337" w:rsidRDefault="00887731" w:rsidP="004551E9">
      <w:pPr>
        <w:pStyle w:val="Pie"/>
        <w:rPr>
          <w:lang w:val="en-US"/>
        </w:rPr>
      </w:pPr>
      <w:r w:rsidRPr="00597337">
        <w:rPr>
          <w:rStyle w:val="Refdenotaalpie"/>
        </w:rPr>
        <w:footnoteRef/>
      </w:r>
      <w:r w:rsidRPr="004551E9">
        <w:rPr>
          <w:lang w:val="en-US"/>
        </w:rPr>
        <w:t xml:space="preserve"> </w:t>
      </w:r>
      <w:proofErr w:type="spellStart"/>
      <w:r w:rsidRPr="004551E9">
        <w:rPr>
          <w:lang w:val="en-US"/>
        </w:rPr>
        <w:t>Véase</w:t>
      </w:r>
      <w:proofErr w:type="spellEnd"/>
      <w:r w:rsidRPr="004551E9">
        <w:rPr>
          <w:lang w:val="en-US"/>
        </w:rPr>
        <w:t xml:space="preserve"> BARNES C. &amp; MERCER,</w:t>
      </w:r>
      <w:r w:rsidRPr="00597337">
        <w:rPr>
          <w:lang w:val="en-US"/>
        </w:rPr>
        <w:t xml:space="preserve"> </w:t>
      </w:r>
      <w:r w:rsidRPr="004551E9">
        <w:rPr>
          <w:lang w:val="en-US"/>
        </w:rPr>
        <w:t xml:space="preserve">G. (2003), </w:t>
      </w:r>
      <w:r w:rsidRPr="004551E9">
        <w:rPr>
          <w:i/>
          <w:lang w:val="en-US"/>
        </w:rPr>
        <w:t xml:space="preserve">Disability, </w:t>
      </w:r>
      <w:r w:rsidRPr="004551E9">
        <w:rPr>
          <w:lang w:val="en-US"/>
        </w:rPr>
        <w:t xml:space="preserve">Polity Press, Cambridge, cap. 1. </w:t>
      </w:r>
    </w:p>
  </w:footnote>
  <w:footnote w:id="20">
    <w:p w:rsidR="00887731" w:rsidRPr="00597337" w:rsidRDefault="00887731" w:rsidP="004551E9">
      <w:pPr>
        <w:pStyle w:val="Pie"/>
        <w:rPr>
          <w:lang w:val="en-GB"/>
        </w:rPr>
      </w:pPr>
      <w:r w:rsidRPr="00597337">
        <w:rPr>
          <w:rStyle w:val="Refdenotaalpie"/>
        </w:rPr>
        <w:footnoteRef/>
      </w:r>
      <w:r w:rsidRPr="00562DB8">
        <w:rPr>
          <w:lang w:val="en-US"/>
        </w:rPr>
        <w:t xml:space="preserve"> </w:t>
      </w:r>
      <w:proofErr w:type="spellStart"/>
      <w:proofErr w:type="gramStart"/>
      <w:r w:rsidRPr="00562DB8">
        <w:rPr>
          <w:lang w:val="en-US"/>
        </w:rPr>
        <w:t>Véase</w:t>
      </w:r>
      <w:proofErr w:type="spellEnd"/>
      <w:r w:rsidRPr="00597337">
        <w:rPr>
          <w:lang w:val="en-GB"/>
        </w:rPr>
        <w:t xml:space="preserve"> BARNES, C. OLIVER, M. &amp; BARTON L. (eds.), (2002) </w:t>
      </w:r>
      <w:r w:rsidRPr="00597337">
        <w:rPr>
          <w:i/>
          <w:iCs/>
          <w:lang w:val="en-GB"/>
        </w:rPr>
        <w:t xml:space="preserve">Disability Studies Today, </w:t>
      </w:r>
      <w:r w:rsidRPr="00597337">
        <w:rPr>
          <w:lang w:val="en-GB"/>
        </w:rPr>
        <w:t>Polity Press, Oxford, cap.</w:t>
      </w:r>
      <w:proofErr w:type="gramEnd"/>
      <w:r w:rsidRPr="00597337">
        <w:rPr>
          <w:lang w:val="en-GB"/>
        </w:rPr>
        <w:t xml:space="preserve"> 1.</w:t>
      </w:r>
    </w:p>
  </w:footnote>
  <w:footnote w:id="21">
    <w:p w:rsidR="00887731" w:rsidRPr="00597337" w:rsidRDefault="00887731" w:rsidP="004551E9">
      <w:pPr>
        <w:pStyle w:val="Pie"/>
      </w:pPr>
      <w:r w:rsidRPr="00597337">
        <w:rPr>
          <w:rStyle w:val="Refdenotaalpie"/>
        </w:rPr>
        <w:footnoteRef/>
      </w:r>
      <w:r w:rsidRPr="004551E9">
        <w:rPr>
          <w:lang w:val="en-US"/>
        </w:rPr>
        <w:t xml:space="preserve"> </w:t>
      </w:r>
      <w:proofErr w:type="spellStart"/>
      <w:r w:rsidRPr="004551E9">
        <w:rPr>
          <w:lang w:val="en-US"/>
        </w:rPr>
        <w:t>Sobre</w:t>
      </w:r>
      <w:proofErr w:type="spellEnd"/>
      <w:r w:rsidRPr="004551E9">
        <w:rPr>
          <w:lang w:val="en-US"/>
        </w:rPr>
        <w:t xml:space="preserve"> el </w:t>
      </w:r>
      <w:proofErr w:type="spellStart"/>
      <w:r w:rsidRPr="004551E9">
        <w:rPr>
          <w:lang w:val="en-US"/>
        </w:rPr>
        <w:t>movimiento</w:t>
      </w:r>
      <w:proofErr w:type="spellEnd"/>
      <w:r w:rsidRPr="004551E9">
        <w:rPr>
          <w:lang w:val="en-US"/>
        </w:rPr>
        <w:t xml:space="preserve"> de </w:t>
      </w:r>
      <w:proofErr w:type="spellStart"/>
      <w:r w:rsidRPr="004551E9">
        <w:rPr>
          <w:lang w:val="en-US"/>
        </w:rPr>
        <w:t>vida</w:t>
      </w:r>
      <w:proofErr w:type="spellEnd"/>
      <w:r w:rsidRPr="004551E9">
        <w:rPr>
          <w:lang w:val="en-US"/>
        </w:rPr>
        <w:t xml:space="preserve"> </w:t>
      </w:r>
      <w:proofErr w:type="spellStart"/>
      <w:r w:rsidRPr="004551E9">
        <w:rPr>
          <w:lang w:val="en-US"/>
        </w:rPr>
        <w:t>independiente</w:t>
      </w:r>
      <w:proofErr w:type="spellEnd"/>
      <w:r w:rsidRPr="004551E9">
        <w:rPr>
          <w:lang w:val="en-US"/>
        </w:rPr>
        <w:t xml:space="preserve">, </w:t>
      </w:r>
      <w:proofErr w:type="spellStart"/>
      <w:r w:rsidRPr="004551E9">
        <w:rPr>
          <w:lang w:val="en-US"/>
        </w:rPr>
        <w:t>véase</w:t>
      </w:r>
      <w:proofErr w:type="spellEnd"/>
      <w:r w:rsidRPr="004551E9">
        <w:rPr>
          <w:lang w:val="en-US"/>
        </w:rPr>
        <w:t xml:space="preserve"> </w:t>
      </w:r>
      <w:r w:rsidRPr="00597337">
        <w:rPr>
          <w:lang w:val="en-GB"/>
        </w:rPr>
        <w:t xml:space="preserve">DEJONG, G. (1979) </w:t>
      </w:r>
      <w:r w:rsidRPr="00597337">
        <w:rPr>
          <w:i/>
          <w:iCs/>
          <w:lang w:val="en-GB"/>
        </w:rPr>
        <w:t xml:space="preserve">The Movement for Independent Living: Origins, Ideology and Implications for Disability Research, </w:t>
      </w:r>
      <w:r w:rsidRPr="00597337">
        <w:rPr>
          <w:lang w:val="en-GB"/>
        </w:rPr>
        <w:t xml:space="preserve">East Lansing: Michigan State University Press; SHAPIRO, J. (1994) </w:t>
      </w:r>
      <w:r w:rsidRPr="00597337">
        <w:rPr>
          <w:i/>
          <w:lang w:val="en-GB"/>
        </w:rPr>
        <w:t xml:space="preserve">No Pity. </w:t>
      </w:r>
      <w:r w:rsidRPr="00597337">
        <w:rPr>
          <w:i/>
          <w:iCs/>
          <w:lang w:val="en-GB"/>
        </w:rPr>
        <w:t>People with Disabilities Forging a New Civil Rights Movement</w:t>
      </w:r>
      <w:r w:rsidRPr="00597337">
        <w:rPr>
          <w:lang w:val="en-GB"/>
        </w:rPr>
        <w:t xml:space="preserve">, Times Books, Random House, New York; GARCÍA ALONSO, J. V., (coord.), (2003) </w:t>
      </w:r>
      <w:r w:rsidRPr="00597337">
        <w:rPr>
          <w:i/>
          <w:lang w:val="en-GB"/>
        </w:rPr>
        <w:t xml:space="preserve">El movimiento de vida independiente. </w:t>
      </w:r>
      <w:r w:rsidRPr="00597337">
        <w:rPr>
          <w:i/>
        </w:rPr>
        <w:t>Experiencias Internacionales</w:t>
      </w:r>
      <w:r w:rsidRPr="00597337">
        <w:t>, Fundación Luis Vives, Madrid.</w:t>
      </w:r>
    </w:p>
  </w:footnote>
  <w:footnote w:id="22">
    <w:p w:rsidR="00887731" w:rsidRPr="00597337" w:rsidRDefault="00887731" w:rsidP="004551E9">
      <w:pPr>
        <w:pStyle w:val="Pie"/>
      </w:pPr>
      <w:r w:rsidRPr="00597337">
        <w:rPr>
          <w:rStyle w:val="Refdenotaalpie"/>
        </w:rPr>
        <w:footnoteRef/>
      </w:r>
      <w:r w:rsidRPr="00597337">
        <w:t xml:space="preserve"> Véase BARNES C. &amp; MERCER, G. (2003), op. cit.</w:t>
      </w:r>
    </w:p>
  </w:footnote>
  <w:footnote w:id="23">
    <w:p w:rsidR="00887731" w:rsidRPr="00597337" w:rsidRDefault="00887731" w:rsidP="004551E9">
      <w:pPr>
        <w:pStyle w:val="Pie"/>
      </w:pPr>
      <w:r w:rsidRPr="00597337">
        <w:rPr>
          <w:rStyle w:val="Refdenotaalpie"/>
        </w:rPr>
        <w:footnoteRef/>
      </w:r>
      <w:r w:rsidRPr="00562DB8">
        <w:rPr>
          <w:lang w:val="en-US"/>
        </w:rPr>
        <w:t xml:space="preserve"> </w:t>
      </w:r>
      <w:proofErr w:type="spellStart"/>
      <w:r w:rsidRPr="00562DB8">
        <w:rPr>
          <w:lang w:val="en-US"/>
        </w:rPr>
        <w:t>Véase</w:t>
      </w:r>
      <w:proofErr w:type="spellEnd"/>
      <w:r w:rsidRPr="00562DB8">
        <w:rPr>
          <w:lang w:val="en-US"/>
        </w:rPr>
        <w:t xml:space="preserve"> BARNES, C. OLIVER, M. &amp; BARTON L. (eds.), (2002)</w:t>
      </w:r>
      <w:r w:rsidRPr="00562DB8">
        <w:rPr>
          <w:iCs/>
          <w:lang w:val="en-US"/>
        </w:rPr>
        <w:t xml:space="preserve">, op. cit, cap. </w:t>
      </w:r>
      <w:r w:rsidRPr="00597337">
        <w:rPr>
          <w:iCs/>
        </w:rPr>
        <w:t>I.</w:t>
      </w:r>
    </w:p>
  </w:footnote>
  <w:footnote w:id="24">
    <w:p w:rsidR="00887731" w:rsidRPr="00597337" w:rsidRDefault="00887731" w:rsidP="004551E9">
      <w:pPr>
        <w:pStyle w:val="Pie"/>
        <w:rPr>
          <w:b/>
          <w:bCs/>
        </w:rPr>
      </w:pPr>
      <w:r w:rsidRPr="00597337">
        <w:rPr>
          <w:rStyle w:val="Refdenotaalpie"/>
          <w:szCs w:val="20"/>
        </w:rPr>
        <w:footnoteRef/>
      </w:r>
      <w:r w:rsidRPr="00597337">
        <w:t xml:space="preserve"> […los principios que inspiran en este momento a las normas jurídicas (o a las políticas públicas) en materia de discapacidad son, sobre el papel, totalmente compatibles con un discurso igualitario sobre los derechos...] ASÍS ROIG, R., (2004) “La incursión de la discapacidad en la teoría de los derechos”, en </w:t>
      </w:r>
      <w:r w:rsidRPr="00597337">
        <w:rPr>
          <w:i/>
        </w:rPr>
        <w:t>Los derechos de las personas con discapacidad: Perspectivas sociales, jurídicas y filosóficas</w:t>
      </w:r>
      <w:r w:rsidRPr="00597337">
        <w:t xml:space="preserve">, </w:t>
      </w:r>
      <w:r w:rsidRPr="00597337">
        <w:rPr>
          <w:caps/>
        </w:rPr>
        <w:t>Campoy Cervera, I</w:t>
      </w:r>
      <w:r w:rsidRPr="00597337">
        <w:t>. (Ed.), Dykinson, Madrid, p. 62 y ss.</w:t>
      </w:r>
    </w:p>
  </w:footnote>
  <w:footnote w:id="25">
    <w:p w:rsidR="00887731" w:rsidRPr="004551E9" w:rsidRDefault="00887731" w:rsidP="004551E9">
      <w:pPr>
        <w:pStyle w:val="Pie"/>
        <w:rPr>
          <w:lang w:val="en-US"/>
        </w:rPr>
      </w:pPr>
      <w:r w:rsidRPr="00597337">
        <w:rPr>
          <w:rStyle w:val="Refdenotaalpie"/>
        </w:rPr>
        <w:footnoteRef/>
      </w:r>
      <w:r w:rsidRPr="004551E9">
        <w:rPr>
          <w:lang w:val="en-US"/>
        </w:rPr>
        <w:t xml:space="preserve"> QUINN, G., (2005) “</w:t>
      </w:r>
      <w:r w:rsidRPr="00597337">
        <w:rPr>
          <w:lang w:val="en-US"/>
        </w:rPr>
        <w:t>Next</w:t>
      </w:r>
      <w:r w:rsidRPr="004551E9">
        <w:rPr>
          <w:lang w:val="en-US"/>
        </w:rPr>
        <w:t xml:space="preserve"> steps –Towards a United Nations Treaty on the Rights of Persons with Disabilities”, en </w:t>
      </w:r>
      <w:r w:rsidRPr="004551E9">
        <w:rPr>
          <w:i/>
          <w:lang w:val="en-US"/>
        </w:rPr>
        <w:t>Disability Rights</w:t>
      </w:r>
      <w:r w:rsidRPr="004551E9">
        <w:rPr>
          <w:lang w:val="en-US"/>
        </w:rPr>
        <w:t xml:space="preserve">, </w:t>
      </w:r>
      <w:r w:rsidRPr="004551E9">
        <w:rPr>
          <w:caps/>
          <w:lang w:val="en-US"/>
        </w:rPr>
        <w:t>Blanck, P.</w:t>
      </w:r>
      <w:r w:rsidRPr="004551E9">
        <w:rPr>
          <w:lang w:val="en-US"/>
        </w:rPr>
        <w:t xml:space="preserve"> (Ed.), Ashgate, Syracuse University. </w:t>
      </w:r>
    </w:p>
  </w:footnote>
  <w:footnote w:id="26">
    <w:p w:rsidR="00887731" w:rsidRPr="00597337" w:rsidRDefault="00887731" w:rsidP="004551E9">
      <w:pPr>
        <w:pStyle w:val="Pie"/>
      </w:pPr>
      <w:r w:rsidRPr="00597337">
        <w:rPr>
          <w:rStyle w:val="Refdenotaalpie"/>
        </w:rPr>
        <w:footnoteRef/>
      </w:r>
      <w:r w:rsidRPr="00597337">
        <w:t xml:space="preserve"> Ídem</w:t>
      </w:r>
    </w:p>
  </w:footnote>
  <w:footnote w:id="27">
    <w:p w:rsidR="00887731" w:rsidRPr="00597337" w:rsidRDefault="00887731" w:rsidP="004551E9">
      <w:pPr>
        <w:pStyle w:val="Pie"/>
      </w:pPr>
      <w:r w:rsidRPr="00597337">
        <w:rPr>
          <w:rStyle w:val="Refdenotaalpie"/>
        </w:rPr>
        <w:footnoteRef/>
      </w:r>
      <w:r w:rsidRPr="00597337">
        <w:t xml:space="preserve"> […La consideración de que las personas tienen un papel social independiente de su utilidad, quizás no queda claramente justificada ni desde la concepción moderna de la idea de dignidad humana; ni desde el reclamo efectuado por el modelo social, cuando intenta justificar la utilidad social de las personas con discapacidad, cuestión que –más allá de su  eficacia para remarcar otras cuestiones, como la discriminación institucional-, quizás no aporta mayores fundamentos al otorgamiento de sentido de la vida de una persona con discapacidad…] </w:t>
      </w:r>
      <w:r w:rsidRPr="00597337">
        <w:rPr>
          <w:lang w:val="es-AR"/>
        </w:rPr>
        <w:t>PALACIOS, A., (2008), op. cit. p. 158.</w:t>
      </w:r>
    </w:p>
  </w:footnote>
  <w:footnote w:id="28">
    <w:p w:rsidR="00887731" w:rsidRPr="00597337" w:rsidRDefault="00887731" w:rsidP="004551E9">
      <w:pPr>
        <w:pStyle w:val="Pie"/>
        <w:rPr>
          <w:i/>
        </w:rPr>
      </w:pPr>
      <w:r w:rsidRPr="00597337">
        <w:rPr>
          <w:rStyle w:val="Refdenotaalpie"/>
        </w:rPr>
        <w:footnoteRef/>
      </w:r>
      <w:r w:rsidRPr="00597337">
        <w:t xml:space="preserve"> […la dignidad humana se formula desde dos perspectivas (...) una más formal de raíz kantiana y otro más de contenidos, de carácter humanista y renacentista. Por la primera, la dignidad deriva de nuestra decisión de mostrar capacidad de elegir, de nuestra autonomía; por la segunda la dignidad consiste en el estudio de los rasgos que nos diferencian de los restantes animales. Son dos perspectivas complementarias, casi podríamos decir la forma y el contenido de nuestro valor como personas…] PECES-BARBA, G. (2003) </w:t>
      </w:r>
      <w:r w:rsidRPr="00597337">
        <w:rPr>
          <w:i/>
        </w:rPr>
        <w:t>La dignidad de la persona desde la Filosofía del Derecho</w:t>
      </w:r>
      <w:r w:rsidRPr="00597337">
        <w:t xml:space="preserve">, col. Cuadernos “Bartolomé de las Casas”, núm. 26, Dykinson, Madrid, p. 65); Véase asimismo FERNÁNDEZ GARCÍA, E., (2001) </w:t>
      </w:r>
      <w:r w:rsidRPr="00597337">
        <w:rPr>
          <w:i/>
        </w:rPr>
        <w:t>Dignidad Humana y ciudadanía cosmopolita</w:t>
      </w:r>
      <w:r w:rsidRPr="00597337">
        <w:t xml:space="preserve">, col. Cuadernos “Bartolomé de las Casas”, núm. 21, Dykinson, Madrid. </w:t>
      </w:r>
    </w:p>
  </w:footnote>
  <w:footnote w:id="29">
    <w:p w:rsidR="00887731" w:rsidRPr="00597337" w:rsidRDefault="00887731" w:rsidP="004551E9">
      <w:pPr>
        <w:pStyle w:val="Pie"/>
      </w:pPr>
      <w:r w:rsidRPr="00597337">
        <w:rPr>
          <w:rStyle w:val="Refdenotaalpie"/>
        </w:rPr>
        <w:footnoteRef/>
      </w:r>
      <w:r w:rsidRPr="00597337">
        <w:t xml:space="preserve"> Véase ASIS ROIG, R., (2012) “Sobre la Capacidad”, en Capacidad Jurídica, Discapacidad y Derechos Humanos: una revisión desde la Convención Internacional sobre los Derechos de las Personas con Discapacidad, </w:t>
      </w:r>
      <w:r w:rsidRPr="00597337">
        <w:rPr>
          <w:caps/>
        </w:rPr>
        <w:t>Bariffi, F. &amp; Palacios A., (Coord),</w:t>
      </w:r>
      <w:r w:rsidRPr="00597337">
        <w:t xml:space="preserve"> Ediar, Buenos Aires, pp. 13-29.</w:t>
      </w:r>
    </w:p>
  </w:footnote>
  <w:footnote w:id="30">
    <w:p w:rsidR="00887731" w:rsidRPr="00597337" w:rsidRDefault="00887731" w:rsidP="004551E9">
      <w:pPr>
        <w:pStyle w:val="Pie"/>
      </w:pPr>
      <w:r w:rsidRPr="00597337">
        <w:rPr>
          <w:rStyle w:val="Refdenotaalpie"/>
        </w:rPr>
        <w:footnoteRef/>
      </w:r>
      <w:r w:rsidRPr="00597337">
        <w:t xml:space="preserve"> PECES-BARBA MARTÍNEZ, G., FERNÁNDEZ GARCÍA, E., (Dir), (2003)  </w:t>
      </w:r>
      <w:r w:rsidRPr="00597337">
        <w:rPr>
          <w:i/>
        </w:rPr>
        <w:t xml:space="preserve">Historia de los Derechos Fundamentales, </w:t>
      </w:r>
      <w:r w:rsidRPr="00597337">
        <w:t>Tomo I, Dykinson, Madrid.</w:t>
      </w:r>
    </w:p>
  </w:footnote>
  <w:footnote w:id="31">
    <w:p w:rsidR="00887731" w:rsidRPr="00597337" w:rsidRDefault="00887731" w:rsidP="004551E9">
      <w:pPr>
        <w:pStyle w:val="Pie"/>
      </w:pPr>
      <w:r w:rsidRPr="00597337">
        <w:rPr>
          <w:rStyle w:val="Refdenotaalpie"/>
        </w:rPr>
        <w:footnoteRef/>
      </w:r>
      <w:r w:rsidRPr="00597337">
        <w:t xml:space="preserve"> ASÍS ROIG, R. (2001) </w:t>
      </w:r>
      <w:r w:rsidRPr="00597337">
        <w:rPr>
          <w:i/>
        </w:rPr>
        <w:t>Sobre el concepto y el  fundamento de los derechos: una aproximación dualista</w:t>
      </w:r>
      <w:r w:rsidRPr="00597337">
        <w:t>, col. Cuadernos “Bartolomé de las Casas”, núm. 17, Dykinson, Madrid, p. 28.</w:t>
      </w:r>
    </w:p>
  </w:footnote>
  <w:footnote w:id="32">
    <w:p w:rsidR="00887731" w:rsidRPr="00597337" w:rsidRDefault="00887731" w:rsidP="004551E9">
      <w:pPr>
        <w:pStyle w:val="Pie"/>
      </w:pPr>
      <w:r w:rsidRPr="00597337">
        <w:rPr>
          <w:rStyle w:val="Refdenotaalpie"/>
        </w:rPr>
        <w:footnoteRef/>
      </w:r>
      <w:r w:rsidRPr="00597337">
        <w:t xml:space="preserve"> En este sentido, como expresa Nino, la ciudadanía moral no es una cuestión de teoría biológica, sino de teoría política, o de teoría moral en un sentido amplio. NINO, C. S., (1989) </w:t>
      </w:r>
      <w:r w:rsidRPr="00597337">
        <w:rPr>
          <w:i/>
        </w:rPr>
        <w:t xml:space="preserve">Ética y derechos humanos. Un ensayo de fundamentación, </w:t>
      </w:r>
      <w:r w:rsidRPr="00597337">
        <w:t xml:space="preserve">Ariel Derecho, Barcelona, pp. 45 y ss.. </w:t>
      </w:r>
    </w:p>
  </w:footnote>
  <w:footnote w:id="33">
    <w:p w:rsidR="00887731" w:rsidRPr="00597337" w:rsidRDefault="00887731" w:rsidP="004551E9">
      <w:pPr>
        <w:pStyle w:val="Pie"/>
        <w:rPr>
          <w:lang w:val="en-US"/>
        </w:rPr>
      </w:pPr>
      <w:r w:rsidRPr="00597337">
        <w:rPr>
          <w:rStyle w:val="Refdenotaalpie"/>
        </w:rPr>
        <w:footnoteRef/>
      </w:r>
      <w:r w:rsidRPr="00597337">
        <w:t xml:space="preserve"> Como advierte en este sentido Christian </w:t>
      </w:r>
      <w:proofErr w:type="spellStart"/>
      <w:r w:rsidRPr="00597337">
        <w:t>Courtis</w:t>
      </w:r>
      <w:proofErr w:type="spellEnd"/>
      <w:r w:rsidRPr="00597337">
        <w:t xml:space="preserve">, definir a una persona sólo por lo que no puede hacer, o en función de sus limitaciones, “supondría extender el rótulo de inútil o inservible a la humanidad entera. Prácticamente todo ser humano tiene limitaciones para desarrollar algunas actividades: cantar, realizar cálculos matemáticos, orientarse en un lugar desconocido, correr, practicar deportes, bailar, retener datos, recitar poesía, cocinar, realizar manualidades. Para la mayoría de las personas, el dato de sus limitaciones relativas a la realización de ciertas actividades es irrelevante. Las personas con discapacidad, sin embargo, han sufrido históricamente una rotulación que pone énfasis en las actividades en las que tienen limitaciones, en lugar de resaltar las actividades que sí pueden desarrollar sin dificultades”. </w:t>
      </w:r>
      <w:r w:rsidRPr="00597337">
        <w:rPr>
          <w:lang w:val="en-US"/>
        </w:rPr>
        <w:t>COURTIS, C., (2004), op. cit.</w:t>
      </w:r>
      <w:r w:rsidRPr="00597337">
        <w:rPr>
          <w:iCs/>
          <w:lang w:val="en-US"/>
        </w:rPr>
        <w:t>, p. 8).</w:t>
      </w:r>
    </w:p>
  </w:footnote>
  <w:footnote w:id="34">
    <w:p w:rsidR="00887731" w:rsidRPr="00562DB8" w:rsidRDefault="00887731" w:rsidP="004551E9">
      <w:pPr>
        <w:pStyle w:val="Pie"/>
        <w:rPr>
          <w:lang w:val="en-US"/>
        </w:rPr>
      </w:pPr>
      <w:r w:rsidRPr="00597337">
        <w:rPr>
          <w:rStyle w:val="Refdenotaalpie"/>
        </w:rPr>
        <w:footnoteRef/>
      </w:r>
      <w:r w:rsidRPr="00562DB8">
        <w:rPr>
          <w:lang w:val="en-US"/>
        </w:rPr>
        <w:t xml:space="preserve"> QUINN, G. &amp; DEGENER, T., (2002b), op. cit. p. 13.</w:t>
      </w:r>
    </w:p>
  </w:footnote>
  <w:footnote w:id="35">
    <w:p w:rsidR="00887731" w:rsidRPr="00597337" w:rsidRDefault="00887731" w:rsidP="004551E9">
      <w:pPr>
        <w:pStyle w:val="Pie"/>
      </w:pPr>
      <w:r w:rsidRPr="00597337">
        <w:rPr>
          <w:rStyle w:val="Refdenotaalpie"/>
        </w:rPr>
        <w:footnoteRef/>
      </w:r>
      <w:r w:rsidRPr="00597337">
        <w:t xml:space="preserve"> AÑÓN ROIG, M. J. (1994) </w:t>
      </w:r>
      <w:r w:rsidRPr="00597337">
        <w:rPr>
          <w:i/>
        </w:rPr>
        <w:t>Necesidades y derechos. Un ensayo de fundamentación,</w:t>
      </w:r>
      <w:r w:rsidRPr="00597337">
        <w:t xml:space="preserve"> Centro de Estudios Constitucionales, Madrid, p. 267.</w:t>
      </w:r>
    </w:p>
  </w:footnote>
  <w:footnote w:id="36">
    <w:p w:rsidR="00887731" w:rsidRPr="00597337" w:rsidRDefault="00887731" w:rsidP="004551E9">
      <w:pPr>
        <w:pStyle w:val="Pie"/>
      </w:pPr>
      <w:r w:rsidRPr="00597337">
        <w:rPr>
          <w:rStyle w:val="Refdenotaalpie"/>
        </w:rPr>
        <w:footnoteRef/>
      </w:r>
      <w:r w:rsidRPr="00597337">
        <w:t xml:space="preserve"> QUINN, G. &amp; DEGENER, T., (2002b), op. cit.</w:t>
      </w:r>
    </w:p>
  </w:footnote>
  <w:footnote w:id="37">
    <w:p w:rsidR="00887731" w:rsidRPr="00597337" w:rsidRDefault="00887731" w:rsidP="004551E9">
      <w:pPr>
        <w:pStyle w:val="Pie"/>
      </w:pPr>
      <w:r w:rsidRPr="00597337">
        <w:rPr>
          <w:rStyle w:val="Refdenotaalpie"/>
        </w:rPr>
        <w:footnoteRef/>
      </w:r>
      <w:r w:rsidRPr="00597337">
        <w:t xml:space="preserve"> PALACIOS, A., (2008), op. cit..</w:t>
      </w:r>
    </w:p>
  </w:footnote>
  <w:footnote w:id="38">
    <w:p w:rsidR="00887731" w:rsidRPr="00597337" w:rsidRDefault="00887731" w:rsidP="004551E9">
      <w:pPr>
        <w:pStyle w:val="Pie"/>
        <w:rPr>
          <w:lang w:val="es-AR"/>
        </w:rPr>
      </w:pPr>
      <w:r w:rsidRPr="00597337">
        <w:rPr>
          <w:rStyle w:val="Refdenotaalpie"/>
        </w:rPr>
        <w:footnoteRef/>
      </w:r>
      <w:r w:rsidRPr="00597337">
        <w:t xml:space="preserve"> Las discusiones y decisiones que se asumen en el campo de la bioética resultan un claro ejemplo de esta afirmación. Véase: </w:t>
      </w:r>
      <w:r w:rsidRPr="00597337">
        <w:rPr>
          <w:lang w:val="es-AR"/>
        </w:rPr>
        <w:t>PALACIOS, A., &amp; ROMAÑACH, J., (2006), op. cit</w:t>
      </w:r>
      <w:r w:rsidRPr="00597337">
        <w:t>.</w:t>
      </w:r>
    </w:p>
  </w:footnote>
  <w:footnote w:id="39">
    <w:p w:rsidR="00887731" w:rsidRPr="00597337" w:rsidRDefault="00887731" w:rsidP="004551E9">
      <w:pPr>
        <w:pStyle w:val="Pie"/>
      </w:pPr>
      <w:r w:rsidRPr="00597337">
        <w:rPr>
          <w:rStyle w:val="Refdenotaalpie"/>
          <w:szCs w:val="20"/>
        </w:rPr>
        <w:footnoteRef/>
      </w:r>
      <w:r w:rsidRPr="00597337">
        <w:t xml:space="preserve"> Sobre la configuración jurídica de la accesibilidad, y sus posibles implicancias como un principio, un contenido esencial de los derechos o un derecho </w:t>
      </w:r>
      <w:r w:rsidRPr="00597337">
        <w:rPr>
          <w:i/>
        </w:rPr>
        <w:t>per se</w:t>
      </w:r>
      <w:r w:rsidRPr="00597337">
        <w:t xml:space="preserve">, Vid. </w:t>
      </w:r>
      <w:r w:rsidRPr="00597337">
        <w:rPr>
          <w:caps/>
        </w:rPr>
        <w:t>Asís ROIG, R., Aiello, A. L., Bariffi, F., Campoy, I., &amp; Palacios, A., (2007)</w:t>
      </w:r>
      <w:r w:rsidRPr="00597337">
        <w:t xml:space="preserve"> </w:t>
      </w:r>
      <w:r w:rsidRPr="00597337">
        <w:rPr>
          <w:i/>
        </w:rPr>
        <w:t>Sobre la accesibilidad universal en el Derecho</w:t>
      </w:r>
      <w:r w:rsidRPr="00597337">
        <w:t>, Dykinson, Madrid.</w:t>
      </w:r>
    </w:p>
  </w:footnote>
  <w:footnote w:id="40">
    <w:p w:rsidR="00887731" w:rsidRPr="00597337" w:rsidRDefault="00887731" w:rsidP="004551E9">
      <w:pPr>
        <w:pStyle w:val="Pie"/>
        <w:rPr>
          <w:color w:val="FF0000"/>
        </w:rPr>
      </w:pPr>
      <w:r w:rsidRPr="00597337">
        <w:rPr>
          <w:rStyle w:val="Refdenotaalpie"/>
          <w:szCs w:val="20"/>
        </w:rPr>
        <w:footnoteRef/>
      </w:r>
      <w:r w:rsidRPr="00597337">
        <w:t xml:space="preserve"> BOBBIO, N., (1991) </w:t>
      </w:r>
      <w:r w:rsidRPr="00597337">
        <w:rPr>
          <w:i/>
        </w:rPr>
        <w:t>El tiempo de los derechos</w:t>
      </w:r>
      <w:r w:rsidRPr="00597337">
        <w:t xml:space="preserve">, Trad. De R. de Asís, Sistema, Madrid. </w:t>
      </w:r>
      <w:r w:rsidRPr="00597337">
        <w:rPr>
          <w:color w:val="FF0000"/>
        </w:rPr>
        <w:t xml:space="preserve"> </w:t>
      </w:r>
    </w:p>
  </w:footnote>
  <w:footnote w:id="41">
    <w:p w:rsidR="00887731" w:rsidRPr="00597337" w:rsidRDefault="00887731" w:rsidP="004551E9">
      <w:pPr>
        <w:pStyle w:val="Pie"/>
        <w:rPr>
          <w:szCs w:val="20"/>
        </w:rPr>
      </w:pPr>
      <w:r w:rsidRPr="00597337">
        <w:rPr>
          <w:rStyle w:val="Refdenotaalpie"/>
          <w:szCs w:val="20"/>
        </w:rPr>
        <w:footnoteRef/>
      </w:r>
      <w:r w:rsidRPr="00597337">
        <w:rPr>
          <w:szCs w:val="20"/>
        </w:rPr>
        <w:t xml:space="preserve"> Véase A</w:t>
      </w:r>
      <w:r w:rsidRPr="00597337">
        <w:t xml:space="preserve">SIS ROIG, R. &amp; PALACIOS, A., (2007) </w:t>
      </w:r>
      <w:r w:rsidRPr="00597337">
        <w:rPr>
          <w:i/>
        </w:rPr>
        <w:t>Derechos Humanos y Situaciones de Dependencia,</w:t>
      </w:r>
      <w:r w:rsidRPr="00597337">
        <w:t xml:space="preserve"> Dykinson, Madrid.</w:t>
      </w:r>
    </w:p>
  </w:footnote>
  <w:footnote w:id="42">
    <w:p w:rsidR="00887731" w:rsidRPr="00597337" w:rsidRDefault="00887731" w:rsidP="004551E9">
      <w:pPr>
        <w:pStyle w:val="Pie"/>
      </w:pPr>
      <w:r w:rsidRPr="00597337">
        <w:rPr>
          <w:rStyle w:val="Refdenotaalpie"/>
        </w:rPr>
        <w:footnoteRef/>
      </w:r>
      <w:r w:rsidRPr="00597337">
        <w:t xml:space="preserve"> Artículo 1 CDPD.</w:t>
      </w:r>
    </w:p>
  </w:footnote>
  <w:footnote w:id="43">
    <w:p w:rsidR="00887731" w:rsidRPr="00597337" w:rsidRDefault="00887731" w:rsidP="004551E9">
      <w:pPr>
        <w:pStyle w:val="Pie"/>
        <w:rPr>
          <w:szCs w:val="20"/>
        </w:rPr>
      </w:pPr>
      <w:r w:rsidRPr="00597337">
        <w:rPr>
          <w:rStyle w:val="Refdenotaalpie"/>
          <w:szCs w:val="20"/>
        </w:rPr>
        <w:footnoteRef/>
      </w:r>
      <w:r w:rsidRPr="00597337">
        <w:rPr>
          <w:szCs w:val="20"/>
        </w:rPr>
        <w:t xml:space="preserve"> </w:t>
      </w:r>
      <w:r w:rsidRPr="00597337">
        <w:t>Palacios, A., &amp; Bariffi, F., (2007), op. cit</w:t>
      </w:r>
      <w:r w:rsidRPr="00597337">
        <w:rPr>
          <w:szCs w:val="20"/>
        </w:rPr>
        <w:t>.</w:t>
      </w:r>
    </w:p>
  </w:footnote>
  <w:footnote w:id="44">
    <w:p w:rsidR="00887731" w:rsidRPr="00597337" w:rsidRDefault="00887731" w:rsidP="004551E9">
      <w:pPr>
        <w:pStyle w:val="Pie"/>
        <w:rPr>
          <w:lang w:val="es-AR"/>
        </w:rPr>
      </w:pPr>
      <w:r w:rsidRPr="00597337">
        <w:rPr>
          <w:rStyle w:val="Refdenotaalpie"/>
        </w:rPr>
        <w:footnoteRef/>
      </w:r>
      <w:r w:rsidRPr="00597337">
        <w:t xml:space="preserve"> Para una revisión exhaustiva de dichos documentos véase SAULLE, M. R., (1981), </w:t>
      </w:r>
      <w:r w:rsidRPr="00597337">
        <w:rPr>
          <w:i/>
        </w:rPr>
        <w:t>The Disabled persons and the international organizations</w:t>
      </w:r>
      <w:r w:rsidRPr="00597337">
        <w:t xml:space="preserve">, International Documentation Ent. </w:t>
      </w:r>
      <w:r w:rsidRPr="00597337">
        <w:rPr>
          <w:lang w:val="es-AR"/>
        </w:rPr>
        <w:t xml:space="preserve">Roma; También véase: </w:t>
      </w:r>
      <w:r w:rsidRPr="00597337">
        <w:rPr>
          <w:i/>
          <w:lang w:val="es-AR"/>
        </w:rPr>
        <w:t>Las Naciones Unidas y las personas con discapacidad - Los primeros cincuenta años</w:t>
      </w:r>
      <w:r w:rsidRPr="00597337">
        <w:rPr>
          <w:lang w:val="es-AR"/>
        </w:rPr>
        <w:t xml:space="preserve">, accesible en: </w:t>
      </w:r>
      <w:hyperlink r:id="rId2" w:history="1">
        <w:r w:rsidRPr="00597337">
          <w:rPr>
            <w:rStyle w:val="Hipervnculo"/>
            <w:lang w:val="es-AR"/>
          </w:rPr>
          <w:t>http://www.un.org/spanish/esa/social/disabled/dis50y00.htm</w:t>
        </w:r>
      </w:hyperlink>
      <w:r w:rsidRPr="00597337">
        <w:rPr>
          <w:lang w:val="es-AR"/>
        </w:rPr>
        <w:t>. Véase también CARDONA LLORENS, J., (2007), “La Organización de las Naciones Unidas y las personas con discapacidad”, en La protección internacional de las personas con discapacidad, FERNANDEZ LIESA C. (Ed.), Universidad Carlos III de Madrid y Boletín Oficial del Estado, Madrid, pp. 47-83.</w:t>
      </w:r>
    </w:p>
  </w:footnote>
  <w:footnote w:id="45">
    <w:p w:rsidR="00887731" w:rsidRPr="00597337" w:rsidRDefault="00887731" w:rsidP="004551E9">
      <w:pPr>
        <w:pStyle w:val="Pie"/>
        <w:rPr>
          <w:lang w:val="es-AR"/>
        </w:rPr>
      </w:pPr>
      <w:r w:rsidRPr="00597337">
        <w:rPr>
          <w:rStyle w:val="Refdenotaalpie"/>
        </w:rPr>
        <w:footnoteRef/>
      </w:r>
      <w:r w:rsidRPr="00562DB8">
        <w:rPr>
          <w:lang w:val="en-US"/>
        </w:rPr>
        <w:t xml:space="preserve"> </w:t>
      </w:r>
      <w:proofErr w:type="spellStart"/>
      <w:r w:rsidRPr="00562DB8">
        <w:rPr>
          <w:lang w:val="en-US"/>
        </w:rPr>
        <w:t>Véase</w:t>
      </w:r>
      <w:proofErr w:type="spellEnd"/>
      <w:r w:rsidRPr="00562DB8">
        <w:rPr>
          <w:lang w:val="en-US"/>
        </w:rPr>
        <w:t xml:space="preserve">: </w:t>
      </w:r>
      <w:r w:rsidRPr="00562DB8">
        <w:rPr>
          <w:i/>
          <w:lang w:val="en-US"/>
        </w:rPr>
        <w:t>The UN and Persons with Disabilities</w:t>
      </w:r>
      <w:r w:rsidRPr="00562DB8">
        <w:rPr>
          <w:lang w:val="en-US"/>
        </w:rPr>
        <w:t xml:space="preserve">, United Nations Commitment to Advancement of the Status of Persons with Disabilities. </w:t>
      </w:r>
      <w:r w:rsidRPr="00597337">
        <w:rPr>
          <w:lang w:val="es-AR"/>
        </w:rPr>
        <w:t xml:space="preserve">Accesible en: </w:t>
      </w:r>
      <w:hyperlink r:id="rId3" w:history="1">
        <w:r w:rsidRPr="00597337">
          <w:rPr>
            <w:rStyle w:val="Hipervnculo"/>
            <w:lang w:val="es-AR"/>
          </w:rPr>
          <w:t>http://www.un.org/esa/socdev/enable/disun.htm</w:t>
        </w:r>
      </w:hyperlink>
      <w:r w:rsidRPr="00597337">
        <w:t xml:space="preserve">. Véase también FERNÁNDEZ LIESA, C., (2007), “Codificación internacional y desarrollo progresivo de los derechos humanos de las personas con discapacidad”, en </w:t>
      </w:r>
      <w:r w:rsidRPr="00597337">
        <w:rPr>
          <w:lang w:val="es-AR"/>
        </w:rPr>
        <w:t>FERNANDEZ LIESA C. (Ed.), op. cit., pp. 85-114.</w:t>
      </w:r>
    </w:p>
  </w:footnote>
  <w:footnote w:id="46">
    <w:p w:rsidR="00887731" w:rsidRPr="00597337" w:rsidRDefault="00887731" w:rsidP="004551E9">
      <w:pPr>
        <w:pStyle w:val="Pie"/>
      </w:pPr>
      <w:r w:rsidRPr="00597337">
        <w:rPr>
          <w:rStyle w:val="Refdenotaalpie"/>
        </w:rPr>
        <w:footnoteRef/>
      </w:r>
      <w:r w:rsidRPr="00597337">
        <w:t xml:space="preserve"> Véase QUINN, G. &amp; DEGENER, T., (2002a), Derechos Humanos y Discapacidad. Uso actual y posibilidades futuras de los instrumentos de derechos humanos de las Naciones Unidas en el contexto de la discapacidad, OACDH HR/PUB/02/1, Naciones Unidas, p. 23. </w:t>
      </w:r>
    </w:p>
  </w:footnote>
  <w:footnote w:id="47">
    <w:p w:rsidR="00887731" w:rsidRPr="00597337" w:rsidRDefault="00887731" w:rsidP="004551E9">
      <w:pPr>
        <w:pStyle w:val="Pie"/>
      </w:pPr>
      <w:r w:rsidRPr="00597337">
        <w:rPr>
          <w:rStyle w:val="Refdenotaalpie"/>
        </w:rPr>
        <w:footnoteRef/>
      </w:r>
      <w:r w:rsidRPr="00597337">
        <w:t xml:space="preserve"> Proclamada por la Asamblea General en su resolución 2856 (XXVI), de 20 de diciembre de 1971.</w:t>
      </w:r>
    </w:p>
  </w:footnote>
  <w:footnote w:id="48">
    <w:p w:rsidR="00887731" w:rsidRPr="00597337" w:rsidRDefault="00887731" w:rsidP="004551E9">
      <w:pPr>
        <w:pStyle w:val="Pie"/>
      </w:pPr>
      <w:r w:rsidRPr="00597337">
        <w:rPr>
          <w:rStyle w:val="Refdenotaalpie"/>
        </w:rPr>
        <w:footnoteRef/>
      </w:r>
      <w:r w:rsidRPr="00597337">
        <w:t xml:space="preserve"> Proclamada por la Asamblea General en su resolución 3447 (XXX), de 9 de diciembre de 1975</w:t>
      </w:r>
    </w:p>
  </w:footnote>
  <w:footnote w:id="49">
    <w:p w:rsidR="00887731" w:rsidRPr="00597337" w:rsidRDefault="00887731" w:rsidP="004551E9">
      <w:pPr>
        <w:pStyle w:val="Pie"/>
      </w:pPr>
      <w:r w:rsidRPr="00597337">
        <w:rPr>
          <w:rStyle w:val="Refdenotaalpie"/>
        </w:rPr>
        <w:footnoteRef/>
      </w:r>
      <w:r w:rsidRPr="00597337">
        <w:t xml:space="preserve"> Véase “Las Naciones Unidas y las personas con discapacidad - Los primeros cincuenta años”, en </w:t>
      </w:r>
      <w:r w:rsidRPr="00597337">
        <w:rPr>
          <w:i/>
        </w:rPr>
        <w:t>Historia de la discapacidad y las Naciones Unidas</w:t>
      </w:r>
      <w:r w:rsidRPr="00597337">
        <w:t xml:space="preserve">, disponible en: </w:t>
      </w:r>
      <w:hyperlink r:id="rId4" w:history="1">
        <w:r w:rsidRPr="00597337">
          <w:rPr>
            <w:rStyle w:val="Hipervnculo"/>
          </w:rPr>
          <w:t>http://www.un.org/spanish/esa/social/disabled/dis50y00.htm</w:t>
        </w:r>
      </w:hyperlink>
      <w:r w:rsidRPr="00597337">
        <w:t xml:space="preserve"> </w:t>
      </w:r>
    </w:p>
  </w:footnote>
  <w:footnote w:id="50">
    <w:p w:rsidR="00887731" w:rsidRPr="00597337" w:rsidRDefault="00887731" w:rsidP="004551E9">
      <w:pPr>
        <w:pStyle w:val="Pie"/>
      </w:pPr>
      <w:r w:rsidRPr="00597337">
        <w:rPr>
          <w:rStyle w:val="Refdenotaalpie"/>
        </w:rPr>
        <w:footnoteRef/>
      </w:r>
      <w:r w:rsidRPr="00597337">
        <w:t xml:space="preserve"> QUINN, G. &amp; DEGENER, T., (2002b), op. cit.</w:t>
      </w:r>
    </w:p>
  </w:footnote>
  <w:footnote w:id="51">
    <w:p w:rsidR="00887731" w:rsidRPr="00597337" w:rsidRDefault="00887731" w:rsidP="004551E9">
      <w:pPr>
        <w:pStyle w:val="Pie"/>
      </w:pPr>
      <w:r w:rsidRPr="00597337">
        <w:rPr>
          <w:rStyle w:val="Refdenotaalpie"/>
        </w:rPr>
        <w:footnoteRef/>
      </w:r>
      <w:r w:rsidRPr="00597337">
        <w:t xml:space="preserve"> Resolución de la Asamblea General 31/123 del 16 de diciembre de 1976. </w:t>
      </w:r>
    </w:p>
  </w:footnote>
  <w:footnote w:id="52">
    <w:p w:rsidR="00887731" w:rsidRPr="00597337" w:rsidRDefault="00887731" w:rsidP="004551E9">
      <w:pPr>
        <w:pStyle w:val="Pie"/>
      </w:pPr>
      <w:r w:rsidRPr="00597337">
        <w:rPr>
          <w:rStyle w:val="Refdenotaalpie"/>
        </w:rPr>
        <w:footnoteRef/>
      </w:r>
      <w:r w:rsidRPr="00597337">
        <w:t xml:space="preserve"> […a. ayudar a los impedidos a su adaptación física y psicológica a la sociedad; b. Promover todos los esfuerzos nacionales e internacionales tendientes a prestar a los impedidos asistencia, atención, capacitación y orientación apropiadas, así como a poner a su disposición oportunidades de trabajo adecuado y asegurar su integración plena en la sociedad; c. Estimular los proyectos de estudio e investigación destinadas a facilitar la participación practica de los impedidos en la vida cotidiana, por ejemplo mejorando su acceso a los edificios públicos y a los sistemas de transporte; d. Educar e informar al público sobre el derecho de los impedidos a participar en los diversos aspectos de la vida económica, social y política, y aportar en su contribución; e. Promover medidas efectivas para la prevención de la incapacidad y para la rehabilitación de los impedidos…]</w:t>
      </w:r>
    </w:p>
  </w:footnote>
  <w:footnote w:id="53">
    <w:p w:rsidR="00887731" w:rsidRPr="00597337" w:rsidRDefault="00887731" w:rsidP="004551E9">
      <w:pPr>
        <w:pStyle w:val="Pie"/>
      </w:pPr>
      <w:r w:rsidRPr="00597337">
        <w:rPr>
          <w:rStyle w:val="Refdenotaalpie"/>
        </w:rPr>
        <w:footnoteRef/>
      </w:r>
      <w:r w:rsidRPr="00597337">
        <w:t xml:space="preserve"> A/RES/32/133, 16 de diciembre de 1977, Año Internacional de los Impedidos; A/RES/33/170, 20 de diciembre de 1978, Año Internacional de los Impedidos; A/RES/34/154, 17 de diciembre de 1979, Año Internacional de los Impedidos; A/RES/35/133, 11 de diciembre de 1980, Año Internacional de los Impedidos; A/RES/36/77, 8 de diciembre de 1981, Año Internacional de los Impedidos. </w:t>
      </w:r>
    </w:p>
  </w:footnote>
  <w:footnote w:id="54">
    <w:p w:rsidR="00887731" w:rsidRPr="00597337" w:rsidRDefault="00887731" w:rsidP="004551E9">
      <w:pPr>
        <w:pStyle w:val="Pie"/>
      </w:pPr>
      <w:r w:rsidRPr="00597337">
        <w:rPr>
          <w:rStyle w:val="Refdenotaalpie"/>
        </w:rPr>
        <w:footnoteRef/>
      </w:r>
      <w:r w:rsidRPr="00597337">
        <w:t xml:space="preserve"> A/RES/37/52, 3 de diciembre, de 1982 Programa de Acción Mundial para los Impedidos.</w:t>
      </w:r>
    </w:p>
  </w:footnote>
  <w:footnote w:id="55">
    <w:p w:rsidR="00887731" w:rsidRPr="00597337" w:rsidRDefault="00887731" w:rsidP="004551E9">
      <w:pPr>
        <w:pStyle w:val="Pie"/>
      </w:pPr>
      <w:r w:rsidRPr="00597337">
        <w:rPr>
          <w:rStyle w:val="Refdenotaalpie"/>
        </w:rPr>
        <w:footnoteRef/>
      </w:r>
      <w:r w:rsidRPr="00597337">
        <w:t xml:space="preserve"> El Programa define la igualdad de oportunidades como: [….el proceso mediante el cual el sistema general de la sociedad -tal como el medio físico y cultural, la vivienda y el transporte, los servicios sociales y sanitarios, las oportunidades de educación y trabajo, la vida cultural y social, incluidas las instalaciones deportivas y de recreo- se hace accesible para todos…] cfr. Parra. 12.</w:t>
      </w:r>
    </w:p>
  </w:footnote>
  <w:footnote w:id="56">
    <w:p w:rsidR="00887731" w:rsidRPr="00597337" w:rsidRDefault="00887731" w:rsidP="004551E9">
      <w:pPr>
        <w:pStyle w:val="Pie"/>
      </w:pPr>
      <w:r w:rsidRPr="00597337">
        <w:rPr>
          <w:rStyle w:val="Refdenotaalpie"/>
        </w:rPr>
        <w:footnoteRef/>
      </w:r>
      <w:r w:rsidRPr="00597337">
        <w:t xml:space="preserve"> Esta cuestión será analizada en el punto siguiente. </w:t>
      </w:r>
    </w:p>
  </w:footnote>
  <w:footnote w:id="57">
    <w:p w:rsidR="00887731" w:rsidRPr="00597337" w:rsidRDefault="00887731" w:rsidP="004551E9">
      <w:pPr>
        <w:pStyle w:val="Pie"/>
      </w:pPr>
      <w:r w:rsidRPr="00597337">
        <w:rPr>
          <w:rStyle w:val="Refdenotaalpie"/>
        </w:rPr>
        <w:footnoteRef/>
      </w:r>
      <w:r w:rsidRPr="00597337">
        <w:t xml:space="preserve"> Al respecto el Programa establece que: […Para lograr los objetivos de igualdad y plena participación no bastan las medidas de rehabilitación orientadas hacia el individuo con deficiencias. La experiencia ha demostrado que es, en gran parte, el medio el que determina el efecto de una deficiencia o discapacidad sobre la vida diaria de la persona. Una persona se ve abocada a la minusvalía cuando se le niegan las oportunidades de que dispone en general la comunidad y que son necesarias para los aspectos fundamentales de la vida, incluida la vida familiar, la educación, el empleo, la vivienda, la seguridad económica y personal, la participación en grupos sociales y políticos, las actividades religiosas, las relaciones afectivas y sexuales, el acceso a instalaciones públicas, la libertad de movimientos y el estilo general de la vida diaria…] cfr. Parra 21. </w:t>
      </w:r>
    </w:p>
  </w:footnote>
  <w:footnote w:id="58">
    <w:p w:rsidR="00887731" w:rsidRPr="00597337" w:rsidRDefault="00887731" w:rsidP="004551E9">
      <w:pPr>
        <w:pStyle w:val="Pie"/>
      </w:pPr>
      <w:r w:rsidRPr="00597337">
        <w:rPr>
          <w:rStyle w:val="Refdenotaalpie"/>
        </w:rPr>
        <w:footnoteRef/>
      </w:r>
      <w:r w:rsidRPr="00597337">
        <w:t xml:space="preserve"> A/RES/37/53, 3 de diciembre de 1982, Ejecución del Programa de Acción Mundial para los Impedidos; A/RES/38/28, 22 de noviembre de 1983, Ejecución del Programa de Acción Mundial para los Impedidos; A/RES/39/26, 23 de noviembre de 1984, Decenio de las Naciones Unidas para los Impedidos; A/RES/40/31, 29 de noviembre de 1985, Ejecución del Programa de Acción Mundial para los Impedidos y Decenio de las Naciones Unidas para los Impedidos; A/RES/41/106, 4 de diciembre de 1986, Ejecución del Programa de Acción Mundial para los Impedidos y Decenio de las Naciones Unidas para los Impedidos; A/RES/42/58, 30 de noviembre de 1987, Ejecución del Programa de Acción Mundial para los Impedidos y Decenio de las Naciones Unidas para los Impedidos; A/RES/43/98, 8 de diciembre de 1988, Ejecución del Programa de Acción Mundial para los Impedidos y Decenio de las Naciones Unidas para los Impedidos; A/RES/44/70, 8 de diciembre de 1989, Ejecución del Programa de Acción Mundial para los Impedidos y Decenio de las Naciones Unidas para los Impedidos; A/RES/45/91, 20 de diciembre de 1990, Ejecución del Programa de Acción Mundial para los Impedidos y Decenio de las Naciones Unidas para los Impedidos; A/RES/46/96, 16 de diciembre de 1991, Ejecución del Programa de Acción Mundial para los Impedidos y Decenio de las Naciones Unidas para los Impedidos; A/RES/47/3, 14 de octubre de 1992, Día Internacional de los Impedidos; A/RES/52/82, 12 de diciembre de 1997, Aplicación del Programa de Acción Mundial para los Impedidos: hacia una sociedad para todos en el siglo XXI; A/RES/54/121, 17 de diciembre de 1999, Aplicación del Programa de Acción Mundial para los Impedidos: hacia una sociedad para todos en el siglo XXI; A/RES/56/115, 19 de diciembre de 2001, Aplicación del Programa de Acción Mundial para los Impedidos: hacia una sociedad para todos en el siglo XXI; A/RES/58/132, 22 de diciembre de 2003, Aplicación del Programa de Acción Mundial para los Impedidos: hacia una sociedad para todos en el siglo XXI; A/RES/60/131, 26 de enero de 2006, Aplicación del Programa de Acción Mundial para los Impedidos: realización de los objetivos de desarrollo del Milenio para las personas con discapacidad; A/RES/62/127, 24 de enero de 2008, Aplicación del Programa de Acción Mundial para las Personas con Discapacidad: realización de los objetivos de desarrollo del Milenio para las personas con discapacidad.</w:t>
      </w:r>
    </w:p>
  </w:footnote>
  <w:footnote w:id="59">
    <w:p w:rsidR="00887731" w:rsidRPr="00597337" w:rsidRDefault="00887731" w:rsidP="004551E9">
      <w:pPr>
        <w:pStyle w:val="Pie"/>
      </w:pPr>
      <w:r w:rsidRPr="00597337">
        <w:rPr>
          <w:rStyle w:val="Refdenotaalpie"/>
        </w:rPr>
        <w:footnoteRef/>
      </w:r>
      <w:r w:rsidRPr="00597337">
        <w:t xml:space="preserve"> </w:t>
      </w:r>
      <w:r w:rsidRPr="00597337">
        <w:rPr>
          <w:i/>
        </w:rPr>
        <w:t>Informes del Secretario General sobre la aplicación del Programa de Acción Mundial para las Personas con Discapacidad</w:t>
      </w:r>
      <w:r w:rsidRPr="00597337">
        <w:t>: 1994, Aplicación del Programa de Acción Mundial para los Impedidos, A/RES/49/435; 1997, Examen y evaluación del Programa de Acción Mundial para los Impedidos, A/RES/52/351; 1999, Aplicación del Programa de Acción Mundial para los Impedidos, A/RES/54/388 y add.1; Aplicación del Programa de Acción Mundial para los Impedidos: Informe provisional del Secretario General, E/CN.5/1999/5; 2001, Aplicación del Programa de Acción Mundial para los Impedidos, A/RES/56/169 y Corr. 1; Aplicación del Programa de Acción Mundial para los Impedidos, E/CN.5/2001/7; 2003, Examen y evaluación del Programa de Acción Mundial para los Impedidos, A/RES/58/61 y E/2003/5; 2005, Informe del Secretario General sobre la Aplicación del Programa de Acción Mundial para los Impedidos: hacia una sociedad para todos en el siglo XXI, A/RES/60/290; 2007, Informe del Secretario General sobre la Aplicación del Programa de Acción Mundial para las Personas con Discapacidad: objetivos de desarrollo del Milenio y sinergias con otros instrumentos de las Naciones Unidas relacionados con la discapacidad, A/RES/62/157; 2008, Quinto examen y evaluación quinquenal del Programa de Acción Mundial para las Personas con Discapacidad, A/RES/63/183.</w:t>
      </w:r>
    </w:p>
  </w:footnote>
  <w:footnote w:id="60">
    <w:p w:rsidR="00887731" w:rsidRPr="00597337" w:rsidRDefault="00887731" w:rsidP="004551E9">
      <w:pPr>
        <w:pStyle w:val="Pie"/>
      </w:pPr>
      <w:r w:rsidRPr="00597337">
        <w:rPr>
          <w:rStyle w:val="Refdenotaalpie"/>
        </w:rPr>
        <w:footnoteRef/>
      </w:r>
      <w:r w:rsidRPr="00597337">
        <w:t xml:space="preserve"> Los Órganos especializados (actualmente son 15) son entidades que se encuentran vinculadas a las Naciones Unidas por acuerdos especiales y que presentan informes al Consejo Económico y Social y a la Asamblea. No obstante son autónomos al sistema orgánico establecido por la Carta de la ONU. </w:t>
      </w:r>
    </w:p>
  </w:footnote>
  <w:footnote w:id="61">
    <w:p w:rsidR="00887731" w:rsidRPr="00597337" w:rsidRDefault="00887731" w:rsidP="004551E9">
      <w:pPr>
        <w:pStyle w:val="Pie"/>
        <w:rPr>
          <w:lang w:val="en-US"/>
        </w:rPr>
      </w:pPr>
      <w:r w:rsidRPr="00597337">
        <w:rPr>
          <w:rStyle w:val="Refdenotaalpie"/>
        </w:rPr>
        <w:footnoteRef/>
      </w:r>
      <w:r w:rsidRPr="00597337">
        <w:t xml:space="preserve"> </w:t>
      </w:r>
      <w:r w:rsidRPr="00597337">
        <w:rPr>
          <w:noProof/>
        </w:rPr>
        <w:t>Propuesta con carácter experimental por la Organización Mundial de la Salud en Ginebra, 1980.</w:t>
      </w:r>
      <w:r w:rsidRPr="00597337">
        <w:rPr>
          <w:i/>
          <w:noProof/>
        </w:rPr>
        <w:t xml:space="preserve"> </w:t>
      </w:r>
      <w:r w:rsidRPr="00562DB8">
        <w:rPr>
          <w:i/>
          <w:noProof/>
          <w:lang w:val="en-US"/>
        </w:rPr>
        <w:t>International Classification of Impairments, Disabilities, and Handicaps</w:t>
      </w:r>
      <w:r w:rsidRPr="00562DB8">
        <w:rPr>
          <w:b/>
          <w:i/>
          <w:noProof/>
          <w:lang w:val="en-US"/>
        </w:rPr>
        <w:t xml:space="preserve"> </w:t>
      </w:r>
      <w:r w:rsidRPr="00562DB8">
        <w:rPr>
          <w:noProof/>
          <w:lang w:val="en-US"/>
        </w:rPr>
        <w:t>(Geneva: World Health Organization, 1980).</w:t>
      </w:r>
    </w:p>
  </w:footnote>
  <w:footnote w:id="62">
    <w:p w:rsidR="00887731" w:rsidRPr="00597337" w:rsidRDefault="00887731" w:rsidP="004551E9">
      <w:pPr>
        <w:pStyle w:val="Pie"/>
      </w:pPr>
      <w:r w:rsidRPr="00597337">
        <w:rPr>
          <w:rStyle w:val="Refdenotaalpie"/>
        </w:rPr>
        <w:footnoteRef/>
      </w:r>
      <w:r w:rsidRPr="00597337">
        <w:t xml:space="preserve"> […La CIE responde a un modelo lineal, en cuya secuencia sus componentes se especifican por separado y de distintas maneras dentro de la clasificación. De forma gráfica esta secuencia sería: etiología→ patología→ manifestación. Para reflejar las dimensiones de las consecuencias de la enfermedad, la CIDDM adoptó un modelo secuencial derivado del anterior pero que recogía los tres niveles propuestos en la misma. Así de forma gráfica, el esquema quedaría como sigue: enfermedad→ deficiencia→ discapacidad→ minusvalía…] </w:t>
      </w:r>
      <w:r w:rsidRPr="00597337">
        <w:rPr>
          <w:caps/>
        </w:rPr>
        <w:t>Egea García, C. &amp; Sarabia Sánchez, A</w:t>
      </w:r>
      <w:r w:rsidRPr="00597337">
        <w:t xml:space="preserve">., (2001) </w:t>
      </w:r>
      <w:r w:rsidRPr="00597337">
        <w:rPr>
          <w:i/>
        </w:rPr>
        <w:t>Experiencias de aplicación en España de la Clasificación Internacional de Deficiencias, Discapacidades y Minusvalías</w:t>
      </w:r>
      <w:r w:rsidRPr="00597337">
        <w:t>, Real Patronato de Discapacidad, Documentos 58/2001, Madrid, p, 18.</w:t>
      </w:r>
    </w:p>
  </w:footnote>
  <w:footnote w:id="63">
    <w:p w:rsidR="00887731" w:rsidRPr="00597337" w:rsidRDefault="00887731" w:rsidP="004551E9">
      <w:pPr>
        <w:pStyle w:val="Pie"/>
      </w:pPr>
      <w:r w:rsidRPr="00597337">
        <w:rPr>
          <w:rStyle w:val="Refdenotaalpie"/>
        </w:rPr>
        <w:footnoteRef/>
      </w:r>
      <w:r w:rsidRPr="00597337">
        <w:t xml:space="preserve"> Véase </w:t>
      </w:r>
      <w:r w:rsidRPr="00597337">
        <w:rPr>
          <w:caps/>
        </w:rPr>
        <w:t>Cabra de Luna, M. A.,</w:t>
      </w:r>
      <w:r w:rsidRPr="00597337">
        <w:t xml:space="preserve"> (2006), “La protección jurídica de las personas con discapacidad en la normativa comunitaria y en los instrumentos internacionales”, en </w:t>
      </w:r>
      <w:r w:rsidRPr="00597337">
        <w:rPr>
          <w:i/>
        </w:rPr>
        <w:t>Régimen jurídico de las personas con discapacidad en España y en la Unión Europea</w:t>
      </w:r>
      <w:r w:rsidRPr="00597337">
        <w:t xml:space="preserve">, </w:t>
      </w:r>
      <w:r w:rsidRPr="00597337">
        <w:rPr>
          <w:caps/>
        </w:rPr>
        <w:t xml:space="preserve">Alcarín Martínez, González-Badía Fraga, Molina </w:t>
      </w:r>
      <w:proofErr w:type="gramStart"/>
      <w:r w:rsidRPr="00597337">
        <w:rPr>
          <w:caps/>
        </w:rPr>
        <w:t>Fernández</w:t>
      </w:r>
      <w:r w:rsidRPr="00597337">
        <w:t xml:space="preserve"> ,</w:t>
      </w:r>
      <w:proofErr w:type="gramEnd"/>
      <w:r w:rsidRPr="00597337">
        <w:t xml:space="preserve"> (Coords), Comareas, Granada, p.85; también PALACIOS, A., (2008), op. cit. pp. 228 y ss.</w:t>
      </w:r>
    </w:p>
  </w:footnote>
  <w:footnote w:id="64">
    <w:p w:rsidR="00887731" w:rsidRPr="00597337" w:rsidRDefault="00887731" w:rsidP="004551E9">
      <w:pPr>
        <w:pStyle w:val="Pie"/>
      </w:pPr>
      <w:r w:rsidRPr="00597337">
        <w:rPr>
          <w:rStyle w:val="Refdenotaalpie"/>
        </w:rPr>
        <w:footnoteRef/>
      </w:r>
      <w:r w:rsidRPr="00597337">
        <w:t xml:space="preserve"> Ejecución del Programa de Acción Mundial para los Impedidos y Decenio de las Naciones Unidas para los Impedidos - A/RES/44/70 - 8 diciembre 1989. - El Anexo incluye las "Directrices de Tallin para el desarrollo de los recursos humanos en la esfera de los impedidos".</w:t>
      </w:r>
    </w:p>
  </w:footnote>
  <w:footnote w:id="65">
    <w:p w:rsidR="00887731" w:rsidRPr="00597337" w:rsidRDefault="00887731" w:rsidP="004551E9">
      <w:pPr>
        <w:pStyle w:val="Pie"/>
      </w:pPr>
      <w:r w:rsidRPr="00597337">
        <w:rPr>
          <w:rStyle w:val="Refdenotaalpie"/>
        </w:rPr>
        <w:footnoteRef/>
      </w:r>
      <w:r w:rsidRPr="00597337">
        <w:t xml:space="preserve"> Resolución de la Asamblea General 46/119, de 17 de diciembre de 1991.</w:t>
      </w:r>
    </w:p>
  </w:footnote>
  <w:footnote w:id="66">
    <w:p w:rsidR="00887731" w:rsidRPr="00597337" w:rsidRDefault="00887731" w:rsidP="004551E9">
      <w:pPr>
        <w:pStyle w:val="Pie"/>
      </w:pPr>
      <w:r w:rsidRPr="00597337">
        <w:rPr>
          <w:rStyle w:val="Refdenotaalpie"/>
        </w:rPr>
        <w:footnoteRef/>
      </w:r>
      <w:r w:rsidRPr="00597337">
        <w:t xml:space="preserve"> A/RES/48/96, 20 de diciembre de 1993, Normas Uniformes sobre la igualdad de oportunidades para las personas con discapacidad.</w:t>
      </w:r>
    </w:p>
  </w:footnote>
  <w:footnote w:id="67">
    <w:p w:rsidR="00887731" w:rsidRPr="00562DB8" w:rsidRDefault="00887731" w:rsidP="004551E9">
      <w:pPr>
        <w:pStyle w:val="Pie"/>
        <w:rPr>
          <w:lang w:val="en-US"/>
        </w:rPr>
      </w:pPr>
      <w:r w:rsidRPr="00597337">
        <w:rPr>
          <w:rStyle w:val="Refdenotaalpie"/>
        </w:rPr>
        <w:footnoteRef/>
      </w:r>
      <w:r w:rsidRPr="00562DB8">
        <w:rPr>
          <w:lang w:val="en-US"/>
        </w:rPr>
        <w:t xml:space="preserve"> </w:t>
      </w:r>
      <w:proofErr w:type="spellStart"/>
      <w:r w:rsidRPr="00562DB8">
        <w:rPr>
          <w:lang w:val="en-US"/>
        </w:rPr>
        <w:t>Véase</w:t>
      </w:r>
      <w:proofErr w:type="spellEnd"/>
      <w:r w:rsidRPr="00562DB8">
        <w:rPr>
          <w:lang w:val="en-US"/>
        </w:rPr>
        <w:t xml:space="preserve"> </w:t>
      </w:r>
      <w:r w:rsidRPr="00562DB8">
        <w:rPr>
          <w:caps/>
          <w:lang w:val="en-US"/>
        </w:rPr>
        <w:t>Lindqvist, B.,</w:t>
      </w:r>
      <w:r w:rsidRPr="00562DB8">
        <w:rPr>
          <w:lang w:val="en-US"/>
        </w:rPr>
        <w:t xml:space="preserve"> (1995), “Standard rules in the disability field–A United Nations instrument”, en </w:t>
      </w:r>
      <w:r w:rsidRPr="00562DB8">
        <w:rPr>
          <w:i/>
          <w:lang w:val="en-US"/>
        </w:rPr>
        <w:t>Human Rights and Disabled Persons</w:t>
      </w:r>
      <w:r w:rsidRPr="00562DB8">
        <w:rPr>
          <w:lang w:val="en-US"/>
        </w:rPr>
        <w:t xml:space="preserve">, </w:t>
      </w:r>
      <w:r w:rsidRPr="00562DB8">
        <w:rPr>
          <w:caps/>
          <w:lang w:val="en-US"/>
        </w:rPr>
        <w:t>Degener &amp; Koster-Dreese</w:t>
      </w:r>
      <w:r w:rsidRPr="00562DB8">
        <w:rPr>
          <w:lang w:val="en-US"/>
        </w:rPr>
        <w:t xml:space="preserve">, eds., Dordrecht </w:t>
      </w:r>
      <w:proofErr w:type="spellStart"/>
      <w:r w:rsidRPr="00562DB8">
        <w:rPr>
          <w:lang w:val="en-US"/>
        </w:rPr>
        <w:t>Kluwer</w:t>
      </w:r>
      <w:proofErr w:type="spellEnd"/>
      <w:r w:rsidRPr="00562DB8">
        <w:rPr>
          <w:lang w:val="en-US"/>
        </w:rPr>
        <w:t xml:space="preserve"> Academic Publishers Group, pp. 63-68.  </w:t>
      </w:r>
    </w:p>
  </w:footnote>
  <w:footnote w:id="68">
    <w:p w:rsidR="00887731" w:rsidRPr="004551E9" w:rsidRDefault="00887731" w:rsidP="004551E9">
      <w:pPr>
        <w:pStyle w:val="Pie"/>
        <w:rPr>
          <w:lang w:val="en-US"/>
        </w:rPr>
      </w:pPr>
      <w:r w:rsidRPr="00597337">
        <w:rPr>
          <w:rStyle w:val="Refdenotaalpie"/>
        </w:rPr>
        <w:footnoteRef/>
      </w:r>
      <w:r w:rsidRPr="004551E9">
        <w:rPr>
          <w:lang w:val="en-US"/>
        </w:rPr>
        <w:t xml:space="preserve"> </w:t>
      </w:r>
      <w:proofErr w:type="spellStart"/>
      <w:r w:rsidRPr="004551E9">
        <w:rPr>
          <w:lang w:val="en-US"/>
        </w:rPr>
        <w:t>Véase</w:t>
      </w:r>
      <w:proofErr w:type="spellEnd"/>
      <w:r w:rsidRPr="004551E9">
        <w:rPr>
          <w:lang w:val="en-US"/>
        </w:rPr>
        <w:t xml:space="preserve"> Agenda 22, </w:t>
      </w:r>
      <w:r w:rsidRPr="004551E9">
        <w:rPr>
          <w:i/>
          <w:lang w:val="en-US"/>
        </w:rPr>
        <w:t>Disability policy planning instructions for local authorities</w:t>
      </w:r>
      <w:r w:rsidRPr="004551E9">
        <w:rPr>
          <w:lang w:val="en-US"/>
        </w:rPr>
        <w:t>, Swedish Disability Federation, (www.hso.se)</w:t>
      </w:r>
    </w:p>
  </w:footnote>
  <w:footnote w:id="69">
    <w:p w:rsidR="00887731" w:rsidRPr="004551E9" w:rsidRDefault="00887731" w:rsidP="004551E9">
      <w:pPr>
        <w:pStyle w:val="Pie"/>
        <w:rPr>
          <w:lang w:val="en-US"/>
        </w:rPr>
      </w:pPr>
      <w:r w:rsidRPr="00597337">
        <w:rPr>
          <w:rStyle w:val="Refdenotaalpie"/>
        </w:rPr>
        <w:footnoteRef/>
      </w:r>
      <w:r w:rsidRPr="004551E9">
        <w:rPr>
          <w:lang w:val="en-US"/>
        </w:rPr>
        <w:t xml:space="preserve"> </w:t>
      </w:r>
      <w:proofErr w:type="spellStart"/>
      <w:r w:rsidRPr="004551E9">
        <w:rPr>
          <w:lang w:val="en-US"/>
        </w:rPr>
        <w:t>Véase</w:t>
      </w:r>
      <w:proofErr w:type="spellEnd"/>
      <w:r w:rsidRPr="004551E9">
        <w:rPr>
          <w:lang w:val="en-US"/>
        </w:rPr>
        <w:t xml:space="preserve"> </w:t>
      </w:r>
      <w:r w:rsidRPr="004551E9">
        <w:rPr>
          <w:caps/>
          <w:lang w:val="en-US"/>
        </w:rPr>
        <w:t>Lindqvist, B.,</w:t>
      </w:r>
      <w:r w:rsidRPr="004551E9">
        <w:rPr>
          <w:lang w:val="en-US"/>
        </w:rPr>
        <w:t xml:space="preserve"> (1995), op. cit. p. 65-67; </w:t>
      </w:r>
      <w:proofErr w:type="spellStart"/>
      <w:r w:rsidRPr="004551E9">
        <w:rPr>
          <w:lang w:val="en-US"/>
        </w:rPr>
        <w:t>también</w:t>
      </w:r>
      <w:proofErr w:type="spellEnd"/>
      <w:r w:rsidRPr="004551E9">
        <w:rPr>
          <w:lang w:val="en-US"/>
        </w:rPr>
        <w:t xml:space="preserve">: MICHAILAKIS, D., (1999), “The Standard Rules: a Weak Instrument a Strong Commitment”, en </w:t>
      </w:r>
      <w:r w:rsidRPr="004551E9">
        <w:rPr>
          <w:i/>
          <w:lang w:val="en-US"/>
        </w:rPr>
        <w:t>Disability, divers-ability, and legal change</w:t>
      </w:r>
      <w:r w:rsidRPr="004551E9">
        <w:rPr>
          <w:lang w:val="en-US"/>
        </w:rPr>
        <w:t xml:space="preserve">, </w:t>
      </w:r>
      <w:r w:rsidRPr="004551E9">
        <w:rPr>
          <w:caps/>
          <w:lang w:val="en-US"/>
        </w:rPr>
        <w:t>Jones &amp; Basser Marks</w:t>
      </w:r>
      <w:r w:rsidRPr="004551E9">
        <w:rPr>
          <w:lang w:val="en-US"/>
        </w:rPr>
        <w:t xml:space="preserve"> (editors), </w:t>
      </w:r>
      <w:proofErr w:type="spellStart"/>
      <w:r w:rsidRPr="004551E9">
        <w:rPr>
          <w:lang w:val="en-US"/>
        </w:rPr>
        <w:t>Kluwer</w:t>
      </w:r>
      <w:proofErr w:type="spellEnd"/>
      <w:r w:rsidRPr="004551E9">
        <w:rPr>
          <w:lang w:val="en-US"/>
        </w:rPr>
        <w:t xml:space="preserve"> Law International, pp. 117-130.</w:t>
      </w:r>
    </w:p>
  </w:footnote>
  <w:footnote w:id="70">
    <w:p w:rsidR="00887731" w:rsidRPr="00597337" w:rsidRDefault="00887731" w:rsidP="004551E9">
      <w:pPr>
        <w:pStyle w:val="Pie"/>
      </w:pPr>
      <w:r w:rsidRPr="00597337">
        <w:rPr>
          <w:rStyle w:val="Refdenotaalpie"/>
        </w:rPr>
        <w:footnoteRef/>
      </w:r>
      <w:r w:rsidRPr="00597337">
        <w:t xml:space="preserve"> Desde su establecimiento y hasta la actualidad las Normas Uniformes han contado con tres Relatores, a saber: Relator Especial 1994-2002: </w:t>
      </w:r>
      <w:proofErr w:type="spellStart"/>
      <w:r w:rsidRPr="00597337">
        <w:t>Bengt</w:t>
      </w:r>
      <w:proofErr w:type="spellEnd"/>
      <w:r w:rsidRPr="00597337">
        <w:t xml:space="preserve"> </w:t>
      </w:r>
      <w:proofErr w:type="spellStart"/>
      <w:r w:rsidRPr="00597337">
        <w:t>Lindqvist</w:t>
      </w:r>
      <w:proofErr w:type="spellEnd"/>
      <w:r w:rsidRPr="00597337">
        <w:t xml:space="preserve">; Relator Especial 2003 a 30 de junio de 2009: </w:t>
      </w:r>
      <w:proofErr w:type="spellStart"/>
      <w:r w:rsidRPr="00597337">
        <w:t>Sheikha</w:t>
      </w:r>
      <w:proofErr w:type="spellEnd"/>
      <w:r w:rsidRPr="00597337">
        <w:t xml:space="preserve"> </w:t>
      </w:r>
      <w:proofErr w:type="spellStart"/>
      <w:r w:rsidRPr="00597337">
        <w:t>Hessa</w:t>
      </w:r>
      <w:proofErr w:type="spellEnd"/>
      <w:r w:rsidRPr="00597337">
        <w:t xml:space="preserve"> </w:t>
      </w:r>
      <w:proofErr w:type="spellStart"/>
      <w:r w:rsidRPr="00597337">
        <w:t>Khalifa</w:t>
      </w:r>
      <w:proofErr w:type="spellEnd"/>
      <w:r w:rsidRPr="00597337">
        <w:t xml:space="preserve"> </w:t>
      </w:r>
      <w:proofErr w:type="spellStart"/>
      <w:r w:rsidRPr="00597337">
        <w:t>bin</w:t>
      </w:r>
      <w:proofErr w:type="spellEnd"/>
      <w:r w:rsidRPr="00597337">
        <w:t xml:space="preserve"> Ahmed al-</w:t>
      </w:r>
      <w:proofErr w:type="spellStart"/>
      <w:proofErr w:type="gramStart"/>
      <w:r w:rsidRPr="00597337">
        <w:t>Thani</w:t>
      </w:r>
      <w:proofErr w:type="spellEnd"/>
      <w:r w:rsidRPr="00597337">
        <w:t xml:space="preserve"> ;</w:t>
      </w:r>
      <w:proofErr w:type="gramEnd"/>
      <w:r w:rsidRPr="00597337">
        <w:t xml:space="preserve"> Relator Especial 2009-al presente: </w:t>
      </w:r>
      <w:proofErr w:type="spellStart"/>
      <w:r w:rsidRPr="00597337">
        <w:t>Shuaib</w:t>
      </w:r>
      <w:proofErr w:type="spellEnd"/>
      <w:r w:rsidRPr="00597337">
        <w:t xml:space="preserve"> </w:t>
      </w:r>
      <w:proofErr w:type="spellStart"/>
      <w:r w:rsidRPr="00597337">
        <w:t>Chalklen</w:t>
      </w:r>
      <w:proofErr w:type="spellEnd"/>
      <w:r w:rsidRPr="00597337">
        <w:t>. Los informes entregados han sido los siguientes: Vigilancia de la aplicación de las Normas Uniformes sobre la igualdad de oportunidades para las personas con discapacidad, A/RES/52/56 Informe definitivo del Relator Especial durante su primera misión; Vigilancia de la aplicación de las Normas Uniformes sobre la igualdad de oportunidades para las personas con discapacidad, E/CN.5/2000/3 Informe definitivo del Relator Especial durante su segunda misión, 1997–2000 y E/CN.5/2000/3/Corr.1;  Vigilancia de la aplicación de las Normas Uniformes sobre la igualdad de oportunidades para las personas con discapacidad, E/CN.5/2002/4; Opiniones de los gobiernos sobre las propuestas que figuran en el informe del Relator Especial sobre discapacidad, E/CN.5/2002/4 y en particular sobre la relativa al suplemento de las Normas Uniformes sobre la igualdad de oportunidades para las personas con discapacidad E/CN.5/2004/4; Vigilancia de la aplicación de las Normas Uniformes sobre la igualdad de oportunidades para las personas con discapacidad, E/CN.5/2005/5 y E/CN.5/2005/5/Corr.1; Informe de la Relatora Especial de la Comisión de Desarrollo Social sobre la supervisión de la aplicación de las Normas Uniformes sobre la igualdad de oportunidades para las personas con discapacidad - 44º período de sesiones, E/CN.5/2006/4; Informe de la Relatora Especial de la Comisión de Desarrollo Social sobre la supervisión de la aplicación de las Normas Uniformes sobre la igualdad de oportunidades para las personas con discapacidad - 46° período de sesiones, E/CN.5/2007/4; Informe de la Relatora Especial de la Comisión de Desarrollo Social sobre la supervisión de la aplicación de las Normas Uniformes sobre la igualdad de oportunidades para las personas con discapacidad - 46° período de sesiones, E/CN.5/2008/3; Informe de la Relatora Especial de la Comisión de Desarrollo Social sobre discapacidad, relativo a la vigilancia de la aplicación de las Normas Uniformes sobre la igualdad de oportunidades para las personas con discapacidad - 47° período de sesiones, E/CN.5/2009/6.</w:t>
      </w:r>
    </w:p>
  </w:footnote>
  <w:footnote w:id="71">
    <w:p w:rsidR="00887731" w:rsidRPr="00597337" w:rsidRDefault="00887731" w:rsidP="004551E9">
      <w:pPr>
        <w:pStyle w:val="Pie"/>
      </w:pPr>
      <w:r w:rsidRPr="00597337">
        <w:rPr>
          <w:rStyle w:val="Refdenotaalpie"/>
        </w:rPr>
        <w:footnoteRef/>
      </w:r>
      <w:r w:rsidRPr="00597337">
        <w:t xml:space="preserve"> </w:t>
      </w:r>
      <w:r w:rsidRPr="00597337">
        <w:rPr>
          <w:i/>
          <w:iCs/>
        </w:rPr>
        <w:t xml:space="preserve">International </w:t>
      </w:r>
      <w:proofErr w:type="spellStart"/>
      <w:r w:rsidRPr="00597337">
        <w:rPr>
          <w:rStyle w:val="goohl0"/>
          <w:i/>
          <w:iCs/>
          <w:lang w:val="es-AR"/>
        </w:rPr>
        <w:t>Classification</w:t>
      </w:r>
      <w:proofErr w:type="spellEnd"/>
      <w:r w:rsidRPr="00597337">
        <w:rPr>
          <w:i/>
          <w:iCs/>
        </w:rPr>
        <w:t xml:space="preserve"> of </w:t>
      </w:r>
      <w:proofErr w:type="spellStart"/>
      <w:r w:rsidRPr="00597337">
        <w:rPr>
          <w:i/>
          <w:iCs/>
        </w:rPr>
        <w:t>Functioning</w:t>
      </w:r>
      <w:proofErr w:type="spellEnd"/>
      <w:r w:rsidRPr="00597337">
        <w:rPr>
          <w:i/>
          <w:iCs/>
        </w:rPr>
        <w:t xml:space="preserve">, </w:t>
      </w:r>
      <w:proofErr w:type="spellStart"/>
      <w:r w:rsidRPr="00597337">
        <w:rPr>
          <w:i/>
          <w:iCs/>
        </w:rPr>
        <w:t>Disability</w:t>
      </w:r>
      <w:proofErr w:type="spellEnd"/>
      <w:r w:rsidRPr="00597337">
        <w:rPr>
          <w:i/>
          <w:iCs/>
        </w:rPr>
        <w:t xml:space="preserve"> and </w:t>
      </w:r>
      <w:proofErr w:type="spellStart"/>
      <w:r w:rsidRPr="00597337">
        <w:rPr>
          <w:i/>
          <w:iCs/>
        </w:rPr>
        <w:t>Health</w:t>
      </w:r>
      <w:proofErr w:type="spellEnd"/>
      <w:r w:rsidRPr="00597337">
        <w:rPr>
          <w:i/>
          <w:iCs/>
        </w:rPr>
        <w:t xml:space="preserve"> </w:t>
      </w:r>
      <w:r w:rsidRPr="00597337">
        <w:t xml:space="preserve">(Geneva: </w:t>
      </w:r>
      <w:proofErr w:type="spellStart"/>
      <w:r w:rsidRPr="00597337">
        <w:t>World</w:t>
      </w:r>
      <w:proofErr w:type="spellEnd"/>
      <w:r w:rsidRPr="00597337">
        <w:t xml:space="preserve"> </w:t>
      </w:r>
      <w:proofErr w:type="spellStart"/>
      <w:r w:rsidRPr="00597337">
        <w:t>Health</w:t>
      </w:r>
      <w:proofErr w:type="spellEnd"/>
      <w:r w:rsidRPr="00597337">
        <w:t xml:space="preserve"> </w:t>
      </w:r>
      <w:proofErr w:type="spellStart"/>
      <w:r w:rsidRPr="00597337">
        <w:t>Organization</w:t>
      </w:r>
      <w:proofErr w:type="spellEnd"/>
      <w:r w:rsidRPr="00597337">
        <w:t>, 2001), aprobada por la 54ª Asamblea Mundial de la Salud, celebrada del 17 al 22 de mayo de 2001.</w:t>
      </w:r>
    </w:p>
  </w:footnote>
  <w:footnote w:id="72">
    <w:p w:rsidR="00887731" w:rsidRPr="00597337" w:rsidRDefault="00887731" w:rsidP="004551E9">
      <w:pPr>
        <w:pStyle w:val="Pie"/>
      </w:pPr>
      <w:r w:rsidRPr="00597337">
        <w:rPr>
          <w:rStyle w:val="Refdenotaalpie"/>
        </w:rPr>
        <w:footnoteRef/>
      </w:r>
      <w:r w:rsidRPr="00597337">
        <w:t xml:space="preserve"> La CIF ha sido aceptada como una de las clasificaciones sociales de las Naciones Unidas e incorpora las Normas Uniformes para la Igualdad de Oportunidades de las Personas con Discapacidad.</w:t>
      </w:r>
    </w:p>
  </w:footnote>
  <w:footnote w:id="73">
    <w:p w:rsidR="00887731" w:rsidRPr="00597337" w:rsidRDefault="00887731" w:rsidP="004551E9">
      <w:pPr>
        <w:pStyle w:val="Pie"/>
      </w:pPr>
      <w:r w:rsidRPr="00597337">
        <w:rPr>
          <w:rStyle w:val="Refdenotaalpie"/>
        </w:rPr>
        <w:footnoteRef/>
      </w:r>
      <w:r w:rsidRPr="00597337">
        <w:t xml:space="preserve"> Véase PALACIOS, A., (2008), op. cit.</w:t>
      </w:r>
    </w:p>
  </w:footnote>
  <w:footnote w:id="74">
    <w:p w:rsidR="00887731" w:rsidRPr="00597337" w:rsidRDefault="00887731" w:rsidP="004551E9">
      <w:pPr>
        <w:pStyle w:val="Pie"/>
      </w:pPr>
      <w:r w:rsidRPr="00597337">
        <w:rPr>
          <w:rStyle w:val="Refdenotaalpie"/>
          <w:szCs w:val="20"/>
        </w:rPr>
        <w:footnoteRef/>
      </w:r>
      <w:r w:rsidRPr="00597337">
        <w:t xml:space="preserve"> La idea básica de los factores ambientales está constituida por el efecto facilitador o de barrera de las características del mundo físico, social y </w:t>
      </w:r>
      <w:proofErr w:type="spellStart"/>
      <w:r w:rsidRPr="00597337">
        <w:t>actitudinal</w:t>
      </w:r>
      <w:proofErr w:type="spellEnd"/>
      <w:r w:rsidRPr="00597337">
        <w:t>. CIF-2001 p. 2 y ss.</w:t>
      </w:r>
    </w:p>
  </w:footnote>
  <w:footnote w:id="75">
    <w:p w:rsidR="00887731" w:rsidRPr="00597337" w:rsidRDefault="00887731" w:rsidP="004551E9">
      <w:pPr>
        <w:pStyle w:val="Pie"/>
      </w:pPr>
      <w:r w:rsidRPr="00597337">
        <w:rPr>
          <w:rStyle w:val="Refdenotaalpie"/>
          <w:szCs w:val="20"/>
        </w:rPr>
        <w:footnoteRef/>
      </w:r>
      <w:r w:rsidRPr="00597337">
        <w:t xml:space="preserve"> Las funciones corporales son las funciones fisiológicas de los sistemas corporales –incluyendo las funciones psicológicas-. Estructuras corporales son las partes anatómicas del cuerpo, tales como los órganos, las extremidades y sus componentes. Deficiencias son problemas en las funciones o estructuras corporales tales como una desviación significativa o una pérdida. CIF-2001, cit., p. 3.</w:t>
      </w:r>
    </w:p>
  </w:footnote>
  <w:footnote w:id="76">
    <w:p w:rsidR="00887731" w:rsidRPr="00597337" w:rsidRDefault="00887731" w:rsidP="004551E9">
      <w:pPr>
        <w:pStyle w:val="Pie"/>
      </w:pPr>
      <w:r w:rsidRPr="00597337">
        <w:rPr>
          <w:rStyle w:val="Refdenotaalpie"/>
          <w:szCs w:val="20"/>
        </w:rPr>
        <w:footnoteRef/>
      </w:r>
      <w:r w:rsidRPr="00597337">
        <w:t xml:space="preserve"> Actividad es la realización de una tarea o acción por una persona. Participación es el acto de involucrarse en una situación vital. Limitaciones en la Actividad son dificultades que una persona puede tener en el desempeño/realización de las actividades.  </w:t>
      </w:r>
      <w:r w:rsidRPr="00597337">
        <w:rPr>
          <w:bCs/>
        </w:rPr>
        <w:t>En el desempeño/realización se incluyen los Factores Ambientales: todos los factores del mundo físico, social y actitudinal.</w:t>
      </w:r>
      <w:r w:rsidRPr="00597337">
        <w:t xml:space="preserve"> Restricciones en la Participación son problemas que una persona puede experimentar al involucrarse en situaciones vitales. </w:t>
      </w:r>
      <w:r w:rsidRPr="00597337">
        <w:rPr>
          <w:bCs/>
        </w:rPr>
        <w:t xml:space="preserve">Un problema con el desempeño/realización puede deberse directamente al contexto/entorno social, incluso cuando el individuo no presenta ninguna deficiencia. </w:t>
      </w:r>
      <w:r w:rsidRPr="00597337">
        <w:t>Por ejemplo, una persona que es HIV positiva, aunque no haya desarrollado ni síntomas ni la enfermedad, o una persona con una predisposición genética a padecer determinada enfermedad, puede no presentar ninguna deficiencia o puede tener suficiente capacidad para trabajar aunque no lo haga porque no le permiten acceder a determinados servicios, por estar siendo discriminado o sufrir las consecuencias del estigma. Ídem.</w:t>
      </w:r>
    </w:p>
  </w:footnote>
  <w:footnote w:id="77">
    <w:p w:rsidR="00887731" w:rsidRPr="00597337" w:rsidRDefault="00887731" w:rsidP="004551E9">
      <w:pPr>
        <w:pStyle w:val="Pie"/>
      </w:pPr>
      <w:r w:rsidRPr="00597337">
        <w:rPr>
          <w:rStyle w:val="Refdenotaalpie"/>
        </w:rPr>
        <w:footnoteRef/>
      </w:r>
      <w:r w:rsidRPr="00597337">
        <w:t xml:space="preserve"> Incluyen los Factores Ambientales y los Factores Personales que pueden tener un efecto en la persona con una condición de salud y sobre la salud y los estados “relacionados con la salud” de esta persona. Íbidem.</w:t>
      </w:r>
    </w:p>
  </w:footnote>
  <w:footnote w:id="78">
    <w:p w:rsidR="00887731" w:rsidRPr="00597337" w:rsidRDefault="00887731" w:rsidP="004551E9">
      <w:pPr>
        <w:pStyle w:val="Pie"/>
      </w:pPr>
      <w:r w:rsidRPr="00597337">
        <w:rPr>
          <w:rStyle w:val="Refdenotaalpie"/>
          <w:szCs w:val="20"/>
        </w:rPr>
        <w:footnoteRef/>
      </w:r>
      <w:r w:rsidRPr="00597337">
        <w:t xml:space="preserve"> Los factores ambientales constituyen el ambiente físico, social y actitudinal en el que las personas viven y desarrollan sus vidas.  Los factores </w:t>
      </w:r>
      <w:r w:rsidRPr="00597337">
        <w:rPr>
          <w:bCs/>
        </w:rPr>
        <w:t>son externos a los individuos y pueden tener una influencia negativa o positiva en el desempeño/realización del individuo como miembro de la sociedad, en la capacidad del individuo o en sus estructuras y funciones corporales</w:t>
      </w:r>
      <w:r w:rsidRPr="00597337">
        <w:t xml:space="preserve">. Los mismos interactúan con los componentes de las “Estructuras y Funciones Corporales” y “Actividades y Participación”.  </w:t>
      </w:r>
      <w:r w:rsidRPr="00597337">
        <w:rPr>
          <w:bCs/>
        </w:rPr>
        <w:t>De este modo, la discapacidad es definida como el resultado de una compleja relación entre la condición de salud de una persona y sus factores personales, y los factores externos que representan las circunstancias en las que vive esa persona</w:t>
      </w:r>
      <w:r w:rsidRPr="00597337">
        <w:t>.  A causa de esta relación, los diferentes ambientes pueden tener diferentes efectos en un individuo con una determinada condición de salud. Un entorno con barreras, o sin facilitadores, restringirá el desempeño/realización del individuo; mientras que otros entornos que sean más facilitadores pueden incrementarlo. La sociedad puede dificultar el desempeño/realización de un individuo tanto porque cree barreras (ej. edificios inaccesibles) o porque no proporcione elementos facilitadores (ej. baja disponibilidad de instrumentos de ayuda). Íbidem.</w:t>
      </w:r>
    </w:p>
  </w:footnote>
  <w:footnote w:id="79">
    <w:p w:rsidR="00887731" w:rsidRPr="00597337" w:rsidRDefault="00887731" w:rsidP="004551E9">
      <w:pPr>
        <w:pStyle w:val="Pie"/>
        <w:rPr>
          <w:lang w:val="en-US"/>
        </w:rPr>
      </w:pPr>
      <w:r w:rsidRPr="00597337">
        <w:rPr>
          <w:rStyle w:val="Refdenotaalpie"/>
        </w:rPr>
        <w:footnoteRef/>
      </w:r>
      <w:r w:rsidRPr="00597337">
        <w:t xml:space="preserve"> Los factores personales constituyen el trasfondo particular de la vida de un individuo y de su estilo de vida. Están compuestos por características del individuo que no forman parte de una condición o estados de salud. Estos factores pueden incluir el sexo, la raza, la edad, otros estados de salud, la forma física, los estilos de vida, los hábitos, los “estilos de enfrentarse a los problemas y tratar de resolverlos”, el trasfondo social, la educación, la profesión, las experiencias actuales y pasadas, los patrones de comportamiento globales y el tipo de personalidad, los aspectos psicológicos personales y otras características.  </w:t>
      </w:r>
      <w:r w:rsidRPr="00597337">
        <w:rPr>
          <w:lang w:val="en-US"/>
        </w:rPr>
        <w:t>Íbidem.</w:t>
      </w:r>
    </w:p>
  </w:footnote>
  <w:footnote w:id="80">
    <w:p w:rsidR="00887731" w:rsidRPr="004551E9" w:rsidRDefault="00887731" w:rsidP="004551E9">
      <w:pPr>
        <w:pStyle w:val="Pie"/>
        <w:rPr>
          <w:lang w:val="en-US"/>
        </w:rPr>
      </w:pPr>
      <w:r w:rsidRPr="00597337">
        <w:rPr>
          <w:rStyle w:val="Refdenotaalpie"/>
        </w:rPr>
        <w:footnoteRef/>
      </w:r>
      <w:r w:rsidRPr="004551E9">
        <w:rPr>
          <w:lang w:val="en-US"/>
        </w:rPr>
        <w:t xml:space="preserve"> </w:t>
      </w:r>
      <w:proofErr w:type="spellStart"/>
      <w:proofErr w:type="gramStart"/>
      <w:r w:rsidRPr="004551E9">
        <w:rPr>
          <w:lang w:val="en-US"/>
        </w:rPr>
        <w:t>Íbidem</w:t>
      </w:r>
      <w:proofErr w:type="spellEnd"/>
      <w:r w:rsidRPr="004551E9">
        <w:rPr>
          <w:lang w:val="en-US"/>
        </w:rPr>
        <w:t>.</w:t>
      </w:r>
      <w:proofErr w:type="gramEnd"/>
    </w:p>
  </w:footnote>
  <w:footnote w:id="81">
    <w:p w:rsidR="00887731" w:rsidRPr="004551E9" w:rsidRDefault="00887731" w:rsidP="004551E9">
      <w:pPr>
        <w:pStyle w:val="Pie"/>
        <w:rPr>
          <w:lang w:val="en-US"/>
        </w:rPr>
      </w:pPr>
      <w:r w:rsidRPr="00597337">
        <w:rPr>
          <w:rStyle w:val="Refdenotaalpie"/>
        </w:rPr>
        <w:footnoteRef/>
      </w:r>
      <w:r w:rsidRPr="004551E9">
        <w:rPr>
          <w:lang w:val="en-US"/>
        </w:rPr>
        <w:t xml:space="preserve"> </w:t>
      </w:r>
      <w:proofErr w:type="spellStart"/>
      <w:proofErr w:type="gramStart"/>
      <w:r w:rsidRPr="004551E9">
        <w:rPr>
          <w:lang w:val="en-US"/>
        </w:rPr>
        <w:t>Íbidem</w:t>
      </w:r>
      <w:proofErr w:type="spellEnd"/>
      <w:r w:rsidRPr="004551E9">
        <w:rPr>
          <w:lang w:val="en-US"/>
        </w:rPr>
        <w:t>.</w:t>
      </w:r>
      <w:proofErr w:type="gramEnd"/>
    </w:p>
  </w:footnote>
  <w:footnote w:id="82">
    <w:p w:rsidR="00887731" w:rsidRPr="004551E9" w:rsidRDefault="00887731" w:rsidP="004551E9">
      <w:pPr>
        <w:pStyle w:val="Pie"/>
        <w:rPr>
          <w:lang w:val="en-US"/>
        </w:rPr>
      </w:pPr>
      <w:r w:rsidRPr="00597337">
        <w:rPr>
          <w:rStyle w:val="Refdenotaalpie"/>
        </w:rPr>
        <w:footnoteRef/>
      </w:r>
      <w:r w:rsidRPr="004551E9">
        <w:rPr>
          <w:lang w:val="en-US"/>
        </w:rPr>
        <w:t xml:space="preserve"> </w:t>
      </w:r>
      <w:proofErr w:type="spellStart"/>
      <w:proofErr w:type="gramStart"/>
      <w:r w:rsidRPr="004551E9">
        <w:rPr>
          <w:lang w:val="en-US"/>
        </w:rPr>
        <w:t>Íbidem</w:t>
      </w:r>
      <w:proofErr w:type="spellEnd"/>
      <w:r w:rsidRPr="004551E9">
        <w:rPr>
          <w:lang w:val="en-US"/>
        </w:rPr>
        <w:t>.</w:t>
      </w:r>
      <w:proofErr w:type="gramEnd"/>
    </w:p>
  </w:footnote>
  <w:footnote w:id="83">
    <w:p w:rsidR="00887731" w:rsidRPr="00562DB8" w:rsidRDefault="00887731" w:rsidP="004551E9">
      <w:pPr>
        <w:pStyle w:val="Pie"/>
        <w:rPr>
          <w:lang w:val="en-US"/>
        </w:rPr>
      </w:pPr>
      <w:r w:rsidRPr="00597337">
        <w:rPr>
          <w:rStyle w:val="Refdenotaalpie"/>
        </w:rPr>
        <w:footnoteRef/>
      </w:r>
      <w:r w:rsidRPr="004551E9">
        <w:rPr>
          <w:lang w:val="en-US"/>
        </w:rPr>
        <w:t xml:space="preserve"> </w:t>
      </w:r>
      <w:proofErr w:type="gramStart"/>
      <w:r w:rsidRPr="004551E9">
        <w:rPr>
          <w:lang w:val="en-US"/>
        </w:rPr>
        <w:t>KAYESS, R. &amp; FRENCH, P., (2008) “Out of Darkness into Light?</w:t>
      </w:r>
      <w:proofErr w:type="gramEnd"/>
      <w:r w:rsidRPr="004551E9">
        <w:rPr>
          <w:lang w:val="en-US"/>
        </w:rPr>
        <w:t xml:space="preserve"> </w:t>
      </w:r>
      <w:r w:rsidRPr="00562DB8">
        <w:rPr>
          <w:lang w:val="en-US"/>
        </w:rPr>
        <w:t xml:space="preserve">Introducing the Convention on the Rights of Persons with Disabilities”, </w:t>
      </w:r>
      <w:r w:rsidRPr="00562DB8">
        <w:rPr>
          <w:i/>
          <w:lang w:val="en-US"/>
        </w:rPr>
        <w:t>Human Rights Law Review</w:t>
      </w:r>
      <w:r w:rsidRPr="00562DB8">
        <w:rPr>
          <w:lang w:val="en-US"/>
        </w:rPr>
        <w:t>, Vol. 8(1), p. 25.</w:t>
      </w:r>
    </w:p>
  </w:footnote>
  <w:footnote w:id="84">
    <w:p w:rsidR="00887731" w:rsidRPr="00597337" w:rsidRDefault="00887731" w:rsidP="004551E9">
      <w:pPr>
        <w:pStyle w:val="Pie"/>
      </w:pPr>
      <w:r w:rsidRPr="00597337">
        <w:rPr>
          <w:rStyle w:val="Refdenotaalpie"/>
        </w:rPr>
        <w:footnoteRef/>
      </w:r>
      <w:r w:rsidRPr="00597337">
        <w:t xml:space="preserve"> CARDONA LLORÉNS, J., y SANJOSÉ GIL, A., (2005) "Derechos Humanos y personas con discapacidad en el marco de las Naciones Unidas: ¿Hacia un cambio de rumbo?” en </w:t>
      </w:r>
      <w:r w:rsidRPr="00597337">
        <w:rPr>
          <w:i/>
        </w:rPr>
        <w:t xml:space="preserve">Trends in the Internacional Law of Human Rights. </w:t>
      </w:r>
      <w:r w:rsidRPr="00597337">
        <w:rPr>
          <w:i/>
          <w:lang w:val="en-US"/>
        </w:rPr>
        <w:t>Studies in honour of Profesor Antonio Augusto Cançado Trindade</w:t>
      </w:r>
      <w:r w:rsidRPr="00597337">
        <w:rPr>
          <w:lang w:val="en-US"/>
        </w:rPr>
        <w:t xml:space="preserve">, FABRIS, S. A., (Ed.) </w:t>
      </w:r>
      <w:r w:rsidRPr="00597337">
        <w:t>Porto Alegre, pp. 491-550.</w:t>
      </w:r>
    </w:p>
  </w:footnote>
  <w:footnote w:id="85">
    <w:p w:rsidR="00887731" w:rsidRPr="00597337" w:rsidRDefault="00887731" w:rsidP="004551E9">
      <w:pPr>
        <w:pStyle w:val="Pie"/>
      </w:pPr>
      <w:r w:rsidRPr="00597337">
        <w:rPr>
          <w:rStyle w:val="Refdenotaalpie"/>
        </w:rPr>
        <w:footnoteRef/>
      </w:r>
      <w:r w:rsidRPr="00597337">
        <w:t xml:space="preserve"> Véase QUINN, G. &amp; DEGENER, T., (2002a), op. cit.</w:t>
      </w:r>
    </w:p>
  </w:footnote>
  <w:footnote w:id="86">
    <w:p w:rsidR="00887731" w:rsidRPr="00597337" w:rsidRDefault="00887731" w:rsidP="004551E9">
      <w:pPr>
        <w:pStyle w:val="Pie"/>
        <w:rPr>
          <w:lang w:val="en-US"/>
        </w:rPr>
      </w:pPr>
      <w:r w:rsidRPr="00597337">
        <w:rPr>
          <w:rStyle w:val="Refdenotaalpie"/>
        </w:rPr>
        <w:footnoteRef/>
      </w:r>
      <w:r w:rsidRPr="00597337">
        <w:t xml:space="preserve"> El debate en torno al porqué el marco internacional de derechos humanos no resultaba idóneo para resguardar los derechos de las personas con discapacidad ha sido abordado por los principales referentes académicos en la materia. </w:t>
      </w:r>
      <w:r w:rsidRPr="00597337">
        <w:rPr>
          <w:lang w:val="en-US"/>
        </w:rPr>
        <w:t xml:space="preserve">[…At various points in the Convention, different rights are simply "reaffirmed," or the Convention obliges states to "recognize" or to "guarantee" them (…) Each of these rights has been recognized for decades in either the Universal Declaration,25 the International Covenant on Civil and Political Rights, or the International Covenant on Economic, Social and Cultural Rights, if not all three (…) Why should this affirmation of previous rights be necessary in the case of persons with disabilities? The simple answer is that it has not always been, and certainly still is not, in many instances, obvious. For a long time, some persons with disabilities were hardly considered human and were, as a result, denied basic rights. Persons with disabilities may have always been theoretically entitled to human rights, but in both law and practice they have often been denied them. Persons with disabilities have been victims of genocide, eugenism, and have suffered from massive discrimination resulting from a denial of their basic rights…] MÉGRET, F., (2008), “The Disabilities Convention: Human Rights of Persons with Disabilities or Disability Rights?” </w:t>
      </w:r>
      <w:r w:rsidRPr="00597337">
        <w:rPr>
          <w:i/>
          <w:lang w:val="en-US"/>
        </w:rPr>
        <w:t>Human Rights Quarterly</w:t>
      </w:r>
      <w:r w:rsidRPr="00597337">
        <w:rPr>
          <w:lang w:val="en-US"/>
        </w:rPr>
        <w:t xml:space="preserve">, Vol. 30, pp. 499-500; […After all, we had an entire edifice of human values enshrined in the two headline United Nations human rights treaties: the International Covenant on Civil &amp; Political Rights and the International Covenant on Economic, Social &amp; Cultural Rights (…) It is a very fair question to ask why these treaties-which purported to be universal did not in fact yield benefit for persons with disabilities? Some will explain the lack of efficacy by saying that there were "demand-side" problems- that persons with disabilities themselves did not look to these treaties for validation of their claims and for just satisfaction. Some will say that there were "supply-side" problems-that the people appointed to the various treaty monitoring bodies were just not attuned to disability as an issue of equality and rights. Both explanations are correct (…) Yet I think there is a deeper reason. The cultural discounting of persons with disabilities was in fact reflected in the intellectual structure of these treaties, especially in the way they were interpreted….] QUINN, G., (2009-2010), “The United Nations Convention on the Rights of Persons with Disabilities: Toward a New International Politics of Disability”, </w:t>
      </w:r>
      <w:r w:rsidRPr="00597337">
        <w:rPr>
          <w:i/>
          <w:lang w:val="en-US"/>
        </w:rPr>
        <w:t>Texas Journal on Civil Liberties &amp; Civil Rights</w:t>
      </w:r>
      <w:r w:rsidRPr="00597337">
        <w:rPr>
          <w:lang w:val="en-US"/>
        </w:rPr>
        <w:t>, Vol. 15:1, p.38.</w:t>
      </w:r>
    </w:p>
  </w:footnote>
  <w:footnote w:id="87">
    <w:p w:rsidR="00887731" w:rsidRPr="00597337" w:rsidRDefault="00887731" w:rsidP="004551E9">
      <w:pPr>
        <w:pStyle w:val="Pie"/>
      </w:pPr>
      <w:r w:rsidRPr="00597337">
        <w:rPr>
          <w:rStyle w:val="Refdenotaalpie"/>
        </w:rPr>
        <w:footnoteRef/>
      </w:r>
      <w:r w:rsidRPr="00597337">
        <w:t xml:space="preserve"> Resolución de la Comisión de Derechos Humanos E/CN.4/RES/1994/27 del 4 de marzo de 1994, sobre los Derechos Humanos de las personas con discapacidad. </w:t>
      </w:r>
    </w:p>
  </w:footnote>
  <w:footnote w:id="88">
    <w:p w:rsidR="00887731" w:rsidRPr="00597337" w:rsidRDefault="00887731" w:rsidP="004551E9">
      <w:pPr>
        <w:pStyle w:val="Pie"/>
      </w:pPr>
      <w:r w:rsidRPr="00597337">
        <w:rPr>
          <w:rStyle w:val="Refdenotaalpie"/>
        </w:rPr>
        <w:footnoteRef/>
      </w:r>
      <w:r w:rsidRPr="00597337">
        <w:t xml:space="preserve"> La Carta de las Naciones Unidas suscrita el 26 de junio de 1945 en San Francisco en ocasión de la Conferencia de las Naciones Unidas sobre Organización Internacional. Entró en vigor el 24 de octubre del mismo año. </w:t>
      </w:r>
    </w:p>
  </w:footnote>
  <w:footnote w:id="89">
    <w:p w:rsidR="00887731" w:rsidRPr="00597337" w:rsidRDefault="00887731" w:rsidP="004551E9">
      <w:pPr>
        <w:pStyle w:val="Pie"/>
      </w:pPr>
      <w:r w:rsidRPr="00597337">
        <w:rPr>
          <w:rStyle w:val="Refdenotaalpie"/>
        </w:rPr>
        <w:footnoteRef/>
      </w:r>
      <w:r w:rsidRPr="00597337">
        <w:t xml:space="preserve"> El profesor Mariño se refiere al “núcleo de normas generales imperativas que constituyen el orden público de la comunidad internacional”: Véase MARIÑO MENÉNDEZ, F., (2005), </w:t>
      </w:r>
      <w:r w:rsidRPr="00597337">
        <w:rPr>
          <w:i/>
        </w:rPr>
        <w:t>Derecho Internacional Público: Parte General</w:t>
      </w:r>
      <w:r w:rsidRPr="00597337">
        <w:t>, 4ª edic</w:t>
      </w:r>
      <w:r>
        <w:t xml:space="preserve">ión, Trotta, Madrid, p.84 y ss; Véase también: </w:t>
      </w:r>
      <w:r w:rsidRPr="00DB735C">
        <w:rPr>
          <w:caps/>
        </w:rPr>
        <w:t>Salmon, E. S.</w:t>
      </w:r>
      <w:r w:rsidRPr="00DB735C">
        <w:t xml:space="preserve"> (2005)</w:t>
      </w:r>
      <w:r>
        <w:t>, “</w:t>
      </w:r>
      <w:r w:rsidRPr="00DB735C">
        <w:t>El Orden Público Internacional y el orden público interno desde la perspectiva del derecho internacional de los derechos humanos</w:t>
      </w:r>
      <w:r>
        <w:t>”, e</w:t>
      </w:r>
      <w:r w:rsidRPr="00DB735C">
        <w:t xml:space="preserve">n </w:t>
      </w:r>
      <w:r w:rsidRPr="00DB735C">
        <w:rPr>
          <w:i/>
        </w:rPr>
        <w:t>Themis, revista de la Facultad de Derecho de la PUCP</w:t>
      </w:r>
      <w:r>
        <w:t xml:space="preserve">, </w:t>
      </w:r>
      <w:r w:rsidRPr="00DB735C">
        <w:t>N° 51, pp. 151-157</w:t>
      </w:r>
      <w:r>
        <w:t xml:space="preserve">. </w:t>
      </w:r>
    </w:p>
  </w:footnote>
  <w:footnote w:id="90">
    <w:p w:rsidR="00887731" w:rsidRPr="00597337" w:rsidRDefault="00887731" w:rsidP="004551E9">
      <w:pPr>
        <w:pStyle w:val="Pie"/>
      </w:pPr>
      <w:r w:rsidRPr="00597337">
        <w:rPr>
          <w:rStyle w:val="Refdenotaalpie"/>
        </w:rPr>
        <w:footnoteRef/>
      </w:r>
      <w:r w:rsidRPr="00597337">
        <w:t xml:space="preserve"> La expresión "procedimientos especiales" se refiere a los mecanismos establecidos por la Comisión de Derechos Humanos y asumidos por el Consejo de Derechos Humanos para hacer frente, o bien a situaciones concretas en los países, o a cuestiones temáticas en todo el mundo. Para más información: </w:t>
      </w:r>
      <w:hyperlink r:id="rId5" w:history="1">
        <w:r w:rsidRPr="00597337">
          <w:rPr>
            <w:rStyle w:val="Hipervnculo"/>
            <w:lang w:val="es-AR"/>
          </w:rPr>
          <w:t>http://www2.ohchr.org/spanish/bodies/chr/special/index.htm</w:t>
        </w:r>
      </w:hyperlink>
    </w:p>
  </w:footnote>
  <w:footnote w:id="91">
    <w:p w:rsidR="00887731" w:rsidRPr="00597337" w:rsidRDefault="00887731" w:rsidP="004551E9">
      <w:pPr>
        <w:pStyle w:val="Pie"/>
      </w:pPr>
      <w:r w:rsidRPr="00597337">
        <w:rPr>
          <w:rStyle w:val="Refdenotaalpie"/>
        </w:rPr>
        <w:footnoteRef/>
      </w:r>
      <w:r w:rsidRPr="00597337">
        <w:t xml:space="preserve"> Véase Oficina del Alto Comisionado de las Naciones Unidas para los Derechos Humanos: </w:t>
      </w:r>
      <w:hyperlink r:id="rId6" w:history="1">
        <w:r w:rsidRPr="00597337">
          <w:rPr>
            <w:rStyle w:val="Hipervnculo"/>
            <w:lang w:val="es-AR"/>
          </w:rPr>
          <w:t>http://www.ohchr.org</w:t>
        </w:r>
      </w:hyperlink>
      <w:r w:rsidRPr="00597337">
        <w:t xml:space="preserve"> </w:t>
      </w:r>
    </w:p>
  </w:footnote>
  <w:footnote w:id="92">
    <w:p w:rsidR="00887731" w:rsidRPr="00597337" w:rsidRDefault="00887731" w:rsidP="004551E9">
      <w:pPr>
        <w:pStyle w:val="Pie"/>
      </w:pPr>
      <w:r w:rsidRPr="00597337">
        <w:rPr>
          <w:rStyle w:val="Refdenotaalpie"/>
        </w:rPr>
        <w:footnoteRef/>
      </w:r>
      <w:r w:rsidRPr="00597337">
        <w:t xml:space="preserve"> Adoptada y proclamada por la Asamblea General en su resolución 217 A (III), de 10 de diciembre de 1948.</w:t>
      </w:r>
    </w:p>
  </w:footnote>
  <w:footnote w:id="93">
    <w:p w:rsidR="00887731" w:rsidRPr="00597337" w:rsidRDefault="00887731" w:rsidP="004551E9">
      <w:pPr>
        <w:pStyle w:val="Pie"/>
      </w:pPr>
      <w:r w:rsidRPr="00597337">
        <w:rPr>
          <w:rStyle w:val="Refdenotaalpie"/>
        </w:rPr>
        <w:footnoteRef/>
      </w:r>
      <w:r w:rsidRPr="00597337">
        <w:t xml:space="preserve"> Véase VILLÁN DURÁN, C., (2001), “La Declaración Universal de Derechos Humanos en la Práctica de las Naciones Unidas”, en </w:t>
      </w:r>
      <w:r w:rsidRPr="00597337">
        <w:rPr>
          <w:i/>
        </w:rPr>
        <w:t>La Protección Internacional de los Derechos Humanos a los Cincuenta Años de la Declaración Universal</w:t>
      </w:r>
      <w:r w:rsidRPr="00597337">
        <w:t xml:space="preserve">, </w:t>
      </w:r>
      <w:r w:rsidRPr="00597337">
        <w:rPr>
          <w:caps/>
        </w:rPr>
        <w:t xml:space="preserve">Blanc Altemir, </w:t>
      </w:r>
      <w:r w:rsidRPr="00597337">
        <w:t>A. (Editor), Tecnos, Madrid, pp. 51-61.</w:t>
      </w:r>
    </w:p>
  </w:footnote>
  <w:footnote w:id="94">
    <w:p w:rsidR="00887731" w:rsidRPr="00597337" w:rsidRDefault="00887731" w:rsidP="004551E9">
      <w:pPr>
        <w:pStyle w:val="Pie"/>
      </w:pPr>
      <w:r w:rsidRPr="00597337">
        <w:rPr>
          <w:rStyle w:val="Refdenotaalpie"/>
        </w:rPr>
        <w:footnoteRef/>
      </w:r>
      <w:r w:rsidRPr="00597337">
        <w:t xml:space="preserve"> Por ejemplo la Constitución Nacional de Argentina en su artículo 75 inciso 22 otorga rango constitucional a una serie de instrumentos internacionales de derechos humanos entre los que incluye a la DUDH lo que parece equipararla en cuanto a su valor vinculante con el resto de los tratados internacionales de derechos humanos. Véase JIMÉNEZ, E. P., (2007), “El tratamiento de las personas con discapacidad en el sistema constitucional argentino”, en CAMPOY CERVERA, I. &amp; PALACIOS, A. (Ed.), </w:t>
      </w:r>
      <w:r w:rsidRPr="00597337">
        <w:rPr>
          <w:i/>
        </w:rPr>
        <w:t>Igualdad, no discriminación y discapacidad</w:t>
      </w:r>
      <w:r w:rsidRPr="00597337">
        <w:t xml:space="preserve">, Debates del Instituto Bartolomé de las Casas n°8, Dykinson, Madrid, pp. 209-242. También la Constitución española en su artículo 10(2) establece que “Las normas relativas a los derechos fundamentales y a las libertades que la Constitución reconoce se interpretarán de conformidad con la Declaración Universal de Derechos Humanos y los Tratados y acuerdos internacionales sobre las mismas materias ratificados por España”. Por un análisis de esta disposición constitucional en el marco de los derechos de las personas con discapacidad en España véase: CUENCA GÓMEZ, P., (2012) </w:t>
      </w:r>
      <w:r w:rsidRPr="00597337">
        <w:rPr>
          <w:i/>
        </w:rPr>
        <w:t>Los derechos fundamentales de las personas con discapacidad. Un análisis a la luz de la Convención de la ONU,</w:t>
      </w:r>
      <w:r w:rsidRPr="00597337">
        <w:t xml:space="preserve"> Cuadernos de la Cátedra de Democracia y Derechos Humanos, Núm. 7, Universidad de Alcalá/Defensor del Pueblo, Madrid, capítulo II. </w:t>
      </w:r>
    </w:p>
  </w:footnote>
  <w:footnote w:id="95">
    <w:p w:rsidR="00887731" w:rsidRPr="00562DB8" w:rsidRDefault="00887731" w:rsidP="004551E9">
      <w:pPr>
        <w:pStyle w:val="Pie"/>
        <w:rPr>
          <w:lang w:val="en-US"/>
        </w:rPr>
      </w:pPr>
      <w:r w:rsidRPr="00597337">
        <w:rPr>
          <w:rStyle w:val="Refdenotaalpie"/>
        </w:rPr>
        <w:footnoteRef/>
      </w:r>
      <w:r w:rsidRPr="00562DB8">
        <w:rPr>
          <w:lang w:val="en-US"/>
        </w:rPr>
        <w:t xml:space="preserve"> </w:t>
      </w:r>
      <w:proofErr w:type="spellStart"/>
      <w:r w:rsidRPr="00562DB8">
        <w:rPr>
          <w:lang w:val="en-US"/>
        </w:rPr>
        <w:t>Véase</w:t>
      </w:r>
      <w:proofErr w:type="spellEnd"/>
      <w:r w:rsidRPr="00562DB8">
        <w:rPr>
          <w:lang w:val="en-US"/>
        </w:rPr>
        <w:t xml:space="preserve"> MERON, T., (1989), </w:t>
      </w:r>
      <w:r w:rsidRPr="00562DB8">
        <w:rPr>
          <w:i/>
          <w:lang w:val="en-US"/>
        </w:rPr>
        <w:t>Human rights and humanitarian norms as customary law</w:t>
      </w:r>
      <w:r w:rsidRPr="00562DB8">
        <w:rPr>
          <w:lang w:val="en-US"/>
        </w:rPr>
        <w:t xml:space="preserve">, Oxford University Press, pp. 79 y ss. </w:t>
      </w:r>
    </w:p>
  </w:footnote>
  <w:footnote w:id="96">
    <w:p w:rsidR="00887731" w:rsidRPr="00597337" w:rsidRDefault="00887731" w:rsidP="004551E9">
      <w:pPr>
        <w:pStyle w:val="Pie"/>
      </w:pPr>
      <w:r w:rsidRPr="00597337">
        <w:rPr>
          <w:rStyle w:val="Refdenotaalpie"/>
        </w:rPr>
        <w:footnoteRef/>
      </w:r>
      <w:r w:rsidRPr="00597337">
        <w:t xml:space="preserve"> Adoptado y abierto a la firma, ratificación y adhesión por la Asamblea General en su resolución 2200 A (XXI), de 16 de diciembre de 1966. Entrada en vigor: 23 de marzo de 1976.</w:t>
      </w:r>
    </w:p>
  </w:footnote>
  <w:footnote w:id="97">
    <w:p w:rsidR="00887731" w:rsidRPr="00597337" w:rsidRDefault="00887731" w:rsidP="004551E9">
      <w:pPr>
        <w:pStyle w:val="Pie"/>
        <w:rPr>
          <w:lang w:val="en-US"/>
        </w:rPr>
      </w:pPr>
      <w:r w:rsidRPr="00597337">
        <w:rPr>
          <w:rStyle w:val="Refdenotaalpie"/>
        </w:rPr>
        <w:footnoteRef/>
      </w:r>
      <w:r w:rsidRPr="00597337">
        <w:t xml:space="preserve"> Como señala Dhanda, […the Convention has given birth to hybrid rights. </w:t>
      </w:r>
      <w:r w:rsidRPr="00597337">
        <w:rPr>
          <w:lang w:val="en-US"/>
        </w:rPr>
        <w:t xml:space="preserve">Hybrid rights are those rights which have components of both civil and political rights, by one side, and social and economic rights, by the other. The creation of these rights has strengthened the indivisibility of rights discourse in human rights jurisprudence…] DHANDA, A., (2008), “Constructing a new human rights lexicom: Convention on the Rights of Persons with Disabilities”, </w:t>
      </w:r>
      <w:r w:rsidRPr="00597337">
        <w:rPr>
          <w:i/>
          <w:lang w:val="en-US"/>
        </w:rPr>
        <w:t>SUR – International Journal on Human Rights</w:t>
      </w:r>
      <w:r w:rsidRPr="00597337">
        <w:rPr>
          <w:lang w:val="en-US"/>
        </w:rPr>
        <w:t>, Vol. 8, p. 55.</w:t>
      </w:r>
    </w:p>
  </w:footnote>
  <w:footnote w:id="98">
    <w:p w:rsidR="00887731" w:rsidRPr="00562DB8" w:rsidRDefault="00887731" w:rsidP="004551E9">
      <w:pPr>
        <w:pStyle w:val="Pie"/>
        <w:rPr>
          <w:lang w:val="en-US"/>
        </w:rPr>
      </w:pPr>
      <w:r w:rsidRPr="00597337">
        <w:rPr>
          <w:rStyle w:val="Refdenotaalpie"/>
        </w:rPr>
        <w:footnoteRef/>
      </w:r>
      <w:r w:rsidRPr="00562DB8">
        <w:rPr>
          <w:lang w:val="en-US"/>
        </w:rPr>
        <w:t xml:space="preserve"> QUINN G. (1995), “The International Covenant on Civil and Political Rights and Disability: A conceptual Framework” en </w:t>
      </w:r>
      <w:r w:rsidRPr="00562DB8">
        <w:rPr>
          <w:i/>
          <w:lang w:val="en-US"/>
        </w:rPr>
        <w:t>Human Rights and Disabled Persons</w:t>
      </w:r>
      <w:r w:rsidRPr="00562DB8">
        <w:rPr>
          <w:lang w:val="en-US"/>
        </w:rPr>
        <w:t xml:space="preserve">, </w:t>
      </w:r>
      <w:r w:rsidRPr="00562DB8">
        <w:rPr>
          <w:caps/>
          <w:lang w:val="en-US"/>
        </w:rPr>
        <w:t>Degener &amp; Koster-Dreese</w:t>
      </w:r>
      <w:r w:rsidRPr="00562DB8">
        <w:rPr>
          <w:lang w:val="en-US"/>
        </w:rPr>
        <w:t xml:space="preserve">, eds., </w:t>
      </w:r>
      <w:proofErr w:type="gramStart"/>
      <w:r w:rsidRPr="00562DB8">
        <w:rPr>
          <w:lang w:val="en-US"/>
        </w:rPr>
        <w:t>op.cit.,</w:t>
      </w:r>
      <w:proofErr w:type="gramEnd"/>
      <w:r w:rsidRPr="00562DB8">
        <w:rPr>
          <w:lang w:val="en-US"/>
        </w:rPr>
        <w:t xml:space="preserve"> p. 70.</w:t>
      </w:r>
    </w:p>
  </w:footnote>
  <w:footnote w:id="99">
    <w:p w:rsidR="00887731" w:rsidRPr="00597337" w:rsidRDefault="00887731" w:rsidP="004551E9">
      <w:pPr>
        <w:pStyle w:val="Pie"/>
      </w:pPr>
      <w:r w:rsidRPr="00597337">
        <w:rPr>
          <w:rStyle w:val="Refdenotaalpie"/>
        </w:rPr>
        <w:footnoteRef/>
      </w:r>
      <w:r w:rsidRPr="00597337">
        <w:t xml:space="preserve"> El Comité de Derechos Humanos (establecido en virtud del artículo 28 del PIDCP) es el órgano de expertos independientes que supervisa la aplicación del tratado por sus Estados Partes. </w:t>
      </w:r>
    </w:p>
  </w:footnote>
  <w:footnote w:id="100">
    <w:p w:rsidR="00887731" w:rsidRPr="00597337" w:rsidRDefault="00887731" w:rsidP="004551E9">
      <w:pPr>
        <w:pStyle w:val="Pie"/>
      </w:pPr>
      <w:r w:rsidRPr="00597337">
        <w:rPr>
          <w:rStyle w:val="Refdenotaalpie"/>
        </w:rPr>
        <w:footnoteRef/>
      </w:r>
      <w:r w:rsidRPr="00597337">
        <w:t xml:space="preserve"> QUINN G. &amp; DEGENER T. (2002a), op. cit. p. 42. </w:t>
      </w:r>
    </w:p>
  </w:footnote>
  <w:footnote w:id="101">
    <w:p w:rsidR="00887731" w:rsidRPr="00597337" w:rsidRDefault="00887731" w:rsidP="004551E9">
      <w:pPr>
        <w:pStyle w:val="Pie"/>
      </w:pPr>
      <w:r w:rsidRPr="00597337">
        <w:rPr>
          <w:rStyle w:val="Refdenotaalpie"/>
        </w:rPr>
        <w:footnoteRef/>
      </w:r>
      <w:r w:rsidRPr="00597337">
        <w:t xml:space="preserve"> […Artículo 2.1 Cada uno de los Estados Partes en el presente Pacto se compromete a respetar y a garantizar a todos los individuos que se encuentren en su territorio y estén sujetos a su jurisdicción los derechos reconocidos en el presente Pacto, sin distinción alguna de raza, color, sexo, idioma, religión, opinión política o de otra índole, origen nacional o social, posición económica, nacimiento o cualquier otra condición social….Artículo 26 Todas las personas son iguales ante la ley y tienen derecho sin discriminación a igual protección de la ley. A este respecto, la ley prohibirá toda discriminación y garantizará a todas las personas protección igual y efectiva contra cualquier discriminación por motivos de raza, color, sexo, idioma, religión, opiniones políticas o de cualquier índole, origen nacional o social, posición económica, nacimiento o cualquier otra condición social…] PIDCP.  </w:t>
      </w:r>
    </w:p>
  </w:footnote>
  <w:footnote w:id="102">
    <w:p w:rsidR="00887731" w:rsidRPr="00597337" w:rsidRDefault="00887731" w:rsidP="004551E9">
      <w:pPr>
        <w:pStyle w:val="Pie"/>
      </w:pPr>
      <w:r w:rsidRPr="00597337">
        <w:rPr>
          <w:rStyle w:val="Refdenotaalpie"/>
        </w:rPr>
        <w:footnoteRef/>
      </w:r>
      <w:r w:rsidRPr="00597337">
        <w:t xml:space="preserve"> Cfr. Observación general Nº 18 sobre “No Discriminación” del Comité de Derechos Humanos de la ONU, 37º período de sesiones (1989), párrafo 7. (HRI/GEN/1/Rev.9 (Vol.I))</w:t>
      </w:r>
    </w:p>
  </w:footnote>
  <w:footnote w:id="103">
    <w:p w:rsidR="00887731" w:rsidRPr="00597337" w:rsidRDefault="00887731" w:rsidP="004551E9">
      <w:pPr>
        <w:pStyle w:val="Pie"/>
      </w:pPr>
      <w:r w:rsidRPr="00597337">
        <w:rPr>
          <w:rStyle w:val="Refdenotaalpie"/>
        </w:rPr>
        <w:footnoteRef/>
      </w:r>
      <w:r w:rsidRPr="00597337">
        <w:t xml:space="preserve"> Ídem, párrafo 10.  </w:t>
      </w:r>
    </w:p>
  </w:footnote>
  <w:footnote w:id="104">
    <w:p w:rsidR="00887731" w:rsidRPr="00597337" w:rsidRDefault="00887731" w:rsidP="004551E9">
      <w:pPr>
        <w:pStyle w:val="Pie"/>
      </w:pPr>
      <w:r w:rsidRPr="00597337">
        <w:rPr>
          <w:rStyle w:val="Refdenotaalpie"/>
        </w:rPr>
        <w:footnoteRef/>
      </w:r>
      <w:r w:rsidRPr="00597337">
        <w:t xml:space="preserve"> El informe preparado por </w:t>
      </w:r>
      <w:proofErr w:type="spellStart"/>
      <w:r w:rsidRPr="00597337">
        <w:t>Quinn</w:t>
      </w:r>
      <w:proofErr w:type="spellEnd"/>
      <w:r w:rsidRPr="00597337">
        <w:t xml:space="preserve"> y </w:t>
      </w:r>
      <w:proofErr w:type="spellStart"/>
      <w:r w:rsidRPr="00597337">
        <w:t>Degener</w:t>
      </w:r>
      <w:proofErr w:type="spellEnd"/>
      <w:r w:rsidRPr="00597337">
        <w:t xml:space="preserve"> para el ACNUDH resulta ilustrativo de lo señalado. Véase QUINN, G. &amp; DEGENER, T., (2002a), op. cit.</w:t>
      </w:r>
    </w:p>
  </w:footnote>
  <w:footnote w:id="105">
    <w:p w:rsidR="00887731" w:rsidRPr="00597337" w:rsidRDefault="00887731" w:rsidP="004551E9">
      <w:pPr>
        <w:pStyle w:val="Pie"/>
      </w:pPr>
      <w:r w:rsidRPr="00597337">
        <w:rPr>
          <w:rStyle w:val="Refdenotaalpie"/>
        </w:rPr>
        <w:footnoteRef/>
      </w:r>
      <w:r w:rsidRPr="00597337">
        <w:t xml:space="preserve"> Cfr. Observación general Nº 8 sobre “Derecho a la libertad y a la seguridad personales (artículo 9)” del Comité de Derechos Humanos de la ONU, 16º período de sesiones (1982), párrafo 1. (HRI/GEN/1/Rev.9 (Vol.I)).</w:t>
      </w:r>
    </w:p>
  </w:footnote>
  <w:footnote w:id="106">
    <w:p w:rsidR="00887731" w:rsidRPr="00597337" w:rsidRDefault="00887731" w:rsidP="004551E9">
      <w:pPr>
        <w:pStyle w:val="Pie"/>
      </w:pPr>
      <w:r w:rsidRPr="00597337">
        <w:rPr>
          <w:rStyle w:val="Refdenotaalpie"/>
        </w:rPr>
        <w:footnoteRef/>
      </w:r>
      <w:r w:rsidRPr="00597337">
        <w:t xml:space="preserve"> Cfr. Observación general Nº 19 sobre “La familia (artículo 23)” del Comité de Derechos Humanos de la ONU, 39º período de sesiones (1990), párrafo 4. (HRI/GEN/1/Rev.9 (Vol.I)).  Más aún el CteDH agrega que “El derecho a fundar una familia implica, en principio, la posibilidad de procrear y de vivir juntos. Cuando los Estados Partes adopten políticas de planificación de la familia, éstas han de ser compatibles con las disposiciones del Pacto y sobre todo no deben ser ni discriminatorias ni obligatorias” párrafo 5.</w:t>
      </w:r>
    </w:p>
  </w:footnote>
  <w:footnote w:id="107">
    <w:p w:rsidR="00887731" w:rsidRPr="00597337" w:rsidRDefault="00887731" w:rsidP="004551E9">
      <w:pPr>
        <w:pStyle w:val="Pie"/>
      </w:pPr>
      <w:r w:rsidRPr="00597337">
        <w:rPr>
          <w:rStyle w:val="Refdenotaalpie"/>
        </w:rPr>
        <w:footnoteRef/>
      </w:r>
      <w:r w:rsidRPr="00597337">
        <w:t xml:space="preserve"> Cfr. Observación general Nº 20 sobre “Prohibición de la tortura u otros tratos o penas crueles, inhumanos o degradantes (artículo 7)” del Comité de Derechos Humanos de la ONU, 44º período de sesiones (1992), párrafos 2 y 7 respectivamente. (HRI/GEN/1/Rev.9 (Vol.I)).</w:t>
      </w:r>
    </w:p>
  </w:footnote>
  <w:footnote w:id="108">
    <w:p w:rsidR="00887731" w:rsidRPr="00597337" w:rsidRDefault="00887731" w:rsidP="004551E9">
      <w:pPr>
        <w:pStyle w:val="Pie"/>
        <w:rPr>
          <w:lang w:val="en-US"/>
        </w:rPr>
      </w:pPr>
      <w:r w:rsidRPr="00597337">
        <w:rPr>
          <w:rStyle w:val="Refdenotaalpie"/>
        </w:rPr>
        <w:footnoteRef/>
      </w:r>
      <w:r w:rsidRPr="00597337">
        <w:t xml:space="preserve"> Observación General No. 25, Comentarios generales adoptados por el Comité de los Derechos Humanos, Artículo 25 - La participación en los asuntos públicos y el derecho de voto, 57º período de sesiones, U.N. Doc. </w:t>
      </w:r>
      <w:r w:rsidRPr="00597337">
        <w:rPr>
          <w:lang w:val="en-US"/>
        </w:rPr>
        <w:t>HRI/GEN/1/Rev.7 at 194 (1996).</w:t>
      </w:r>
    </w:p>
  </w:footnote>
  <w:footnote w:id="109">
    <w:p w:rsidR="00887731" w:rsidRPr="00562DB8" w:rsidRDefault="00887731" w:rsidP="004551E9">
      <w:pPr>
        <w:pStyle w:val="Pie"/>
        <w:rPr>
          <w:lang w:val="en-US"/>
        </w:rPr>
      </w:pPr>
      <w:r w:rsidRPr="00597337">
        <w:rPr>
          <w:rStyle w:val="Refdenotaalpie"/>
        </w:rPr>
        <w:footnoteRef/>
      </w:r>
      <w:r w:rsidRPr="00562DB8">
        <w:rPr>
          <w:lang w:val="en-US"/>
        </w:rPr>
        <w:t xml:space="preserve"> </w:t>
      </w:r>
      <w:proofErr w:type="spellStart"/>
      <w:r w:rsidRPr="00562DB8">
        <w:rPr>
          <w:lang w:val="en-US"/>
        </w:rPr>
        <w:t>Véase</w:t>
      </w:r>
      <w:proofErr w:type="spellEnd"/>
      <w:r w:rsidRPr="00562DB8">
        <w:rPr>
          <w:lang w:val="en-US"/>
        </w:rPr>
        <w:t xml:space="preserve"> QUINN, G. &amp; DEGENER, T., (2002a), op. cit. pp. 49-53.</w:t>
      </w:r>
    </w:p>
  </w:footnote>
  <w:footnote w:id="110">
    <w:p w:rsidR="00887731" w:rsidRPr="00597337" w:rsidRDefault="00887731" w:rsidP="004551E9">
      <w:pPr>
        <w:pStyle w:val="Pie"/>
      </w:pPr>
      <w:r w:rsidRPr="00597337">
        <w:rPr>
          <w:rStyle w:val="Refdenotaalpie"/>
        </w:rPr>
        <w:footnoteRef/>
      </w:r>
      <w:r w:rsidRPr="00597337">
        <w:t xml:space="preserve"> Ídem, p.51.</w:t>
      </w:r>
    </w:p>
  </w:footnote>
  <w:footnote w:id="111">
    <w:p w:rsidR="00887731" w:rsidRPr="00597337" w:rsidRDefault="00887731" w:rsidP="004551E9">
      <w:pPr>
        <w:pStyle w:val="Pie"/>
      </w:pPr>
      <w:r w:rsidRPr="00597337">
        <w:rPr>
          <w:rStyle w:val="Refdenotaalpie"/>
        </w:rPr>
        <w:footnoteRef/>
      </w:r>
      <w:r w:rsidRPr="00597337">
        <w:t xml:space="preserve"> Ídem, p. 53. </w:t>
      </w:r>
    </w:p>
  </w:footnote>
  <w:footnote w:id="112">
    <w:p w:rsidR="00887731" w:rsidRPr="00597337" w:rsidRDefault="00887731" w:rsidP="004551E9">
      <w:pPr>
        <w:pStyle w:val="Pie"/>
      </w:pPr>
      <w:r w:rsidRPr="00597337">
        <w:rPr>
          <w:rStyle w:val="Refdenotaalpie"/>
        </w:rPr>
        <w:footnoteRef/>
      </w:r>
      <w:r w:rsidRPr="00597337">
        <w:t xml:space="preserve"> Ídem, p. 56. </w:t>
      </w:r>
    </w:p>
  </w:footnote>
  <w:footnote w:id="113">
    <w:p w:rsidR="00887731" w:rsidRPr="00597337" w:rsidRDefault="00887731" w:rsidP="004551E9">
      <w:pPr>
        <w:pStyle w:val="Pie"/>
      </w:pPr>
      <w:r w:rsidRPr="00597337">
        <w:rPr>
          <w:rStyle w:val="Refdenotaalpie"/>
        </w:rPr>
        <w:footnoteRef/>
      </w:r>
      <w:r w:rsidRPr="00597337">
        <w:t xml:space="preserve"> Por ejemplo véase: Observaciones Finales al Estado Belga, CCPR/C/BEL/CO/5, 18 de noviembre de 2010, párrafo 19; Observaciones Finales al Estado Argentino, CCPR/C/ARG/CO/4, 31 de marzo de 2010 párrafo 24; Observaciones Finales al Estado Noruego, CCPR/C/NOR/CO/6, 18 de noviembre de 2011, párrafo 10; Observaciones Finales al Estado Ruso, CCPR/C/RUS/CO/6, 24 de noviembre de 2009, párrafo 19, Observaciones Finales al Estado Croata CCPR/C/HRV/CO/2, 4 de noviembre de 2009, párrafo 12.</w:t>
      </w:r>
    </w:p>
  </w:footnote>
  <w:footnote w:id="114">
    <w:p w:rsidR="00887731" w:rsidRPr="00597337" w:rsidRDefault="00887731" w:rsidP="004551E9">
      <w:pPr>
        <w:pStyle w:val="Pie"/>
        <w:rPr>
          <w:lang w:val="es-AR"/>
        </w:rPr>
      </w:pPr>
      <w:r w:rsidRPr="00597337">
        <w:rPr>
          <w:rStyle w:val="Refdenotaalpie"/>
        </w:rPr>
        <w:footnoteRef/>
      </w:r>
      <w:r w:rsidRPr="00562DB8">
        <w:rPr>
          <w:lang w:val="en-US"/>
        </w:rPr>
        <w:t xml:space="preserve"> […9.The Committee regrets the continuing serious constraints on the access of persons with disabilities to education, cultural, health and </w:t>
      </w:r>
      <w:proofErr w:type="spellStart"/>
      <w:r w:rsidRPr="00562DB8">
        <w:rPr>
          <w:lang w:val="en-US"/>
        </w:rPr>
        <w:t>labour</w:t>
      </w:r>
      <w:proofErr w:type="spellEnd"/>
      <w:r w:rsidRPr="00562DB8">
        <w:rPr>
          <w:lang w:val="en-US"/>
        </w:rPr>
        <w:t xml:space="preserve"> services and on their integration and participation in society (arts. 2 and 26). The State party should increase its efforts to ensure the full integration and participation in society of persons with disabilities. In that connection, the State party should implement the provisions of the Convention on the Rights of Persons with Disabilities…] </w:t>
      </w:r>
      <w:r w:rsidRPr="00597337">
        <w:rPr>
          <w:lang w:val="es-AR"/>
        </w:rPr>
        <w:t xml:space="preserve">Observaciones Finales al Informe </w:t>
      </w:r>
      <w:proofErr w:type="gramStart"/>
      <w:r w:rsidRPr="00597337">
        <w:rPr>
          <w:lang w:val="es-AR"/>
        </w:rPr>
        <w:t>del</w:t>
      </w:r>
      <w:proofErr w:type="gramEnd"/>
      <w:r w:rsidRPr="00597337">
        <w:rPr>
          <w:lang w:val="es-AR"/>
        </w:rPr>
        <w:t xml:space="preserve"> Estado de la República Dominicana, CCPR/C/DOM/CO/5, 19 April 2012. </w:t>
      </w:r>
    </w:p>
  </w:footnote>
  <w:footnote w:id="115">
    <w:p w:rsidR="00887731" w:rsidRPr="00597337" w:rsidRDefault="00887731" w:rsidP="004551E9">
      <w:pPr>
        <w:pStyle w:val="Pie"/>
      </w:pPr>
      <w:r w:rsidRPr="00597337">
        <w:rPr>
          <w:rStyle w:val="Refdenotaalpie"/>
        </w:rPr>
        <w:footnoteRef/>
      </w:r>
      <w:r w:rsidRPr="00597337">
        <w:t xml:space="preserve"> QUINN, G. &amp; DEGENER, T., (2002a), op. cit. p. 54.</w:t>
      </w:r>
    </w:p>
  </w:footnote>
  <w:footnote w:id="116">
    <w:p w:rsidR="00887731" w:rsidRPr="00597337" w:rsidRDefault="00887731" w:rsidP="004551E9">
      <w:pPr>
        <w:pStyle w:val="Pie"/>
      </w:pPr>
      <w:r w:rsidRPr="00597337">
        <w:rPr>
          <w:rStyle w:val="Refdenotaalpie"/>
          <w:szCs w:val="18"/>
        </w:rPr>
        <w:footnoteRef/>
      </w:r>
      <w:r w:rsidRPr="00597337">
        <w:t xml:space="preserve"> Comunicación Nro. 616/1995, Dictamen aprobado por el Comité de Derechos Humanos el 28 de julio de 1999 (CCPR/C/66/D/616/1995)..</w:t>
      </w:r>
    </w:p>
  </w:footnote>
  <w:footnote w:id="117">
    <w:p w:rsidR="00887731" w:rsidRPr="00597337" w:rsidRDefault="00887731" w:rsidP="004551E9">
      <w:pPr>
        <w:pStyle w:val="Pie"/>
      </w:pPr>
      <w:r w:rsidRPr="00597337">
        <w:rPr>
          <w:rStyle w:val="Refdenotaalpie"/>
          <w:szCs w:val="18"/>
        </w:rPr>
        <w:footnoteRef/>
      </w:r>
      <w:r w:rsidRPr="00597337">
        <w:t xml:space="preserve"> Dictamen, párrafo 16: “... las condiciones descritas... equivalen a una violación del derecho del actor a ser tratado humanamente y con respeto a la dignidad inherente al ser humano y contravienen, por tanto, lo dispuesto en el párrafo 1 del art. 10...”.</w:t>
      </w:r>
    </w:p>
  </w:footnote>
  <w:footnote w:id="118">
    <w:p w:rsidR="00887731" w:rsidRPr="004551E9" w:rsidRDefault="00887731" w:rsidP="004551E9">
      <w:pPr>
        <w:pStyle w:val="Pie"/>
        <w:rPr>
          <w:lang w:val="en-US"/>
        </w:rPr>
      </w:pPr>
      <w:r w:rsidRPr="00597337">
        <w:rPr>
          <w:rStyle w:val="Refdenotaalpie"/>
          <w:szCs w:val="18"/>
        </w:rPr>
        <w:footnoteRef/>
      </w:r>
      <w:r w:rsidRPr="004551E9">
        <w:rPr>
          <w:lang w:val="en-US"/>
        </w:rPr>
        <w:t xml:space="preserve"> </w:t>
      </w:r>
      <w:r w:rsidRPr="00597337">
        <w:rPr>
          <w:rStyle w:val="PieCar"/>
          <w:lang w:val="en-US"/>
        </w:rPr>
        <w:t>QUINN, G. &amp; DEGENER, T., (2002a), op. cit</w:t>
      </w:r>
      <w:proofErr w:type="gramStart"/>
      <w:r w:rsidRPr="00597337">
        <w:rPr>
          <w:rStyle w:val="PieCar"/>
          <w:lang w:val="en-US"/>
        </w:rPr>
        <w:t>.</w:t>
      </w:r>
      <w:r w:rsidRPr="004551E9">
        <w:rPr>
          <w:lang w:val="en-US"/>
        </w:rPr>
        <w:t>.</w:t>
      </w:r>
      <w:proofErr w:type="gramEnd"/>
      <w:r w:rsidRPr="004551E9">
        <w:rPr>
          <w:lang w:val="en-US"/>
        </w:rPr>
        <w:t>p.65; LAWSON, A., (2006-2007), “The United Nations Convention on the Rights of Persons with Disabilities: New Era or False Dawn?</w:t>
      </w:r>
      <w:proofErr w:type="gramStart"/>
      <w:r w:rsidRPr="004551E9">
        <w:rPr>
          <w:lang w:val="en-US"/>
        </w:rPr>
        <w:t>”,</w:t>
      </w:r>
      <w:proofErr w:type="gramEnd"/>
      <w:r w:rsidRPr="004551E9">
        <w:rPr>
          <w:lang w:val="en-US"/>
        </w:rPr>
        <w:t xml:space="preserve"> </w:t>
      </w:r>
      <w:r w:rsidRPr="004551E9">
        <w:rPr>
          <w:i/>
          <w:lang w:val="en-US"/>
        </w:rPr>
        <w:t>Syracuse Journal of International Law and Commerce</w:t>
      </w:r>
      <w:r w:rsidRPr="004551E9">
        <w:rPr>
          <w:lang w:val="en-US"/>
        </w:rPr>
        <w:t>, vol., 34, pp. 578-579.</w:t>
      </w:r>
    </w:p>
  </w:footnote>
  <w:footnote w:id="119">
    <w:p w:rsidR="00887731" w:rsidRPr="00597337" w:rsidRDefault="00887731" w:rsidP="004551E9">
      <w:pPr>
        <w:pStyle w:val="Pie"/>
      </w:pPr>
      <w:r w:rsidRPr="00597337">
        <w:rPr>
          <w:rStyle w:val="Refdenotaalpie"/>
        </w:rPr>
        <w:footnoteRef/>
      </w:r>
      <w:r w:rsidRPr="00597337">
        <w:t xml:space="preserve"> Adoptado y abierto a la firma, ratificación y adhesión por la Asamblea General en su resolución 2200 A (XXI), de 16 de diciembre de 1966,  Entrada en vigor: 3 de enero de 1976.</w:t>
      </w:r>
    </w:p>
  </w:footnote>
  <w:footnote w:id="120">
    <w:p w:rsidR="00887731" w:rsidRPr="00597337" w:rsidRDefault="00887731" w:rsidP="004551E9">
      <w:pPr>
        <w:pStyle w:val="Pie"/>
      </w:pPr>
      <w:r w:rsidRPr="00597337">
        <w:rPr>
          <w:rStyle w:val="Refdenotaalpie"/>
        </w:rPr>
        <w:footnoteRef/>
      </w:r>
      <w:r w:rsidRPr="00597337">
        <w:t xml:space="preserve"> ANSUATEGUI ROIG, F. J., (2010) “Argumentos para una teoría de los derechos sociales”, en </w:t>
      </w:r>
      <w:r w:rsidRPr="00597337">
        <w:rPr>
          <w:i/>
        </w:rPr>
        <w:t>Los Derechos Sociales en el Siglo XXI. Un desafío clave para el Derechos y la justicia</w:t>
      </w:r>
      <w:r w:rsidRPr="00597337">
        <w:t>, RIBOTTA, S. &amp; ROSSETTI, A., (eds.), Madrid, Dykinson.</w:t>
      </w:r>
    </w:p>
  </w:footnote>
  <w:footnote w:id="121">
    <w:p w:rsidR="00887731" w:rsidRPr="00597337" w:rsidRDefault="00887731" w:rsidP="004551E9">
      <w:pPr>
        <w:pStyle w:val="Pie"/>
        <w:rPr>
          <w:lang w:val="es-AR"/>
        </w:rPr>
      </w:pPr>
      <w:r w:rsidRPr="00597337">
        <w:rPr>
          <w:rStyle w:val="Refdenotaalpie"/>
        </w:rPr>
        <w:footnoteRef/>
      </w:r>
      <w:r w:rsidRPr="00597337">
        <w:rPr>
          <w:lang w:val="es-AR"/>
        </w:rPr>
        <w:t xml:space="preserve"> Observación General n°20 del Comité </w:t>
      </w:r>
      <w:r w:rsidRPr="00597337">
        <w:t xml:space="preserve">de Derechos Económicos, Sociales y Culturales, “La no discriminación y los derechos económicos, sociales y culturales (artículo 2, párrafo 2 del Pacto Internacional de Derechos Económicos, Sociales y Culturales)”, E/C.12/GC/20, 2 de julio de 2009. </w:t>
      </w:r>
    </w:p>
  </w:footnote>
  <w:footnote w:id="122">
    <w:p w:rsidR="00887731" w:rsidRPr="00597337" w:rsidRDefault="00887731" w:rsidP="004551E9">
      <w:pPr>
        <w:pStyle w:val="Pie"/>
      </w:pPr>
      <w:r w:rsidRPr="00597337">
        <w:rPr>
          <w:rStyle w:val="Refdenotaalpie"/>
        </w:rPr>
        <w:footnoteRef/>
      </w:r>
      <w:r w:rsidRPr="00597337">
        <w:t xml:space="preserve"> Ídem, párrafo 7. </w:t>
      </w:r>
    </w:p>
  </w:footnote>
  <w:footnote w:id="123">
    <w:p w:rsidR="00887731" w:rsidRPr="00597337" w:rsidRDefault="00887731" w:rsidP="004551E9">
      <w:pPr>
        <w:pStyle w:val="Pie"/>
      </w:pPr>
      <w:r w:rsidRPr="00597337">
        <w:rPr>
          <w:rStyle w:val="Refdenotaalpie"/>
        </w:rPr>
        <w:footnoteRef/>
      </w:r>
      <w:r w:rsidRPr="00597337">
        <w:t xml:space="preserve"> Ídem, párrafo 8. </w:t>
      </w:r>
    </w:p>
  </w:footnote>
  <w:footnote w:id="124">
    <w:p w:rsidR="00887731" w:rsidRPr="00597337" w:rsidRDefault="00887731" w:rsidP="004551E9">
      <w:pPr>
        <w:pStyle w:val="Pie"/>
      </w:pPr>
      <w:r w:rsidRPr="00597337">
        <w:rPr>
          <w:rStyle w:val="Refdenotaalpie"/>
        </w:rPr>
        <w:footnoteRef/>
      </w:r>
      <w:r w:rsidRPr="00597337">
        <w:t xml:space="preserve"> Ídem, párrafos 10-12.</w:t>
      </w:r>
    </w:p>
  </w:footnote>
  <w:footnote w:id="125">
    <w:p w:rsidR="00887731" w:rsidRPr="00597337" w:rsidRDefault="00887731" w:rsidP="004551E9">
      <w:pPr>
        <w:pStyle w:val="Pie"/>
      </w:pPr>
      <w:r w:rsidRPr="00597337">
        <w:rPr>
          <w:rStyle w:val="Refdenotaalpie"/>
        </w:rPr>
        <w:footnoteRef/>
      </w:r>
      <w:r w:rsidRPr="00597337">
        <w:t xml:space="preserve"> Ídem, párrafos 27-28. </w:t>
      </w:r>
    </w:p>
  </w:footnote>
  <w:footnote w:id="126">
    <w:p w:rsidR="00887731" w:rsidRPr="00597337" w:rsidRDefault="00887731" w:rsidP="004551E9">
      <w:pPr>
        <w:pStyle w:val="Pie"/>
      </w:pPr>
      <w:r w:rsidRPr="00597337">
        <w:rPr>
          <w:rStyle w:val="Refdenotaalpie"/>
        </w:rPr>
        <w:footnoteRef/>
      </w:r>
      <w:r w:rsidRPr="00597337">
        <w:t xml:space="preserve"> Observación general Nº 3, La índole de las obligaciones de los Estados Partes (párrafo 1 del artículo 2 del Pacto), </w:t>
      </w:r>
      <w:r w:rsidRPr="00597337">
        <w:rPr>
          <w:lang w:val="es-ES_tradnl"/>
        </w:rPr>
        <w:t xml:space="preserve">aprobada por el Comité de Derechos Económicos, Sociales y Culturales en 1990, </w:t>
      </w:r>
      <w:r w:rsidRPr="00597337">
        <w:t>párrafos 1-9. (HRI/GEN/1/Rev.9 (Vol.I)).</w:t>
      </w:r>
    </w:p>
  </w:footnote>
  <w:footnote w:id="127">
    <w:p w:rsidR="00887731" w:rsidRPr="00597337" w:rsidRDefault="00887731" w:rsidP="004551E9">
      <w:pPr>
        <w:pStyle w:val="Pie"/>
        <w:rPr>
          <w:lang w:val="es-AR"/>
        </w:rPr>
      </w:pPr>
      <w:r w:rsidRPr="00597337">
        <w:rPr>
          <w:rStyle w:val="Refdenotaalpie"/>
        </w:rPr>
        <w:footnoteRef/>
      </w:r>
      <w:r w:rsidRPr="00597337">
        <w:rPr>
          <w:lang w:val="es-AR"/>
        </w:rPr>
        <w:t xml:space="preserve"> </w:t>
      </w:r>
      <w:r w:rsidRPr="00597337">
        <w:rPr>
          <w:lang w:val="es-ES_tradnl"/>
        </w:rPr>
        <w:t xml:space="preserve">Observación General Nro. 5, las personas con discapacidad, aprobada por el Comité de Derechos Económicos, Sociales y Culturales en 1994. </w:t>
      </w:r>
      <w:r w:rsidRPr="00597337">
        <w:t>(HRI/GEN/1/Rev.9 (Vol.I)).</w:t>
      </w:r>
    </w:p>
  </w:footnote>
  <w:footnote w:id="128">
    <w:p w:rsidR="00887731" w:rsidRPr="00597337" w:rsidRDefault="00887731" w:rsidP="004551E9">
      <w:pPr>
        <w:pStyle w:val="Pie"/>
      </w:pPr>
      <w:r w:rsidRPr="00597337">
        <w:rPr>
          <w:rStyle w:val="Refdenotaalpie"/>
        </w:rPr>
        <w:footnoteRef/>
      </w:r>
      <w:r w:rsidRPr="00597337">
        <w:t xml:space="preserve"> Ídem, párrafo 7. </w:t>
      </w:r>
    </w:p>
  </w:footnote>
  <w:footnote w:id="129">
    <w:p w:rsidR="00887731" w:rsidRPr="00597337" w:rsidRDefault="00887731" w:rsidP="004551E9">
      <w:pPr>
        <w:pStyle w:val="Pie"/>
      </w:pPr>
      <w:r w:rsidRPr="00597337">
        <w:rPr>
          <w:rStyle w:val="Refdenotaalpie"/>
        </w:rPr>
        <w:footnoteRef/>
      </w:r>
      <w:r w:rsidRPr="00597337">
        <w:t xml:space="preserve"> Por ejemplo la última Observación General adoptada por el CteDESC sobre participación cultural, al abordar este derecho en el ámbito de la discapacidad, además de referirse a las Normas Uniformes, también lo hace respecto del artículo 30 de la CDPD. Observación general Nº 21, Derecho de toda persona a participar en la vida cultural (artículo 15, párrafo 1 a), del Pacto Internacional de Derechos Económicos, Sociales y Culturas), E/C.12/GC/21/Rev.1, 17 de mayo de 2010, párrafos 30-31. </w:t>
      </w:r>
    </w:p>
  </w:footnote>
  <w:footnote w:id="130">
    <w:p w:rsidR="00887731" w:rsidRPr="00597337" w:rsidRDefault="00887731" w:rsidP="004551E9">
      <w:pPr>
        <w:pStyle w:val="Pie"/>
      </w:pPr>
      <w:r w:rsidRPr="00597337">
        <w:rPr>
          <w:rStyle w:val="Refdenotaalpie"/>
          <w:szCs w:val="20"/>
        </w:rPr>
        <w:footnoteRef/>
      </w:r>
      <w:r w:rsidRPr="00597337">
        <w:t xml:space="preserve"> Observación General Nro. 5, párrafo 11.</w:t>
      </w:r>
    </w:p>
  </w:footnote>
  <w:footnote w:id="131">
    <w:p w:rsidR="00887731" w:rsidRPr="00597337" w:rsidRDefault="00887731" w:rsidP="004551E9">
      <w:pPr>
        <w:pStyle w:val="Pie"/>
      </w:pPr>
      <w:r w:rsidRPr="00597337">
        <w:rPr>
          <w:rStyle w:val="Refdenotaalpie"/>
          <w:szCs w:val="20"/>
        </w:rPr>
        <w:footnoteRef/>
      </w:r>
      <w:r w:rsidRPr="00597337">
        <w:t xml:space="preserve"> Ídem, párrafo 9.</w:t>
      </w:r>
    </w:p>
  </w:footnote>
  <w:footnote w:id="132">
    <w:p w:rsidR="00887731" w:rsidRPr="00597337" w:rsidRDefault="00887731" w:rsidP="004551E9">
      <w:pPr>
        <w:pStyle w:val="Pie"/>
      </w:pPr>
      <w:r w:rsidRPr="00597337">
        <w:rPr>
          <w:rStyle w:val="Refdenotaalpie"/>
        </w:rPr>
        <w:footnoteRef/>
      </w:r>
      <w:r w:rsidRPr="00597337">
        <w:t xml:space="preserve"> La traducción oficial de la Observación General n° 5 habla de “alojamiento razonable” aunque se trata de una acepción no utilizada en castellano. A la luz de la CDPD, el correcto término es el de “ajustes razonables”.  </w:t>
      </w:r>
    </w:p>
  </w:footnote>
  <w:footnote w:id="133">
    <w:p w:rsidR="00887731" w:rsidRPr="00597337" w:rsidRDefault="00887731" w:rsidP="004551E9">
      <w:pPr>
        <w:pStyle w:val="Pie"/>
      </w:pPr>
      <w:r w:rsidRPr="00597337">
        <w:rPr>
          <w:rStyle w:val="Refdenotaalpie"/>
        </w:rPr>
        <w:footnoteRef/>
      </w:r>
      <w:r w:rsidRPr="00597337">
        <w:t xml:space="preserve"> Observación general Nº 13, El derecho a la educación (artículo 13), </w:t>
      </w:r>
      <w:r w:rsidRPr="00597337">
        <w:rPr>
          <w:lang w:val="es-ES_tradnl"/>
        </w:rPr>
        <w:t xml:space="preserve">aprobada por el Comité de Derechos Económicos, Sociales y Culturales en 1999, </w:t>
      </w:r>
      <w:r w:rsidRPr="00597337">
        <w:t>(HRI/GEN/1/Rev.9 (</w:t>
      </w:r>
      <w:proofErr w:type="spellStart"/>
      <w:r w:rsidRPr="00597337">
        <w:t>Vol.I</w:t>
      </w:r>
      <w:proofErr w:type="spellEnd"/>
      <w:r w:rsidRPr="00597337">
        <w:t>)).</w:t>
      </w:r>
    </w:p>
  </w:footnote>
  <w:footnote w:id="134">
    <w:p w:rsidR="00887731" w:rsidRPr="00597337" w:rsidRDefault="00887731" w:rsidP="004551E9">
      <w:pPr>
        <w:pStyle w:val="Pie"/>
      </w:pPr>
      <w:r w:rsidRPr="00597337">
        <w:rPr>
          <w:rStyle w:val="Refdenotaalpie"/>
        </w:rPr>
        <w:footnoteRef/>
      </w:r>
      <w:r w:rsidRPr="00597337">
        <w:t xml:space="preserve"> Ídem, párrafo 31. </w:t>
      </w:r>
    </w:p>
  </w:footnote>
  <w:footnote w:id="135">
    <w:p w:rsidR="00887731" w:rsidRPr="00597337" w:rsidRDefault="00887731" w:rsidP="004551E9">
      <w:pPr>
        <w:pStyle w:val="Pie"/>
      </w:pPr>
      <w:r w:rsidRPr="00597337">
        <w:rPr>
          <w:rStyle w:val="Refdenotaalpie"/>
        </w:rPr>
        <w:footnoteRef/>
      </w:r>
      <w:r w:rsidRPr="00597337">
        <w:t xml:space="preserve"> Observación general Nº 13, El derecho a la educación (artículo 13), párrafo 33. </w:t>
      </w:r>
    </w:p>
  </w:footnote>
  <w:footnote w:id="136">
    <w:p w:rsidR="00887731" w:rsidRPr="00597337" w:rsidRDefault="00887731" w:rsidP="004551E9">
      <w:pPr>
        <w:pStyle w:val="Pie"/>
        <w:rPr>
          <w:lang w:val="es-AR"/>
        </w:rPr>
      </w:pPr>
      <w:r w:rsidRPr="00597337">
        <w:rPr>
          <w:rStyle w:val="Refdenotaalpie"/>
        </w:rPr>
        <w:footnoteRef/>
      </w:r>
      <w:r w:rsidRPr="00597337">
        <w:t xml:space="preserve"> QUINN, G. &amp; DEGENER, T., (2002a), op. cit. p. 67.</w:t>
      </w:r>
    </w:p>
  </w:footnote>
  <w:footnote w:id="137">
    <w:p w:rsidR="00887731" w:rsidRPr="00597337" w:rsidRDefault="00887731" w:rsidP="004551E9">
      <w:pPr>
        <w:pStyle w:val="Pie"/>
      </w:pPr>
      <w:r w:rsidRPr="00597337">
        <w:rPr>
          <w:rStyle w:val="Refdenotaalpie"/>
        </w:rPr>
        <w:footnoteRef/>
      </w:r>
      <w:r w:rsidRPr="00597337">
        <w:t xml:space="preserve"> Observación general Nº 14 (2000). El derecho al disfrute del más alto nivel posible de salud (artículo 12 del Pacto Internacional de Derechos Económicos, Sociales y Culturales), E/C.12/2000/4, 11 de agosto de 2000, párrafo 11. </w:t>
      </w:r>
    </w:p>
  </w:footnote>
  <w:footnote w:id="138">
    <w:p w:rsidR="00887731" w:rsidRPr="00597337" w:rsidRDefault="00887731" w:rsidP="004551E9">
      <w:pPr>
        <w:pStyle w:val="Pie"/>
      </w:pPr>
      <w:r w:rsidRPr="00597337">
        <w:rPr>
          <w:rStyle w:val="Refdenotaalpie"/>
        </w:rPr>
        <w:footnoteRef/>
      </w:r>
      <w:r w:rsidRPr="00597337">
        <w:t xml:space="preserve"> Ídem, párrafo 3.</w:t>
      </w:r>
    </w:p>
  </w:footnote>
  <w:footnote w:id="139">
    <w:p w:rsidR="00887731" w:rsidRPr="00597337" w:rsidRDefault="00887731" w:rsidP="004551E9">
      <w:pPr>
        <w:pStyle w:val="Pie"/>
      </w:pPr>
      <w:r w:rsidRPr="00597337">
        <w:rPr>
          <w:rStyle w:val="Refdenotaalpie"/>
        </w:rPr>
        <w:footnoteRef/>
      </w:r>
      <w:r w:rsidRPr="00597337">
        <w:t xml:space="preserve"> Ídem, párrafo 8.</w:t>
      </w:r>
    </w:p>
  </w:footnote>
  <w:footnote w:id="140">
    <w:p w:rsidR="00887731" w:rsidRPr="00597337" w:rsidRDefault="00887731" w:rsidP="004551E9">
      <w:pPr>
        <w:pStyle w:val="Pie"/>
      </w:pPr>
      <w:r w:rsidRPr="00597337">
        <w:rPr>
          <w:rStyle w:val="Refdenotaalpie"/>
        </w:rPr>
        <w:footnoteRef/>
      </w:r>
      <w:r w:rsidRPr="00597337">
        <w:t xml:space="preserve"> Ídem, párrafo 12. </w:t>
      </w:r>
    </w:p>
  </w:footnote>
  <w:footnote w:id="141">
    <w:p w:rsidR="00887731" w:rsidRPr="00597337" w:rsidRDefault="00887731" w:rsidP="004551E9">
      <w:pPr>
        <w:pStyle w:val="Pie"/>
      </w:pPr>
      <w:r w:rsidRPr="00597337">
        <w:rPr>
          <w:rStyle w:val="Refdenotaalpie"/>
        </w:rPr>
        <w:footnoteRef/>
      </w:r>
      <w:r w:rsidRPr="00597337">
        <w:t xml:space="preserve"> Ídem, párrafo, 30.</w:t>
      </w:r>
    </w:p>
  </w:footnote>
  <w:footnote w:id="142">
    <w:p w:rsidR="00887731" w:rsidRPr="00597337" w:rsidRDefault="00887731" w:rsidP="004551E9">
      <w:pPr>
        <w:pStyle w:val="Pie"/>
      </w:pPr>
      <w:r w:rsidRPr="00597337">
        <w:rPr>
          <w:rStyle w:val="Refdenotaalpie"/>
        </w:rPr>
        <w:footnoteRef/>
      </w:r>
      <w:r w:rsidRPr="00597337">
        <w:t xml:space="preserve"> Ídem, párrafo 26. </w:t>
      </w:r>
    </w:p>
  </w:footnote>
  <w:footnote w:id="143">
    <w:p w:rsidR="00887731" w:rsidRPr="00597337" w:rsidRDefault="00887731" w:rsidP="004551E9">
      <w:pPr>
        <w:pStyle w:val="Pie"/>
      </w:pPr>
      <w:r w:rsidRPr="00597337">
        <w:rPr>
          <w:rStyle w:val="Refdenotaalpie"/>
        </w:rPr>
        <w:footnoteRef/>
      </w:r>
      <w:r w:rsidRPr="00597337">
        <w:t xml:space="preserve"> […El derecho a la salud física y mental implica también el derecho a tener acceso a los servicios médicos y sociales </w:t>
      </w:r>
      <w:r w:rsidRPr="00597337">
        <w:noBreakHyphen/>
        <w:t>incluidos los aparatos ortopédicos</w:t>
      </w:r>
      <w:r w:rsidRPr="00597337">
        <w:noBreakHyphen/>
        <w:t xml:space="preserve"> y a beneficiarse de dichos servicios, para que las personas con discapacidad puedan ser autónomas, evitar otras discapacidades y promover su integración social…] Observación General Nro. 5, párrafo 34</w:t>
      </w:r>
    </w:p>
  </w:footnote>
  <w:footnote w:id="144">
    <w:p w:rsidR="00887731" w:rsidRPr="00597337" w:rsidRDefault="00887731" w:rsidP="004551E9">
      <w:pPr>
        <w:pStyle w:val="Pie"/>
        <w:rPr>
          <w:lang w:val="es-AR"/>
        </w:rPr>
      </w:pPr>
      <w:r w:rsidRPr="00597337">
        <w:rPr>
          <w:rStyle w:val="Refdenotaalpie"/>
        </w:rPr>
        <w:footnoteRef/>
      </w:r>
      <w:r w:rsidRPr="00597337">
        <w:t xml:space="preserve"> Ídem, párrafo 34. </w:t>
      </w:r>
    </w:p>
  </w:footnote>
  <w:footnote w:id="145">
    <w:p w:rsidR="00887731" w:rsidRPr="00597337" w:rsidRDefault="00887731" w:rsidP="004551E9">
      <w:pPr>
        <w:pStyle w:val="Pie"/>
      </w:pPr>
      <w:r w:rsidRPr="00597337">
        <w:rPr>
          <w:rStyle w:val="Refdenotaalpie"/>
        </w:rPr>
        <w:footnoteRef/>
      </w:r>
      <w:r w:rsidRPr="00597337">
        <w:t xml:space="preserve"> Observación general Nº 18, derecho al trabajo, (Artículo 6 del Pacto Internacional de Derecho Económicos, Sociales y Culturales), E/C.12/GC/18, 6 de febrero de 2006, párrafo 12.</w:t>
      </w:r>
    </w:p>
  </w:footnote>
  <w:footnote w:id="146">
    <w:p w:rsidR="00887731" w:rsidRPr="00597337" w:rsidRDefault="00887731" w:rsidP="004551E9">
      <w:pPr>
        <w:pStyle w:val="Pie"/>
      </w:pPr>
      <w:r w:rsidRPr="00597337">
        <w:rPr>
          <w:rStyle w:val="Refdenotaalpie"/>
        </w:rPr>
        <w:footnoteRef/>
      </w:r>
      <w:r w:rsidRPr="00597337">
        <w:t xml:space="preserve"> Ídem, párrafo 19.</w:t>
      </w:r>
    </w:p>
  </w:footnote>
  <w:footnote w:id="147">
    <w:p w:rsidR="00887731" w:rsidRPr="00597337" w:rsidRDefault="00887731" w:rsidP="004551E9">
      <w:pPr>
        <w:pStyle w:val="Pie"/>
      </w:pPr>
      <w:r w:rsidRPr="00597337">
        <w:rPr>
          <w:rStyle w:val="Refdenotaalpie"/>
        </w:rPr>
        <w:footnoteRef/>
      </w:r>
      <w:r w:rsidRPr="00597337">
        <w:t xml:space="preserve"> Ídem, párrafo 17.</w:t>
      </w:r>
    </w:p>
  </w:footnote>
  <w:footnote w:id="148">
    <w:p w:rsidR="00887731" w:rsidRPr="00597337" w:rsidRDefault="00887731" w:rsidP="004551E9">
      <w:pPr>
        <w:pStyle w:val="Pie"/>
      </w:pPr>
      <w:r w:rsidRPr="00597337">
        <w:rPr>
          <w:rStyle w:val="Refdenotaalpie"/>
        </w:rPr>
        <w:footnoteRef/>
      </w:r>
      <w:r w:rsidRPr="00597337">
        <w:t xml:space="preserve"> Observación General Nro. 5, párrafo 20. </w:t>
      </w:r>
    </w:p>
  </w:footnote>
  <w:footnote w:id="149">
    <w:p w:rsidR="00887731" w:rsidRPr="00597337" w:rsidRDefault="00887731" w:rsidP="004551E9">
      <w:pPr>
        <w:pStyle w:val="Pie"/>
      </w:pPr>
      <w:r w:rsidRPr="00597337">
        <w:rPr>
          <w:rStyle w:val="Refdenotaalpie"/>
        </w:rPr>
        <w:footnoteRef/>
      </w:r>
      <w:r w:rsidRPr="00597337">
        <w:t xml:space="preserve"> Ídem, párrafos 22-23.</w:t>
      </w:r>
    </w:p>
  </w:footnote>
  <w:footnote w:id="150">
    <w:p w:rsidR="00887731" w:rsidRPr="00597337" w:rsidRDefault="00887731" w:rsidP="004551E9">
      <w:pPr>
        <w:pStyle w:val="Pie"/>
      </w:pPr>
      <w:r w:rsidRPr="00597337">
        <w:rPr>
          <w:rStyle w:val="Refdenotaalpie"/>
        </w:rPr>
        <w:footnoteRef/>
      </w:r>
      <w:r w:rsidRPr="00597337">
        <w:t xml:space="preserve"> Observación General No. 19. El derecho a la seguridad social, Comité DESC, ﻿﻿E/C.12/GC/19, 4 de febrero de 2008, párrafo 2. </w:t>
      </w:r>
    </w:p>
  </w:footnote>
  <w:footnote w:id="151">
    <w:p w:rsidR="00887731" w:rsidRPr="00597337" w:rsidRDefault="00887731" w:rsidP="004551E9">
      <w:pPr>
        <w:pStyle w:val="Pie"/>
      </w:pPr>
      <w:r w:rsidRPr="00597337">
        <w:rPr>
          <w:rStyle w:val="Refdenotaalpie"/>
        </w:rPr>
        <w:footnoteRef/>
      </w:r>
      <w:r w:rsidRPr="00597337">
        <w:t xml:space="preserve"> </w:t>
      </w:r>
      <w:proofErr w:type="spellStart"/>
      <w:r w:rsidRPr="00597337">
        <w:t>Idem</w:t>
      </w:r>
      <w:proofErr w:type="spellEnd"/>
      <w:r w:rsidRPr="00597337">
        <w:t xml:space="preserve">, párrafo 20. </w:t>
      </w:r>
    </w:p>
  </w:footnote>
  <w:footnote w:id="152">
    <w:p w:rsidR="00887731" w:rsidRPr="00597337" w:rsidRDefault="00887731" w:rsidP="004551E9">
      <w:pPr>
        <w:pStyle w:val="Pie"/>
      </w:pPr>
      <w:r w:rsidRPr="00597337">
        <w:rPr>
          <w:rStyle w:val="Refdenotaalpie"/>
        </w:rPr>
        <w:footnoteRef/>
      </w:r>
      <w:r w:rsidRPr="00597337">
        <w:t xml:space="preserve"> Observación General Nro. 5, párrafos 28 y 29.</w:t>
      </w:r>
    </w:p>
  </w:footnote>
  <w:footnote w:id="153">
    <w:p w:rsidR="00887731" w:rsidRPr="00597337" w:rsidRDefault="00887731" w:rsidP="004551E9">
      <w:pPr>
        <w:pStyle w:val="Pie"/>
      </w:pPr>
      <w:r w:rsidRPr="00597337">
        <w:rPr>
          <w:rStyle w:val="Refdenotaalpie"/>
        </w:rPr>
        <w:footnoteRef/>
      </w:r>
      <w:r w:rsidRPr="00597337">
        <w:t xml:space="preserve"> Observación General Nro. 5, párrafo 30.</w:t>
      </w:r>
    </w:p>
  </w:footnote>
  <w:footnote w:id="154">
    <w:p w:rsidR="00887731" w:rsidRPr="00597337" w:rsidRDefault="00887731" w:rsidP="004551E9">
      <w:pPr>
        <w:pStyle w:val="Pie"/>
      </w:pPr>
      <w:r w:rsidRPr="00597337">
        <w:rPr>
          <w:rStyle w:val="Refdenotaalpie"/>
        </w:rPr>
        <w:footnoteRef/>
      </w:r>
      <w:r w:rsidRPr="00597337">
        <w:t xml:space="preserve"> Ídem, párrafo 31. </w:t>
      </w:r>
    </w:p>
  </w:footnote>
  <w:footnote w:id="155">
    <w:p w:rsidR="00887731" w:rsidRPr="00597337" w:rsidRDefault="00887731" w:rsidP="004551E9">
      <w:pPr>
        <w:pStyle w:val="Pie"/>
      </w:pPr>
      <w:r w:rsidRPr="00597337">
        <w:rPr>
          <w:rStyle w:val="Refdenotaalpie"/>
        </w:rPr>
        <w:footnoteRef/>
      </w:r>
      <w:r w:rsidRPr="00597337">
        <w:t xml:space="preserve"> Ídem, párrafo 32. </w:t>
      </w:r>
    </w:p>
  </w:footnote>
  <w:footnote w:id="156">
    <w:p w:rsidR="00887731" w:rsidRPr="00597337" w:rsidRDefault="00887731" w:rsidP="004551E9">
      <w:pPr>
        <w:pStyle w:val="Pie"/>
      </w:pPr>
      <w:r w:rsidRPr="00597337">
        <w:rPr>
          <w:rStyle w:val="Refdenotaalpie"/>
        </w:rPr>
        <w:footnoteRef/>
      </w:r>
      <w:r w:rsidRPr="00597337">
        <w:t xml:space="preserve"> Observación general 4, El derecho a una vivienda adecuada (párrafo 1 del artículo 11 del Pacto), (Sexto período de sesiones, 1991), U.N. Doc. E/1991/23 (1991), párrafo 8.</w:t>
      </w:r>
    </w:p>
  </w:footnote>
  <w:footnote w:id="157">
    <w:p w:rsidR="00887731" w:rsidRPr="00597337" w:rsidRDefault="00887731" w:rsidP="004551E9">
      <w:pPr>
        <w:pStyle w:val="Pie"/>
      </w:pPr>
      <w:r w:rsidRPr="00597337">
        <w:rPr>
          <w:rStyle w:val="Refdenotaalpie"/>
        </w:rPr>
        <w:footnoteRef/>
      </w:r>
      <w:r w:rsidRPr="00597337">
        <w:t xml:space="preserve"> Ídem, párrafo 11.</w:t>
      </w:r>
    </w:p>
  </w:footnote>
  <w:footnote w:id="158">
    <w:p w:rsidR="00887731" w:rsidRPr="00597337" w:rsidRDefault="00887731" w:rsidP="004551E9">
      <w:pPr>
        <w:pStyle w:val="Pie"/>
      </w:pPr>
      <w:r w:rsidRPr="00597337">
        <w:rPr>
          <w:rStyle w:val="Refdenotaalpie"/>
        </w:rPr>
        <w:footnoteRef/>
      </w:r>
      <w:r w:rsidRPr="00597337">
        <w:t xml:space="preserve"> Observación General Nro. 5, párrafo 33.</w:t>
      </w:r>
    </w:p>
  </w:footnote>
  <w:footnote w:id="159">
    <w:p w:rsidR="00887731" w:rsidRPr="00597337" w:rsidRDefault="00887731" w:rsidP="004551E9">
      <w:pPr>
        <w:pStyle w:val="Pie"/>
      </w:pPr>
      <w:r w:rsidRPr="00597337">
        <w:rPr>
          <w:rStyle w:val="Refdenotaalpie"/>
        </w:rPr>
        <w:footnoteRef/>
      </w:r>
      <w:r w:rsidRPr="00597337">
        <w:t xml:space="preserve"> Observación general 12, El derecho a una alimentación adecuada (art. 11), (20º período de sesiones, 1999), U.N. Doc. E/C.12/1999/5 (1999), párrafo 4.</w:t>
      </w:r>
    </w:p>
  </w:footnote>
  <w:footnote w:id="160">
    <w:p w:rsidR="00887731" w:rsidRPr="00597337" w:rsidRDefault="00887731" w:rsidP="004551E9">
      <w:pPr>
        <w:pStyle w:val="Pie"/>
      </w:pPr>
      <w:r w:rsidRPr="00597337">
        <w:rPr>
          <w:rStyle w:val="Refdenotaalpie"/>
        </w:rPr>
        <w:footnoteRef/>
      </w:r>
      <w:r w:rsidRPr="00597337">
        <w:t xml:space="preserve"> Ídem, párrafo 13.</w:t>
      </w:r>
    </w:p>
  </w:footnote>
  <w:footnote w:id="161">
    <w:p w:rsidR="00887731" w:rsidRPr="00597337" w:rsidRDefault="00887731" w:rsidP="004551E9">
      <w:pPr>
        <w:pStyle w:val="Pie"/>
      </w:pPr>
      <w:r w:rsidRPr="00597337">
        <w:rPr>
          <w:rStyle w:val="Refdenotaalpie"/>
        </w:rPr>
        <w:footnoteRef/>
      </w:r>
      <w:r w:rsidRPr="00597337">
        <w:t xml:space="preserve"> Observación general 15, El derecho al agua (artículos 11 y 12 del Pacto), (29º período de sesiones 2002), U.N. Doc. HRI/GEN/1/Rev.7 at 117 (2002), párrafos 2 y 3.</w:t>
      </w:r>
    </w:p>
  </w:footnote>
  <w:footnote w:id="162">
    <w:p w:rsidR="00887731" w:rsidRPr="00597337" w:rsidRDefault="00887731" w:rsidP="004551E9">
      <w:pPr>
        <w:pStyle w:val="Pie"/>
      </w:pPr>
      <w:r w:rsidRPr="00597337">
        <w:rPr>
          <w:rStyle w:val="Refdenotaalpie"/>
        </w:rPr>
        <w:footnoteRef/>
      </w:r>
      <w:r w:rsidRPr="00597337">
        <w:t xml:space="preserve"> Ídem, párrafo 16.</w:t>
      </w:r>
    </w:p>
  </w:footnote>
  <w:footnote w:id="163">
    <w:p w:rsidR="00887731" w:rsidRPr="00597337" w:rsidRDefault="00887731" w:rsidP="004551E9">
      <w:pPr>
        <w:pStyle w:val="Pie"/>
      </w:pPr>
      <w:r w:rsidRPr="00597337">
        <w:rPr>
          <w:rStyle w:val="Refdenotaalpie"/>
        </w:rPr>
        <w:footnoteRef/>
      </w:r>
      <w:r w:rsidRPr="00597337">
        <w:t xml:space="preserve"> Observación General Nro. 5, párrafo 33.</w:t>
      </w:r>
    </w:p>
  </w:footnote>
  <w:footnote w:id="164">
    <w:p w:rsidR="00887731" w:rsidRPr="00597337" w:rsidRDefault="00887731" w:rsidP="004551E9">
      <w:pPr>
        <w:pStyle w:val="Pie"/>
      </w:pPr>
      <w:r w:rsidRPr="00597337">
        <w:rPr>
          <w:rStyle w:val="Refdenotaalpie"/>
        </w:rPr>
        <w:footnoteRef/>
      </w:r>
      <w:r w:rsidRPr="00597337">
        <w:t xml:space="preserve"> Observación General nº 17, Derecho de toda persona a beneficiarse de la protección de los intereses morales y materiales que le correspondan por razón de las producciones científicas, literarias o artísticas de que sea autor(a) (apartado c) del párrafo 1 del artículo 15 del Pacto), E/C.12/GC/17, 12 de enero de 2006, párrafo 1.</w:t>
      </w:r>
    </w:p>
  </w:footnote>
  <w:footnote w:id="165">
    <w:p w:rsidR="00887731" w:rsidRPr="00597337" w:rsidRDefault="00887731" w:rsidP="004551E9">
      <w:pPr>
        <w:pStyle w:val="Pie"/>
      </w:pPr>
      <w:r w:rsidRPr="00597337">
        <w:rPr>
          <w:rStyle w:val="Refdenotaalpie"/>
        </w:rPr>
        <w:footnoteRef/>
      </w:r>
      <w:r w:rsidRPr="00597337">
        <w:t xml:space="preserve"> Observación General Nro. 5, párrafo 37.</w:t>
      </w:r>
    </w:p>
  </w:footnote>
  <w:footnote w:id="166">
    <w:p w:rsidR="00887731" w:rsidRPr="00597337" w:rsidRDefault="00887731" w:rsidP="004551E9">
      <w:pPr>
        <w:pStyle w:val="Pie"/>
      </w:pPr>
      <w:r w:rsidRPr="00597337">
        <w:rPr>
          <w:rStyle w:val="Refdenotaalpie"/>
        </w:rPr>
        <w:footnoteRef/>
      </w:r>
      <w:r w:rsidRPr="00597337">
        <w:t xml:space="preserve"> Observación general Nº 21, Derecho de toda persona a participar en la vida cultural (artículo 15, párrafo 1 a), del Pacto Internacional de Derechos Económicos, Sociales y Culturas), E/C.12/GC/21/Rev.1, 17 de mayo de 2010, párrafo 6.</w:t>
      </w:r>
    </w:p>
  </w:footnote>
  <w:footnote w:id="167">
    <w:p w:rsidR="00887731" w:rsidRPr="00597337" w:rsidRDefault="00887731" w:rsidP="004551E9">
      <w:pPr>
        <w:pStyle w:val="Pie"/>
      </w:pPr>
      <w:r w:rsidRPr="00597337">
        <w:rPr>
          <w:rStyle w:val="Refdenotaalpie"/>
        </w:rPr>
        <w:footnoteRef/>
      </w:r>
      <w:r w:rsidRPr="00597337">
        <w:t xml:space="preserve"> Ídem, párrafo 11.</w:t>
      </w:r>
    </w:p>
  </w:footnote>
  <w:footnote w:id="168">
    <w:p w:rsidR="00887731" w:rsidRPr="00597337" w:rsidRDefault="00887731" w:rsidP="004551E9">
      <w:pPr>
        <w:pStyle w:val="Pie"/>
      </w:pPr>
      <w:r w:rsidRPr="00597337">
        <w:rPr>
          <w:rStyle w:val="Refdenotaalpie"/>
        </w:rPr>
        <w:footnoteRef/>
      </w:r>
      <w:r w:rsidRPr="00597337">
        <w:t xml:space="preserve"> Ídem, párrafo 13.</w:t>
      </w:r>
    </w:p>
  </w:footnote>
  <w:footnote w:id="169">
    <w:p w:rsidR="00887731" w:rsidRPr="00597337" w:rsidRDefault="00887731" w:rsidP="004551E9">
      <w:pPr>
        <w:pStyle w:val="Pie"/>
      </w:pPr>
      <w:r w:rsidRPr="00597337">
        <w:rPr>
          <w:rStyle w:val="Refdenotaalpie"/>
        </w:rPr>
        <w:footnoteRef/>
      </w:r>
      <w:r w:rsidRPr="00597337">
        <w:t xml:space="preserve"> Ídem, párrafo 16.b). </w:t>
      </w:r>
    </w:p>
  </w:footnote>
  <w:footnote w:id="170">
    <w:p w:rsidR="00887731" w:rsidRPr="00D20B0E" w:rsidRDefault="00887731" w:rsidP="004551E9">
      <w:pPr>
        <w:pStyle w:val="Pie"/>
      </w:pPr>
      <w:r w:rsidRPr="00597337">
        <w:rPr>
          <w:rStyle w:val="Refdenotaalpie"/>
        </w:rPr>
        <w:footnoteRef/>
      </w:r>
      <w:r w:rsidRPr="00D20B0E">
        <w:t xml:space="preserve"> Ídem, párrafo 31. </w:t>
      </w:r>
    </w:p>
  </w:footnote>
  <w:footnote w:id="171">
    <w:p w:rsidR="00887731" w:rsidRPr="00597337" w:rsidRDefault="00887731" w:rsidP="004551E9">
      <w:pPr>
        <w:pStyle w:val="Pie"/>
      </w:pPr>
      <w:r w:rsidRPr="00597337">
        <w:rPr>
          <w:rStyle w:val="Refdenotaalpie"/>
        </w:rPr>
        <w:footnoteRef/>
      </w:r>
      <w:r w:rsidRPr="00597337">
        <w:t xml:space="preserve"> Véase MARIÑO MENENDEZ, F., (1998) “Avances jurídicos en la protección de los derechos económicos, sociales y culturales dentro del marco de Naciones Unidas”, en </w:t>
      </w:r>
      <w:r w:rsidRPr="00597337">
        <w:rPr>
          <w:i/>
        </w:rPr>
        <w:t xml:space="preserve">Derechos y Libertades, </w:t>
      </w:r>
      <w:r w:rsidRPr="00597337">
        <w:t>nº 6, Febrero, pp. 85-95.</w:t>
      </w:r>
    </w:p>
  </w:footnote>
  <w:footnote w:id="172">
    <w:p w:rsidR="00887731" w:rsidRPr="00597337" w:rsidRDefault="00887731" w:rsidP="004551E9">
      <w:pPr>
        <w:pStyle w:val="Pie"/>
      </w:pPr>
      <w:r w:rsidRPr="00597337">
        <w:rPr>
          <w:rStyle w:val="Refdenotaalpie"/>
        </w:rPr>
        <w:footnoteRef/>
      </w:r>
      <w:r w:rsidRPr="00597337">
        <w:t xml:space="preserve"> QUINN, G. &amp; DEGENER, T., (2002a), op. cit. pp. 90-91.</w:t>
      </w:r>
    </w:p>
  </w:footnote>
  <w:footnote w:id="173">
    <w:p w:rsidR="00887731" w:rsidRPr="00597337" w:rsidRDefault="00887731" w:rsidP="004551E9">
      <w:pPr>
        <w:pStyle w:val="Pie"/>
      </w:pPr>
      <w:r w:rsidRPr="00597337">
        <w:rPr>
          <w:rStyle w:val="Refdenotaalpie"/>
        </w:rPr>
        <w:footnoteRef/>
      </w:r>
      <w:r w:rsidRPr="00597337">
        <w:t xml:space="preserve"> Directrices sobre los documentos específicos que deben presentar los Estados Partes con arreglo a los artículos 16 y 17 del Pacto Internacional de Derechos Económicos, Sociales y Culturales, E/C.12/2008/2, 24 de marzo de 2009.</w:t>
      </w:r>
    </w:p>
  </w:footnote>
  <w:footnote w:id="174">
    <w:p w:rsidR="00887731" w:rsidRPr="00597337" w:rsidRDefault="00887731" w:rsidP="004551E9">
      <w:pPr>
        <w:pStyle w:val="Pie"/>
      </w:pPr>
      <w:r w:rsidRPr="00597337">
        <w:rPr>
          <w:rStyle w:val="Refdenotaalpie"/>
        </w:rPr>
        <w:footnoteRef/>
      </w:r>
      <w:r w:rsidRPr="00597337">
        <w:t xml:space="preserve"> Véase por ejemplo Informe de España (HRI/CORE/ESP/2010, 21 de febrero de 2011) y Observaciones Finales del Comité (E/C.12/ESP/CO/5, 6 de junio de 2012), Informe de Perú (E/C.12/PER/2-4, 20 de enero de 2011) y Observaciones Finales del Comité (E/C.12/PER/CO/2-4; 30 de mayo de 2012); Informe de Brasil (E/C.12/BRA/2, 28 de enero de 2008) y Observaciones Finales del Comité (E/C.12/BRA/CO/2, 12 de junio de 2009) </w:t>
      </w:r>
    </w:p>
  </w:footnote>
  <w:footnote w:id="175">
    <w:p w:rsidR="00887731" w:rsidRPr="00597337" w:rsidRDefault="00887731" w:rsidP="004551E9">
      <w:pPr>
        <w:pStyle w:val="Pie"/>
      </w:pPr>
      <w:r w:rsidRPr="00597337">
        <w:rPr>
          <w:rStyle w:val="Refdenotaalpie"/>
        </w:rPr>
        <w:footnoteRef/>
      </w:r>
      <w:r w:rsidRPr="00597337">
        <w:t xml:space="preserve"> Véase por ejemplo Informe de Nueva Zelanda (E/C.12/NZL/3, 17 de enero de 2011) y Observaciones Finales del Comité (E/C.12/NZL/CO/3, 31 de mayo de 2012); Informe de Argentina (E/C.12/ARG/3, 26 de enero de 2011)  y Observaciones Finales del Comité (E/C.12/ARG/CO/3); Informe de Reino Unido (E/C.12/GBR/5,  31 de enero de 2008) y Observaciones Finales del Comité (E/C.12/GBR/CO/5, 12 de junio de 2009). </w:t>
      </w:r>
    </w:p>
  </w:footnote>
  <w:footnote w:id="176">
    <w:p w:rsidR="00887731" w:rsidRPr="008D46DF" w:rsidRDefault="00887731" w:rsidP="004551E9">
      <w:pPr>
        <w:pStyle w:val="Pie"/>
      </w:pPr>
      <w:r w:rsidRPr="00597337">
        <w:rPr>
          <w:rStyle w:val="Refdenotaalpie"/>
        </w:rPr>
        <w:footnoteRef/>
      </w:r>
      <w:r w:rsidRPr="00597337">
        <w:t xml:space="preserve"> Convención contra la Tortura y Otros Tratos o Penas Crueles, Inhumanos o Degradantes, Adoptada y abierta a la firma, ratificación y adhesión por la Asamblea General en su resolución 39/46, de 10 de diciembre de 1984. </w:t>
      </w:r>
      <w:r w:rsidRPr="008D46DF">
        <w:t xml:space="preserve">Entrada en vigor: 26 de junio de 1987. Véase MARIÑO MENÉNDEZ, F., (2009), “The Convention Against Torture and its Optional Protocol”, en </w:t>
      </w:r>
      <w:r w:rsidRPr="008D46DF">
        <w:rPr>
          <w:i/>
        </w:rPr>
        <w:t>International Human Rights Law in a Global Context</w:t>
      </w:r>
      <w:r w:rsidRPr="008D46DF">
        <w:t xml:space="preserve">, GOMEZ ISA, F. &amp; FEYTER K., (Eds.), University of Deusto, Bilbao. </w:t>
      </w:r>
    </w:p>
  </w:footnote>
  <w:footnote w:id="177">
    <w:p w:rsidR="00887731" w:rsidRPr="00562DB8" w:rsidRDefault="00887731" w:rsidP="004551E9">
      <w:pPr>
        <w:pStyle w:val="Pie"/>
        <w:rPr>
          <w:lang w:val="en-US"/>
        </w:rPr>
      </w:pPr>
      <w:r w:rsidRPr="00597337">
        <w:rPr>
          <w:rStyle w:val="Refdenotaalpie"/>
        </w:rPr>
        <w:footnoteRef/>
      </w:r>
      <w:r w:rsidRPr="00562DB8">
        <w:rPr>
          <w:lang w:val="en-US"/>
        </w:rPr>
        <w:t xml:space="preserve"> </w:t>
      </w:r>
      <w:proofErr w:type="spellStart"/>
      <w:r w:rsidRPr="00562DB8">
        <w:rPr>
          <w:lang w:val="en-US"/>
        </w:rPr>
        <w:t>Véase</w:t>
      </w:r>
      <w:proofErr w:type="spellEnd"/>
      <w:r w:rsidRPr="00562DB8">
        <w:rPr>
          <w:lang w:val="en-US"/>
        </w:rPr>
        <w:t xml:space="preserve"> </w:t>
      </w:r>
      <w:r w:rsidRPr="00562DB8">
        <w:rPr>
          <w:caps/>
          <w:lang w:val="en-US"/>
        </w:rPr>
        <w:t>van der Vyver, J. D</w:t>
      </w:r>
      <w:r w:rsidRPr="00562DB8">
        <w:rPr>
          <w:lang w:val="en-US"/>
        </w:rPr>
        <w:t xml:space="preserve">., (2003-2004) “Torture as a Crime Under International Law”, </w:t>
      </w:r>
      <w:r w:rsidRPr="00562DB8">
        <w:rPr>
          <w:i/>
          <w:lang w:val="en-US"/>
        </w:rPr>
        <w:t xml:space="preserve">Albany Law Review, </w:t>
      </w:r>
      <w:r w:rsidRPr="00562DB8">
        <w:rPr>
          <w:lang w:val="en-US"/>
        </w:rPr>
        <w:t xml:space="preserve">Vol. 67, pp. 427-463. </w:t>
      </w:r>
    </w:p>
  </w:footnote>
  <w:footnote w:id="178">
    <w:p w:rsidR="00887731" w:rsidRPr="00562DB8" w:rsidRDefault="00887731" w:rsidP="004551E9">
      <w:pPr>
        <w:pStyle w:val="Pie"/>
        <w:rPr>
          <w:lang w:val="en-US"/>
        </w:rPr>
      </w:pPr>
      <w:r w:rsidRPr="00597337">
        <w:rPr>
          <w:rStyle w:val="Refdenotaalpie"/>
        </w:rPr>
        <w:footnoteRef/>
      </w:r>
      <w:r w:rsidRPr="00562DB8">
        <w:rPr>
          <w:lang w:val="en-US"/>
        </w:rPr>
        <w:t xml:space="preserve"> </w:t>
      </w:r>
      <w:proofErr w:type="spellStart"/>
      <w:r w:rsidRPr="00562DB8">
        <w:rPr>
          <w:lang w:val="en-US"/>
        </w:rPr>
        <w:t>Véase</w:t>
      </w:r>
      <w:proofErr w:type="spellEnd"/>
      <w:r w:rsidRPr="00562DB8">
        <w:rPr>
          <w:lang w:val="en-US"/>
        </w:rPr>
        <w:t xml:space="preserve"> </w:t>
      </w:r>
      <w:r w:rsidRPr="00562DB8">
        <w:rPr>
          <w:caps/>
          <w:lang w:val="en-US"/>
        </w:rPr>
        <w:t>Bassiouni,</w:t>
      </w:r>
      <w:r w:rsidRPr="00562DB8">
        <w:rPr>
          <w:lang w:val="en-US"/>
        </w:rPr>
        <w:t xml:space="preserve"> C. M., (1996) “International Crimes: Jus </w:t>
      </w:r>
      <w:proofErr w:type="spellStart"/>
      <w:r w:rsidRPr="00562DB8">
        <w:rPr>
          <w:lang w:val="en-US"/>
        </w:rPr>
        <w:t>Cogens</w:t>
      </w:r>
      <w:proofErr w:type="spellEnd"/>
      <w:r w:rsidRPr="00562DB8">
        <w:rPr>
          <w:lang w:val="en-US"/>
        </w:rPr>
        <w:t xml:space="preserve"> and </w:t>
      </w:r>
      <w:proofErr w:type="spellStart"/>
      <w:r w:rsidRPr="00562DB8">
        <w:rPr>
          <w:lang w:val="en-US"/>
        </w:rPr>
        <w:t>Obligatio</w:t>
      </w:r>
      <w:proofErr w:type="spellEnd"/>
      <w:r w:rsidRPr="00562DB8">
        <w:rPr>
          <w:lang w:val="en-US"/>
        </w:rPr>
        <w:t xml:space="preserve"> </w:t>
      </w:r>
      <w:proofErr w:type="spellStart"/>
      <w:r w:rsidRPr="00562DB8">
        <w:rPr>
          <w:lang w:val="en-US"/>
        </w:rPr>
        <w:t>Erga</w:t>
      </w:r>
      <w:proofErr w:type="spellEnd"/>
      <w:r w:rsidRPr="00562DB8">
        <w:rPr>
          <w:lang w:val="en-US"/>
        </w:rPr>
        <w:t xml:space="preserve"> </w:t>
      </w:r>
      <w:proofErr w:type="spellStart"/>
      <w:r w:rsidRPr="00562DB8">
        <w:rPr>
          <w:lang w:val="en-US"/>
        </w:rPr>
        <w:t>Onmes</w:t>
      </w:r>
      <w:proofErr w:type="spellEnd"/>
      <w:r w:rsidRPr="00562DB8">
        <w:rPr>
          <w:lang w:val="en-US"/>
        </w:rPr>
        <w:t xml:space="preserve">”, </w:t>
      </w:r>
      <w:r w:rsidRPr="00562DB8">
        <w:rPr>
          <w:i/>
          <w:lang w:val="en-US"/>
        </w:rPr>
        <w:t>Law and Contemporary Problems</w:t>
      </w:r>
      <w:r w:rsidRPr="00562DB8">
        <w:rPr>
          <w:lang w:val="en-US"/>
        </w:rPr>
        <w:t>, Vol. 59.4, pp. 63-74.</w:t>
      </w:r>
    </w:p>
  </w:footnote>
  <w:footnote w:id="179">
    <w:p w:rsidR="00887731" w:rsidRPr="00597337" w:rsidRDefault="00887731" w:rsidP="004551E9">
      <w:pPr>
        <w:pStyle w:val="Pie"/>
      </w:pPr>
      <w:r w:rsidRPr="00597337">
        <w:rPr>
          <w:rStyle w:val="Refdenotaalpie"/>
        </w:rPr>
        <w:footnoteRef/>
      </w:r>
      <w:r w:rsidRPr="00597337">
        <w:t xml:space="preserve"> La relación entre el marco jurídico internacional relativo a la prohibición contra la tortura y el artículo 15 de la CDPD será abordado específicamente en el capítulo 5 del presente trabajo. </w:t>
      </w:r>
    </w:p>
  </w:footnote>
  <w:footnote w:id="180">
    <w:p w:rsidR="00887731" w:rsidRPr="00597337" w:rsidRDefault="00887731" w:rsidP="004551E9">
      <w:pPr>
        <w:pStyle w:val="Pie"/>
        <w:rPr>
          <w:lang w:val="es-AR"/>
        </w:rPr>
      </w:pPr>
      <w:r w:rsidRPr="00597337">
        <w:rPr>
          <w:rStyle w:val="Refdenotaalpie"/>
        </w:rPr>
        <w:footnoteRef/>
      </w:r>
      <w:r w:rsidRPr="00597337">
        <w:t xml:space="preserve"> Ello sin perjuicio </w:t>
      </w:r>
      <w:proofErr w:type="gramStart"/>
      <w:r w:rsidRPr="00597337">
        <w:t>de los señalado</w:t>
      </w:r>
      <w:proofErr w:type="gramEnd"/>
      <w:r w:rsidRPr="00597337">
        <w:t xml:space="preserve"> en el ámbito regional, o en los denominados elementos del crimen de la Corte Penal Internacional: Convención Interamericana para Prevenir y Sancionar la Tortura, de 09/12/1985. Series de Tratados de la OEA, Vol. 67: […Artículo 2 Para los efectos de la presente Convención se entenderá por tortura todo acto realizado intencionalmente por el cual se inflijan a una persona penas o sufrimientos físicos o mentales, con fines de investigación criminal, como medio intimidatorio, como castigo personal, como medida preventiva, como pena o con cualquier otro fin. Se entenderá también como tortura la aplicación sobre una persona de métodos tendientes a anular la personalidad de la víctima o a disminuir su capacidad física o mental, aunque no causen dolor físico o angustia psíquica…] La Corte Penal Internacional, Elementos de los Crímenes, U.N. Doc. </w:t>
      </w:r>
      <w:r w:rsidRPr="00597337">
        <w:rPr>
          <w:lang w:val="es-AR"/>
        </w:rPr>
        <w:t>PCNICC/2000/1/Add.2 (2000)</w:t>
      </w:r>
      <w:r w:rsidRPr="00597337">
        <w:t>: […</w:t>
      </w:r>
      <w:r w:rsidRPr="00597337">
        <w:rPr>
          <w:lang w:val="es-AR"/>
        </w:rPr>
        <w:t>Artículo 7 1) f): Crimen de lesa humanidad de tortura. Elementos: 1. Que el autor haya infligido a una o más personas graves dolores o sufrimientos físicos o mentales; 2. Que el autor tuviera a esa o esas personas bajo su custodia o control; 3. Que el dolor o el sufrimiento no haya sido resultado únicamente de la imposición de sanciones legítimas, no fuese inherente ni incidental a ellas; 4. Que la conducta se haya cometido como parte de un ataque generalizado o sistemático dirigido contra una población civil; 5. Que el autor haya tenido conocimiento de que la conducta era parte de un ataque generalizado o sistemático dirigido contra una población civil o haya tenido la intención de que la conducta fuera parte de un ataque de ese tipo….] […Artículo 8 2) a) ii)–1Crimen de guerra de tortura. Elementos: 1. Que el autor haya causado grandes dolores o sufrimientos físicos o mentales a una o más personas;  2. Que el autor haya causado los dolores o sufrimientos con una finalidad tal como la de obtener información o una confesión, castigar a la víctima, intimidarla o ejercer coacción sobre ella o por cualquier otra razón basada en discriminación de cualquier tipo; 3. Que esa persona o personas hayan estado protegidas en virtud de uno o más de los Convenios de Ginebra de 1949; 4. Que el autor haya sido consciente de las circunstancias de hecho que establecían esa protección; 5. Que la conducta haya tenido lugar en el contexto de un conflicto armado internacional y haya estado relacionada con él; 6.  Que el autor haya sido consciente de circunstancias de hecho que establecían la existencia de un conflicto armado…]</w:t>
      </w:r>
    </w:p>
  </w:footnote>
  <w:footnote w:id="181">
    <w:p w:rsidR="00887731" w:rsidRPr="00597337" w:rsidRDefault="00887731" w:rsidP="004551E9">
      <w:pPr>
        <w:pStyle w:val="Pie"/>
        <w:rPr>
          <w:lang w:val="pt-BR"/>
        </w:rPr>
      </w:pPr>
      <w:r w:rsidRPr="00597337">
        <w:rPr>
          <w:rStyle w:val="Refdenotaalpie"/>
        </w:rPr>
        <w:footnoteRef/>
      </w:r>
      <w:r w:rsidRPr="00597337">
        <w:t xml:space="preserve"> Observación General n° 2. Aplicación del Artículo 2 por los Estados Partes, Comité contra la Tortura, CAT/C/GC/2, 24 de enero de 2008, párrafo. </w:t>
      </w:r>
      <w:r w:rsidRPr="00597337">
        <w:rPr>
          <w:lang w:val="pt-BR"/>
        </w:rPr>
        <w:t xml:space="preserve">10. </w:t>
      </w:r>
    </w:p>
  </w:footnote>
  <w:footnote w:id="182">
    <w:p w:rsidR="00887731" w:rsidRPr="00597337" w:rsidRDefault="00887731" w:rsidP="004551E9">
      <w:pPr>
        <w:pStyle w:val="Pie"/>
      </w:pPr>
      <w:r w:rsidRPr="00597337">
        <w:rPr>
          <w:rStyle w:val="Refdenotaalpie"/>
        </w:rPr>
        <w:footnoteRef/>
      </w:r>
      <w:r w:rsidRPr="00597337">
        <w:t xml:space="preserve"> Ídem, párrafo 20.</w:t>
      </w:r>
    </w:p>
  </w:footnote>
  <w:footnote w:id="183">
    <w:p w:rsidR="00887731" w:rsidRPr="00597337" w:rsidRDefault="00887731" w:rsidP="004551E9">
      <w:pPr>
        <w:pStyle w:val="Pie"/>
      </w:pPr>
      <w:r w:rsidRPr="00597337">
        <w:rPr>
          <w:rStyle w:val="Refdenotaalpie"/>
        </w:rPr>
        <w:footnoteRef/>
      </w:r>
      <w:r w:rsidRPr="00597337">
        <w:t xml:space="preserve"> Ídem, párrafo 21. </w:t>
      </w:r>
    </w:p>
  </w:footnote>
  <w:footnote w:id="184">
    <w:p w:rsidR="00887731" w:rsidRPr="00597337" w:rsidRDefault="00887731" w:rsidP="004551E9">
      <w:pPr>
        <w:pStyle w:val="Pie"/>
      </w:pPr>
      <w:r w:rsidRPr="00597337">
        <w:rPr>
          <w:rStyle w:val="Refdenotaalpie"/>
        </w:rPr>
        <w:footnoteRef/>
      </w:r>
      <w:r w:rsidRPr="00597337">
        <w:t xml:space="preserve"> QUINN, G. &amp; DEGENER, T., (2002a), op. cit. pp.105-111.</w:t>
      </w:r>
    </w:p>
  </w:footnote>
  <w:footnote w:id="185">
    <w:p w:rsidR="00887731" w:rsidRPr="00597337" w:rsidRDefault="00887731" w:rsidP="004551E9">
      <w:pPr>
        <w:pStyle w:val="Pie"/>
      </w:pPr>
      <w:r w:rsidRPr="00597337">
        <w:rPr>
          <w:rStyle w:val="Refdenotaalpie"/>
        </w:rPr>
        <w:footnoteRef/>
      </w:r>
      <w:r w:rsidRPr="00597337">
        <w:t xml:space="preserve"> Observaciones Finales al Estado de Colombia,  Informe Anual del Comité Contra la Tortura, período 2009-2010, párrafo 21, en página 24; Observaciones Finales al Estado de Bosnia y Herzegovina,  Informe Anual del Comité Contra la Tortura, período 2010-2011, párrafo 20, en página 17.</w:t>
      </w:r>
    </w:p>
  </w:footnote>
  <w:footnote w:id="186">
    <w:p w:rsidR="00887731" w:rsidRPr="00597337" w:rsidRDefault="00887731" w:rsidP="004551E9">
      <w:pPr>
        <w:pStyle w:val="Pie"/>
      </w:pPr>
      <w:r w:rsidRPr="00597337">
        <w:rPr>
          <w:rStyle w:val="Refdenotaalpie"/>
        </w:rPr>
        <w:footnoteRef/>
      </w:r>
      <w:r w:rsidRPr="00597337">
        <w:t xml:space="preserve"> Véase por ejemplo, Observaciones Finales al Estado de Estonia, Informe Anual del Comité Contra la Tortura, período 2007-2008, párrafo 24, en página 15; Observaciones Finales al Estado de Azerbaiyán,  Informe Anual del Comité Contra la Tortura, período 2009-2010, párrafo 16, en página 15</w:t>
      </w:r>
    </w:p>
  </w:footnote>
  <w:footnote w:id="187">
    <w:p w:rsidR="00887731" w:rsidRPr="00597337" w:rsidRDefault="00887731" w:rsidP="004551E9">
      <w:pPr>
        <w:pStyle w:val="Pie"/>
      </w:pPr>
      <w:r w:rsidRPr="00597337">
        <w:rPr>
          <w:rStyle w:val="Refdenotaalpie"/>
        </w:rPr>
        <w:footnoteRef/>
      </w:r>
      <w:r w:rsidRPr="00597337">
        <w:t xml:space="preserve"> Véase por ejemplo, Observaciones Finales al Estado de Letonia, Informe Anual del Comité Contra la Tortura, período 2007-2008, párrafo 15, en página 30. Observaciones Finales al Estado de Eslovaquia,  Informe Anual del Comité Contra la Tortura, período 2009-2010, párrafo 20, en página 54.</w:t>
      </w:r>
    </w:p>
  </w:footnote>
  <w:footnote w:id="188">
    <w:p w:rsidR="00887731" w:rsidRPr="00597337" w:rsidRDefault="00887731" w:rsidP="004551E9">
      <w:pPr>
        <w:pStyle w:val="Pie"/>
      </w:pPr>
      <w:r w:rsidRPr="00597337">
        <w:rPr>
          <w:rStyle w:val="Refdenotaalpie"/>
        </w:rPr>
        <w:footnoteRef/>
      </w:r>
      <w:r w:rsidRPr="00597337">
        <w:t xml:space="preserve"> Observaciones Finales al Estado Serbio, Informe Anual del Comité Contra la Tortura, período 2008-2009, párrafo 16, en página 75</w:t>
      </w:r>
    </w:p>
  </w:footnote>
  <w:footnote w:id="189">
    <w:p w:rsidR="00887731" w:rsidRPr="00597337" w:rsidRDefault="00887731" w:rsidP="004551E9">
      <w:pPr>
        <w:pStyle w:val="Pie"/>
        <w:rPr>
          <w:lang w:val="es-AR"/>
        </w:rPr>
      </w:pPr>
      <w:r w:rsidRPr="00597337">
        <w:rPr>
          <w:rStyle w:val="Refdenotaalpie"/>
        </w:rPr>
        <w:footnoteRef/>
      </w:r>
      <w:r w:rsidRPr="00597337">
        <w:t xml:space="preserve"> QUINN, G. &amp; DEGENER, T., (2002a), op. cit. pp. 111-112.</w:t>
      </w:r>
    </w:p>
  </w:footnote>
  <w:footnote w:id="190">
    <w:p w:rsidR="00887731" w:rsidRPr="00597337" w:rsidRDefault="00887731" w:rsidP="004551E9">
      <w:pPr>
        <w:pStyle w:val="Pie"/>
      </w:pPr>
      <w:r w:rsidRPr="00597337">
        <w:rPr>
          <w:rStyle w:val="Refdenotaalpie"/>
        </w:rPr>
        <w:footnoteRef/>
      </w:r>
      <w:r w:rsidRPr="00597337">
        <w:t xml:space="preserve"> Protocolo Facultativo de la Convención contra la Tortura y Otros Tratos o Penas Crueles, Inhumanos o Degradantes Adoptada y abierta a la firma, ratificación y adhesión por la Asamblea General en su Resolución 77/199, de 18 de diciembre de 2002. Entrada en vigor: 22 de junio, 2006</w:t>
      </w:r>
    </w:p>
  </w:footnote>
  <w:footnote w:id="191">
    <w:p w:rsidR="00887731" w:rsidRPr="00597337" w:rsidRDefault="00887731" w:rsidP="004551E9">
      <w:pPr>
        <w:pStyle w:val="Pie"/>
      </w:pPr>
      <w:r w:rsidRPr="00597337">
        <w:rPr>
          <w:rStyle w:val="Refdenotaalpie"/>
        </w:rPr>
        <w:footnoteRef/>
      </w:r>
      <w:r w:rsidRPr="00597337">
        <w:t xml:space="preserve"> Los informes pueden ser públicos o confidenciales y puede consultarse en: </w:t>
      </w:r>
      <w:hyperlink r:id="rId7" w:history="1">
        <w:r w:rsidRPr="00597337">
          <w:rPr>
            <w:rStyle w:val="Hipervnculo"/>
            <w:lang w:val="es-AR"/>
          </w:rPr>
          <w:t>http://www2.ohchr.org/english/bodies/cat/opcat/spt_visits.htm</w:t>
        </w:r>
      </w:hyperlink>
    </w:p>
  </w:footnote>
  <w:footnote w:id="192">
    <w:p w:rsidR="00887731" w:rsidRPr="00562DB8" w:rsidRDefault="00887731" w:rsidP="004551E9">
      <w:pPr>
        <w:pStyle w:val="Pie"/>
        <w:rPr>
          <w:lang w:val="en-US"/>
        </w:rPr>
      </w:pPr>
      <w:r w:rsidRPr="00597337">
        <w:rPr>
          <w:rStyle w:val="Refdenotaalpie"/>
        </w:rPr>
        <w:footnoteRef/>
      </w:r>
      <w:r w:rsidRPr="00562DB8">
        <w:rPr>
          <w:lang w:val="en-US"/>
        </w:rPr>
        <w:t xml:space="preserve"> </w:t>
      </w:r>
      <w:proofErr w:type="spellStart"/>
      <w:r w:rsidRPr="00562DB8">
        <w:rPr>
          <w:lang w:val="en-US"/>
        </w:rPr>
        <w:t>Véase</w:t>
      </w:r>
      <w:proofErr w:type="spellEnd"/>
      <w:r w:rsidRPr="00562DB8">
        <w:rPr>
          <w:lang w:val="en-US"/>
        </w:rPr>
        <w:t xml:space="preserve"> International  Disability Alliance: </w:t>
      </w:r>
      <w:r w:rsidR="00BB3E10">
        <w:fldChar w:fldCharType="begin"/>
      </w:r>
      <w:r w:rsidR="00BB3E10" w:rsidRPr="00F71B0D">
        <w:rPr>
          <w:lang w:val="en-US"/>
        </w:rPr>
        <w:instrText>HYPERLINK "http://www.internationaldisabilityalliance.org/es/subcomit%C3%A9-para-la-prevenci%C3%B3n-de-la-tortura-spt-0"</w:instrText>
      </w:r>
      <w:r w:rsidR="00BB3E10">
        <w:fldChar w:fldCharType="separate"/>
      </w:r>
      <w:r w:rsidRPr="00597337">
        <w:rPr>
          <w:rStyle w:val="Hipervnculo"/>
          <w:lang w:val="en-US"/>
        </w:rPr>
        <w:t>http://www.internationaldisabilityalliance.org/es/subcomit%C3%A9-para-la-prevenci%C3%B3n-de-la-tortura-spt-0</w:t>
      </w:r>
      <w:r w:rsidR="00BB3E10">
        <w:fldChar w:fldCharType="end"/>
      </w:r>
    </w:p>
  </w:footnote>
  <w:footnote w:id="193">
    <w:p w:rsidR="00887731" w:rsidRPr="00597337" w:rsidRDefault="00887731" w:rsidP="004551E9">
      <w:pPr>
        <w:pStyle w:val="Pie"/>
        <w:rPr>
          <w:lang w:val="en-US"/>
        </w:rPr>
      </w:pPr>
      <w:r w:rsidRPr="00597337">
        <w:rPr>
          <w:rStyle w:val="Refdenotaalpie"/>
        </w:rPr>
        <w:footnoteRef/>
      </w:r>
      <w:r w:rsidRPr="00597337">
        <w:t xml:space="preserve"> Desde su creación en 1985 hasta la actualidad, han sido designados como Relatores Especiales en la cuestión de la tortura las siguientes personas: Sr. Peter Kooijmans, (Netherlands), 1985-1993; Sir. </w:t>
      </w:r>
      <w:r w:rsidRPr="00597337">
        <w:rPr>
          <w:lang w:val="en-US"/>
        </w:rPr>
        <w:t xml:space="preserve">Nigel S. Rodley, (United Kingdom), 1993-2001; Mr. Theo van Boven, (Netherlands), 2001 - 2004; Mr. Manfred Nowak, (Austria), 2004 - 31 October 2010; Mr. Juan Méndez, (Argentina), 1 November 2010-present. </w:t>
      </w:r>
    </w:p>
  </w:footnote>
  <w:footnote w:id="194">
    <w:p w:rsidR="00887731" w:rsidRPr="00597337" w:rsidRDefault="00887731" w:rsidP="004551E9">
      <w:pPr>
        <w:pStyle w:val="Pie"/>
      </w:pPr>
      <w:r w:rsidRPr="00597337">
        <w:rPr>
          <w:rStyle w:val="Refdenotaalpie"/>
        </w:rPr>
        <w:footnoteRef/>
      </w:r>
      <w:r w:rsidRPr="00597337">
        <w:t xml:space="preserve"> Informe provisional del Relator Especial sobre la cuestión de la tortura y otros tratos o penas crueles, </w:t>
      </w:r>
      <w:proofErr w:type="gramStart"/>
      <w:r w:rsidRPr="00597337">
        <w:t>inhumanos</w:t>
      </w:r>
      <w:proofErr w:type="gramEnd"/>
      <w:r w:rsidRPr="00597337">
        <w:t xml:space="preserve"> o degradantes, A/63/175, 28 de julio de 2008. </w:t>
      </w:r>
    </w:p>
  </w:footnote>
  <w:footnote w:id="195">
    <w:p w:rsidR="00887731" w:rsidRPr="00597337" w:rsidRDefault="00887731" w:rsidP="004551E9">
      <w:pPr>
        <w:pStyle w:val="Pie"/>
      </w:pPr>
      <w:r w:rsidRPr="00597337">
        <w:rPr>
          <w:rStyle w:val="Refdenotaalpie"/>
        </w:rPr>
        <w:footnoteRef/>
      </w:r>
      <w:r w:rsidRPr="00597337">
        <w:t xml:space="preserve"> Ibídem, párrafo 44.</w:t>
      </w:r>
    </w:p>
  </w:footnote>
  <w:footnote w:id="196">
    <w:p w:rsidR="00887731" w:rsidRPr="00597337" w:rsidRDefault="00887731" w:rsidP="004551E9">
      <w:pPr>
        <w:pStyle w:val="Pie"/>
      </w:pPr>
      <w:r w:rsidRPr="00597337">
        <w:rPr>
          <w:rStyle w:val="Refdenotaalpie"/>
        </w:rPr>
        <w:footnoteRef/>
      </w:r>
      <w:r w:rsidRPr="00597337">
        <w:t xml:space="preserve"> Ibídem, párrafo 47.</w:t>
      </w:r>
    </w:p>
  </w:footnote>
  <w:footnote w:id="197">
    <w:p w:rsidR="00887731" w:rsidRPr="00597337" w:rsidRDefault="00887731" w:rsidP="004551E9">
      <w:pPr>
        <w:pStyle w:val="Pie"/>
      </w:pPr>
      <w:r w:rsidRPr="00597337">
        <w:rPr>
          <w:rStyle w:val="Refdenotaalpie"/>
        </w:rPr>
        <w:footnoteRef/>
      </w:r>
      <w:r w:rsidRPr="00597337">
        <w:t xml:space="preserve"> Ibídem, párrafos 48-49.</w:t>
      </w:r>
    </w:p>
  </w:footnote>
  <w:footnote w:id="198">
    <w:p w:rsidR="00887731" w:rsidRPr="00597337" w:rsidRDefault="00887731" w:rsidP="004551E9">
      <w:pPr>
        <w:pStyle w:val="Pie"/>
      </w:pPr>
      <w:r w:rsidRPr="00597337">
        <w:rPr>
          <w:rStyle w:val="Refdenotaalpie"/>
        </w:rPr>
        <w:footnoteRef/>
      </w:r>
      <w:r w:rsidRPr="00597337">
        <w:t xml:space="preserve"> Ibídem, párrafo 50. </w:t>
      </w:r>
    </w:p>
  </w:footnote>
  <w:footnote w:id="199">
    <w:p w:rsidR="00887731" w:rsidRPr="00597337" w:rsidRDefault="00887731" w:rsidP="004551E9">
      <w:pPr>
        <w:pStyle w:val="Pie"/>
      </w:pPr>
      <w:r w:rsidRPr="00597337">
        <w:rPr>
          <w:rStyle w:val="Refdenotaalpie"/>
        </w:rPr>
        <w:footnoteRef/>
      </w:r>
      <w:r w:rsidRPr="00597337">
        <w:t xml:space="preserve"> </w:t>
      </w:r>
      <w:r w:rsidRPr="00597337">
        <w:rPr>
          <w:rStyle w:val="PieCar"/>
          <w:lang w:val="pt-BR"/>
        </w:rPr>
        <w:t>Ibídem, párrafo 51.</w:t>
      </w:r>
    </w:p>
  </w:footnote>
  <w:footnote w:id="200">
    <w:p w:rsidR="00887731" w:rsidRPr="00597337" w:rsidRDefault="00887731" w:rsidP="004551E9">
      <w:pPr>
        <w:pStyle w:val="Pie"/>
      </w:pPr>
      <w:r w:rsidRPr="00597337">
        <w:rPr>
          <w:rStyle w:val="Refdenotaalpie"/>
        </w:rPr>
        <w:footnoteRef/>
      </w:r>
      <w:r w:rsidRPr="00597337">
        <w:t xml:space="preserve"> </w:t>
      </w:r>
      <w:proofErr w:type="spellStart"/>
      <w:r w:rsidRPr="00597337">
        <w:rPr>
          <w:rStyle w:val="PieCar"/>
          <w:lang w:val="pt-BR"/>
        </w:rPr>
        <w:t>Ibídem</w:t>
      </w:r>
      <w:proofErr w:type="spellEnd"/>
      <w:r w:rsidRPr="00597337">
        <w:rPr>
          <w:rStyle w:val="PieCar"/>
          <w:lang w:val="pt-BR"/>
        </w:rPr>
        <w:t xml:space="preserve">, </w:t>
      </w:r>
      <w:proofErr w:type="spellStart"/>
      <w:r w:rsidRPr="00597337">
        <w:rPr>
          <w:rStyle w:val="PieCar"/>
          <w:lang w:val="pt-BR"/>
        </w:rPr>
        <w:t>párrafos</w:t>
      </w:r>
      <w:proofErr w:type="spellEnd"/>
      <w:r w:rsidRPr="00597337">
        <w:rPr>
          <w:rStyle w:val="PieCar"/>
          <w:lang w:val="pt-BR"/>
        </w:rPr>
        <w:t xml:space="preserve"> 52-69.</w:t>
      </w:r>
    </w:p>
  </w:footnote>
  <w:footnote w:id="201">
    <w:p w:rsidR="00887731" w:rsidRPr="00597337" w:rsidRDefault="00887731" w:rsidP="004551E9">
      <w:pPr>
        <w:pStyle w:val="Pie"/>
      </w:pPr>
      <w:r w:rsidRPr="00597337">
        <w:rPr>
          <w:rStyle w:val="Refdenotaalpie"/>
        </w:rPr>
        <w:footnoteRef/>
      </w:r>
      <w:r w:rsidRPr="00597337">
        <w:t xml:space="preserve"> Convención sobre la eliminación de todas las formas de discriminación contra la mujer, Adoptada y abierta a la firma y ratificación, o adhesión, por la Asamblea General en su resolución 34/180, de 18 de diciembre de 1979, Entrada en vigor: 3 de septiembre de 1981, de conformidad con el artículo 27 (1).</w:t>
      </w:r>
    </w:p>
  </w:footnote>
  <w:footnote w:id="202">
    <w:p w:rsidR="00887731" w:rsidRPr="00597337" w:rsidRDefault="00887731" w:rsidP="004551E9">
      <w:pPr>
        <w:pStyle w:val="Pie"/>
      </w:pPr>
      <w:r w:rsidRPr="00597337">
        <w:rPr>
          <w:rStyle w:val="Refdenotaalpie"/>
        </w:rPr>
        <w:footnoteRef/>
      </w:r>
      <w:r w:rsidRPr="00597337">
        <w:t xml:space="preserve"> En julio de 2010, la Asamblea General de las Naciones Unidas creó ONU Mujeres, la Entidad de la ONU para la Igualdad de Género y el Empoderamiento de la Mujer. Para un acceso completo a los documentos y materiales de la ONU en materia de derechos de las mujeres puede consultarse: </w:t>
      </w:r>
      <w:hyperlink r:id="rId8" w:history="1">
        <w:r w:rsidRPr="00597337">
          <w:rPr>
            <w:rStyle w:val="Hipervnculo"/>
          </w:rPr>
          <w:t>http://www.unwomen.org/</w:t>
        </w:r>
      </w:hyperlink>
    </w:p>
  </w:footnote>
  <w:footnote w:id="203">
    <w:p w:rsidR="00887731" w:rsidRPr="00DB735C" w:rsidRDefault="00887731" w:rsidP="004551E9">
      <w:pPr>
        <w:pStyle w:val="Textonotapie"/>
      </w:pPr>
      <w:r>
        <w:rPr>
          <w:rStyle w:val="Refdenotaalpie"/>
        </w:rPr>
        <w:footnoteRef/>
      </w:r>
      <w:r w:rsidRPr="00DB735C">
        <w:t xml:space="preserve"> </w:t>
      </w:r>
      <w:r>
        <w:t xml:space="preserve">Véase </w:t>
      </w:r>
      <w:r w:rsidRPr="00DB735C">
        <w:rPr>
          <w:caps/>
        </w:rPr>
        <w:t xml:space="preserve">Salmon, E. S. </w:t>
      </w:r>
      <w:r>
        <w:t>(2009), “L</w:t>
      </w:r>
      <w:r w:rsidRPr="00DB735C">
        <w:t>a protección de los derechos de la mujer en el Sistema Universal de Derechos Humanos</w:t>
      </w:r>
      <w:r>
        <w:t>”, e</w:t>
      </w:r>
      <w:r w:rsidRPr="00DB735C">
        <w:t xml:space="preserve">n </w:t>
      </w:r>
      <w:r w:rsidRPr="00DB735C">
        <w:rPr>
          <w:i/>
        </w:rPr>
        <w:t>Entre la Teoría y la Práctica: Nuevas Perspectivas sobre los Derechos Humanos de la Mujer</w:t>
      </w:r>
      <w:r>
        <w:t xml:space="preserve">, </w:t>
      </w:r>
      <w:r w:rsidRPr="00DB735C">
        <w:t>Instituto de Democracia y Derechos Humanos de la Pontificia Universidad Católica del Perú</w:t>
      </w:r>
      <w:r>
        <w:t xml:space="preserve">, Lima, </w:t>
      </w:r>
      <w:r w:rsidRPr="00DB735C">
        <w:t xml:space="preserve">pp. 25-64. </w:t>
      </w:r>
    </w:p>
  </w:footnote>
  <w:footnote w:id="204">
    <w:p w:rsidR="00887731" w:rsidRPr="00597337" w:rsidRDefault="00887731" w:rsidP="004551E9">
      <w:pPr>
        <w:pStyle w:val="Pie"/>
      </w:pPr>
      <w:r w:rsidRPr="00597337">
        <w:rPr>
          <w:rStyle w:val="Refdenotaalpie"/>
        </w:rPr>
        <w:footnoteRef/>
      </w:r>
      <w:r w:rsidRPr="00597337">
        <w:t xml:space="preserve"> Véase PELÁEZ NARVÁEZ, A. (2012a) “La no discriminación de mujeres y niñas con discapacidad en la Convención Internacional de Derechos de Personas con Discapacidad” en la Obra Colectiva </w:t>
      </w:r>
      <w:r w:rsidRPr="00597337">
        <w:rPr>
          <w:i/>
        </w:rPr>
        <w:t>2003-2012: 10 años de legislación sobre no discriminación de personas con discapacidad en España. Estudios en homenaje a Miguel Ángel Cabra de Luna</w:t>
      </w:r>
      <w:r w:rsidRPr="00597337">
        <w:t xml:space="preserve">, </w:t>
      </w:r>
      <w:r w:rsidRPr="00597337">
        <w:rPr>
          <w:caps/>
        </w:rPr>
        <w:t>Pérez Bueno, L. C.,</w:t>
      </w:r>
      <w:r w:rsidRPr="00597337">
        <w:t xml:space="preserve"> (Dir.) CERMI, Fundación Derecho y Discapacidad, Madrid, pp. 244-271.</w:t>
      </w:r>
    </w:p>
  </w:footnote>
  <w:footnote w:id="205">
    <w:p w:rsidR="00887731" w:rsidRPr="00597337" w:rsidRDefault="00887731" w:rsidP="004551E9">
      <w:pPr>
        <w:pStyle w:val="Pie"/>
      </w:pPr>
      <w:r w:rsidRPr="00597337">
        <w:rPr>
          <w:rStyle w:val="Refdenotaalpie"/>
        </w:rPr>
        <w:footnoteRef/>
      </w:r>
      <w:r w:rsidRPr="00597337">
        <w:t xml:space="preserve"> Véase  CERMI (2012),  La </w:t>
      </w:r>
      <w:proofErr w:type="spellStart"/>
      <w:r w:rsidRPr="00597337">
        <w:t>transversalidad</w:t>
      </w:r>
      <w:proofErr w:type="spellEnd"/>
      <w:r w:rsidRPr="00597337">
        <w:t xml:space="preserve"> de género en las políticas públicas de discapacidad. Manual Volumen I, Ediciones Cinca, Madrid.</w:t>
      </w:r>
    </w:p>
  </w:footnote>
  <w:footnote w:id="206">
    <w:p w:rsidR="00887731" w:rsidRPr="00597337" w:rsidRDefault="00887731" w:rsidP="004551E9">
      <w:pPr>
        <w:pStyle w:val="Pie"/>
      </w:pPr>
      <w:r w:rsidRPr="00597337">
        <w:rPr>
          <w:rStyle w:val="Refdenotaalpie"/>
        </w:rPr>
        <w:footnoteRef/>
      </w:r>
      <w:r w:rsidRPr="00597337">
        <w:t xml:space="preserve"> […Se estima que existen en el mundo alrededor de 1.000 millones de personas con algún tipo de discapacidad, de las cuales hay más mujeres que hombres, y en algunos países de ingresos bajos y medios, aquellas constituyen hasta las tres cuartas partes del total de personas con discapacidad. Entre un 65% y un 70% de estas mujeres viven en zonas rurales…] Ídem, Capítulo I “Igualdad y No Discriminación”, p. 32; En el España el último censo nacional determinó una población total de personas con discapacidad de 3.847.900 de los cuales 2.300.200 son mujeres. Datos del Instituto Nacional de Estadística (INE) obtenido en: </w:t>
      </w:r>
      <w:hyperlink r:id="rId9" w:history="1">
        <w:r w:rsidRPr="00597337">
          <w:rPr>
            <w:rStyle w:val="Hipervnculo"/>
          </w:rPr>
          <w:t>http://www.ine.es</w:t>
        </w:r>
      </w:hyperlink>
      <w:r w:rsidRPr="00597337">
        <w:t xml:space="preserve"> (Encuesta de Discapacidad, Autonomía Personal y Situaciones de Dependencia 2008). </w:t>
      </w:r>
    </w:p>
  </w:footnote>
  <w:footnote w:id="207">
    <w:p w:rsidR="00887731" w:rsidRPr="00597337" w:rsidRDefault="00887731" w:rsidP="004551E9">
      <w:pPr>
        <w:pStyle w:val="Pie"/>
        <w:rPr>
          <w:lang w:val="en-US"/>
        </w:rPr>
      </w:pPr>
      <w:r w:rsidRPr="00597337">
        <w:rPr>
          <w:rStyle w:val="Refdenotaalpie"/>
        </w:rPr>
        <w:footnoteRef/>
      </w:r>
      <w:r w:rsidRPr="00597337">
        <w:t xml:space="preserve"> Véase por ejemplo: MORRIS, J. (ed.) (1996), </w:t>
      </w:r>
      <w:r w:rsidRPr="00597337">
        <w:rPr>
          <w:i/>
        </w:rPr>
        <w:t xml:space="preserve">Encuentros con desconocidas. </w:t>
      </w:r>
      <w:r w:rsidRPr="008D46DF">
        <w:rPr>
          <w:i/>
        </w:rPr>
        <w:t>Feminismo y discapacidad</w:t>
      </w:r>
      <w:r w:rsidRPr="008D46DF">
        <w:t xml:space="preserve">, Narcea, Madrid; MORRIS, J., (1991), </w:t>
      </w:r>
      <w:r w:rsidRPr="008D46DF">
        <w:rPr>
          <w:i/>
        </w:rPr>
        <w:t xml:space="preserve">Pride against prejudice. </w:t>
      </w:r>
      <w:r w:rsidRPr="00597337">
        <w:rPr>
          <w:i/>
          <w:lang w:val="en-US"/>
        </w:rPr>
        <w:t>A Personal Politics of Disability</w:t>
      </w:r>
      <w:r w:rsidRPr="00597337">
        <w:rPr>
          <w:lang w:val="en-US"/>
        </w:rPr>
        <w:t xml:space="preserve">, Women´s Press Ltd., London; WENDELL, S., (1996), </w:t>
      </w:r>
      <w:r w:rsidRPr="00597337">
        <w:rPr>
          <w:i/>
          <w:lang w:val="en-US"/>
        </w:rPr>
        <w:t>The Rejected Body. Feminist Philosophical Reflections on Disability</w:t>
      </w:r>
      <w:r w:rsidRPr="00597337">
        <w:rPr>
          <w:lang w:val="en-US"/>
        </w:rPr>
        <w:t xml:space="preserve">, Routledge, New York, (en especial capítulo 6: “Disability and Feminist Ethics”).  </w:t>
      </w:r>
    </w:p>
  </w:footnote>
  <w:footnote w:id="208">
    <w:p w:rsidR="00887731" w:rsidRPr="00597337" w:rsidRDefault="00887731" w:rsidP="004551E9">
      <w:pPr>
        <w:pStyle w:val="Pie"/>
      </w:pPr>
      <w:r w:rsidRPr="00597337">
        <w:rPr>
          <w:rStyle w:val="Refdenotaalpie"/>
        </w:rPr>
        <w:footnoteRef/>
      </w:r>
      <w:r w:rsidRPr="00597337">
        <w:t xml:space="preserve"> QUINN, G. &amp; DEGENER, T., (2002a), op. cit. p. 116.</w:t>
      </w:r>
    </w:p>
  </w:footnote>
  <w:footnote w:id="209">
    <w:p w:rsidR="00887731" w:rsidRPr="00597337" w:rsidRDefault="00887731" w:rsidP="004551E9">
      <w:pPr>
        <w:pStyle w:val="Pie"/>
      </w:pPr>
      <w:r w:rsidRPr="00597337">
        <w:rPr>
          <w:rStyle w:val="Refdenotaalpie"/>
        </w:rPr>
        <w:footnoteRef/>
      </w:r>
      <w:r w:rsidRPr="00597337">
        <w:t xml:space="preserve"> Comité para la Eliminación de la Discriminación contra la Mujer, creado en virtud del artículo 17 de la Convención sobre la eliminación de todas las formas de discriminación contra la mujer se establece el Comité para la Eliminación de la Discriminación contra la Mujer, con el fin de examinar los progresos realizados en la aplicación de sus disposiciones. </w:t>
      </w:r>
    </w:p>
  </w:footnote>
  <w:footnote w:id="210">
    <w:p w:rsidR="00887731" w:rsidRPr="00597337" w:rsidRDefault="00887731" w:rsidP="004551E9">
      <w:pPr>
        <w:pStyle w:val="Pie"/>
      </w:pPr>
      <w:r w:rsidRPr="00597337">
        <w:rPr>
          <w:rStyle w:val="Refdenotaalpie"/>
        </w:rPr>
        <w:footnoteRef/>
      </w:r>
      <w:r w:rsidRPr="00597337">
        <w:t xml:space="preserve"> Recomendación general Nº 18, Las mujeres discapacitadas. Décimo período de sesiones (1991), Comité para la Eliminación de la Discriminación contra la Mujer, </w:t>
      </w:r>
      <w:r w:rsidRPr="00597337">
        <w:rPr>
          <w:lang w:val="es-ES_tradnl"/>
        </w:rPr>
        <w:t xml:space="preserve">Recopilación de las Observaciones Generales y Recomendaciones Generales adoptadas por Órganos creados en virtud de tratados de Derechos Humanos. Naciones Unidas, HRI/GEN/1/Rev.7, 12 de mayo de 2004, p. 280. </w:t>
      </w:r>
    </w:p>
  </w:footnote>
  <w:footnote w:id="211">
    <w:p w:rsidR="00887731" w:rsidRPr="00597337" w:rsidRDefault="00887731" w:rsidP="004551E9">
      <w:pPr>
        <w:pStyle w:val="Pie"/>
      </w:pPr>
      <w:r w:rsidRPr="00597337">
        <w:rPr>
          <w:rStyle w:val="Refdenotaalpie"/>
        </w:rPr>
        <w:footnoteRef/>
      </w:r>
      <w:r w:rsidRPr="00597337">
        <w:t xml:space="preserve"> Recomendación general Nº 24, Artículo 12 de la Convención sobre la eliminación de todas las formas de discriminación contra la mujer - La mujer y la salud. 20º período de sesiones (1999), Comité para la Eliminación de la Discriminación contra la Mujer, </w:t>
      </w:r>
      <w:r w:rsidRPr="00597337">
        <w:rPr>
          <w:lang w:val="es-ES_tradnl"/>
        </w:rPr>
        <w:t xml:space="preserve">Recopilación de las Observaciones Generales y Recomendaciones Generales adoptadas por Órganos creados en virtud de tratados de Derechos Humanos. Naciones Unidas, HRI/GEN/1/Rev.7, 12 de mayo de 2004, párrafo 5. </w:t>
      </w:r>
    </w:p>
  </w:footnote>
  <w:footnote w:id="212">
    <w:p w:rsidR="00887731" w:rsidRPr="00597337" w:rsidRDefault="00887731" w:rsidP="004551E9">
      <w:pPr>
        <w:pStyle w:val="Pie"/>
      </w:pPr>
      <w:r w:rsidRPr="00597337">
        <w:rPr>
          <w:rStyle w:val="Refdenotaalpie"/>
        </w:rPr>
        <w:footnoteRef/>
      </w:r>
      <w:r w:rsidRPr="00597337">
        <w:t xml:space="preserve"> Ídem, párrafo 25.</w:t>
      </w:r>
    </w:p>
  </w:footnote>
  <w:footnote w:id="213">
    <w:p w:rsidR="00887731" w:rsidRPr="00597337" w:rsidRDefault="00887731" w:rsidP="004551E9">
      <w:pPr>
        <w:pStyle w:val="Pie"/>
      </w:pPr>
      <w:r w:rsidRPr="00597337">
        <w:rPr>
          <w:rStyle w:val="Refdenotaalpie"/>
        </w:rPr>
        <w:footnoteRef/>
      </w:r>
      <w:r w:rsidRPr="00597337">
        <w:t xml:space="preserve"> Recomendación general Nº 27 sobre las mujeres de edad y la protección de sus derechos humanos, Comité para la Eliminación de la Discriminación contra la Mujer, CEDAW/C/GC/27, 16 de diciembre de 2010. </w:t>
      </w:r>
    </w:p>
  </w:footnote>
  <w:footnote w:id="214">
    <w:p w:rsidR="00887731" w:rsidRPr="00597337" w:rsidRDefault="00887731" w:rsidP="004551E9">
      <w:pPr>
        <w:pStyle w:val="Pie"/>
      </w:pPr>
      <w:r w:rsidRPr="00597337">
        <w:rPr>
          <w:rStyle w:val="Refdenotaalpie"/>
        </w:rPr>
        <w:footnoteRef/>
      </w:r>
      <w:r w:rsidRPr="00597337">
        <w:t xml:space="preserve"> Recomendación general Nº 28 relativa al artículo 2 de la Convención sobre la eliminación de todas las formas de discriminación contra la mujer. Comité para la Eliminación de la Discriminación  contra la Mujer. CEDAW/C/GC/28, 16 de diciembre de 2010, párrafo 31.</w:t>
      </w:r>
    </w:p>
  </w:footnote>
  <w:footnote w:id="215">
    <w:p w:rsidR="00887731" w:rsidRPr="00597337" w:rsidRDefault="00887731" w:rsidP="004551E9">
      <w:pPr>
        <w:pStyle w:val="Pie"/>
      </w:pPr>
      <w:r w:rsidRPr="00597337">
        <w:rPr>
          <w:rStyle w:val="Refdenotaalpie"/>
        </w:rPr>
        <w:footnoteRef/>
      </w:r>
      <w:r w:rsidRPr="00597337">
        <w:t xml:space="preserve"> Protocolo Facultativo de la Convención sobre la eliminación de todas las formas de discriminación contra la mujer, Adoptado por la Asamblea General en su resolución A/54/4 de 6 de octubre de 1999.</w:t>
      </w:r>
    </w:p>
  </w:footnote>
  <w:footnote w:id="216">
    <w:p w:rsidR="00887731" w:rsidRPr="00597337" w:rsidRDefault="00887731" w:rsidP="004551E9">
      <w:pPr>
        <w:pStyle w:val="Pie"/>
      </w:pPr>
      <w:r w:rsidRPr="00597337">
        <w:rPr>
          <w:rStyle w:val="Refdenotaalpie"/>
        </w:rPr>
        <w:footnoteRef/>
      </w:r>
      <w:r w:rsidRPr="00597337">
        <w:t xml:space="preserve"> QUINN, G. &amp; DEGENER, T., (2002a), op. cit. pp. 129-130.</w:t>
      </w:r>
    </w:p>
  </w:footnote>
  <w:footnote w:id="217">
    <w:p w:rsidR="00887731" w:rsidRPr="00597337" w:rsidRDefault="00887731" w:rsidP="004551E9">
      <w:pPr>
        <w:pStyle w:val="Pie"/>
      </w:pPr>
      <w:r w:rsidRPr="00597337">
        <w:rPr>
          <w:rStyle w:val="Refdenotaalpie"/>
        </w:rPr>
        <w:footnoteRef/>
      </w:r>
      <w:r w:rsidRPr="00597337">
        <w:t xml:space="preserve"> Por ejemplo el Informe de Paraguay (CEDAW/C/PAR/6, 12 de agosto de 2010) y las Observaciones Finales del Comité (CEDAW/C/PRY/CO/6, 8 de noviembre de 2011); Informe de Argentina (CEDAW/C/ARG/6,8 de septiembre de 2008) y las Observaciones Finales del Comité (CEDAW/C/ARG/CO/6, 16 de agosto de 2010).</w:t>
      </w:r>
    </w:p>
  </w:footnote>
  <w:footnote w:id="218">
    <w:p w:rsidR="00887731" w:rsidRPr="00597337" w:rsidRDefault="00887731" w:rsidP="004551E9">
      <w:pPr>
        <w:pStyle w:val="Pie"/>
      </w:pPr>
      <w:r w:rsidRPr="00597337">
        <w:rPr>
          <w:rStyle w:val="Refdenotaalpie"/>
        </w:rPr>
        <w:footnoteRef/>
      </w:r>
      <w:r w:rsidRPr="00597337">
        <w:t xml:space="preserve"> Por ejemplo informe de México (CEDAW/C/MEX/7-8, 17 de mayo de 2011), y las Observaciones Finales del Comité (CEDAW/C/MEX/CO/7-8, 27 de Julio de 2012); Informe de Rusia (CEDAW/C/USR/7, 22 de mayo de 2009) y las Observaciones Finales del Comité (CEDAW/C/USR/CO/7, 16 de agosto de 2010).</w:t>
      </w:r>
    </w:p>
  </w:footnote>
  <w:footnote w:id="219">
    <w:p w:rsidR="00887731" w:rsidRPr="00597337" w:rsidRDefault="00887731" w:rsidP="004551E9">
      <w:pPr>
        <w:pStyle w:val="Pie"/>
      </w:pPr>
      <w:r w:rsidRPr="00597337">
        <w:rPr>
          <w:rStyle w:val="Refdenotaalpie"/>
        </w:rPr>
        <w:footnoteRef/>
      </w:r>
      <w:r w:rsidRPr="00597337">
        <w:t xml:space="preserve"> Por ejemplo informe de Nueva Zelanda (CEDAW/C/NZL/7, 7 de enero de 2011) y las Observaciones Finales del Comité (CEDAW/C/NZL/CO/7, 27 July 2012), Informe de España (CEDAW/C/ESP/6, 28 de abril de 2008) y las Observaciones Finales del Comité (CEDAW/C/ESP/CO/6, 7 de agosto de 2009), Informe de Montenegro (CEDAW/C/MNE/1, 12 de agosto de 2010)  y las Observaciones Finales del Comité (CEDAW/C/MNE/CO/1, 4 de noviembre de 2011).</w:t>
      </w:r>
    </w:p>
  </w:footnote>
  <w:footnote w:id="220">
    <w:p w:rsidR="00887731" w:rsidRPr="00597337" w:rsidRDefault="00887731" w:rsidP="004551E9">
      <w:pPr>
        <w:pStyle w:val="Pie"/>
      </w:pPr>
      <w:r w:rsidRPr="00597337">
        <w:rPr>
          <w:rStyle w:val="Refdenotaalpie"/>
        </w:rPr>
        <w:footnoteRef/>
      </w:r>
      <w:r w:rsidRPr="00597337">
        <w:t xml:space="preserve"> Para los efectos del presente trabajo se han analizado las comunicaciones listadas por el </w:t>
      </w:r>
      <w:proofErr w:type="spellStart"/>
      <w:r w:rsidRPr="00597337">
        <w:t>CtEDM</w:t>
      </w:r>
      <w:proofErr w:type="spellEnd"/>
      <w:r w:rsidRPr="00597337">
        <w:t xml:space="preserve"> en su página web: </w:t>
      </w:r>
      <w:hyperlink r:id="rId10" w:history="1">
        <w:r w:rsidRPr="00597337">
          <w:rPr>
            <w:rStyle w:val="Hipervnculo"/>
          </w:rPr>
          <w:t>http://www2.ohchr.org/english/law/jurisprudence.htm</w:t>
        </w:r>
      </w:hyperlink>
      <w:r w:rsidRPr="00597337">
        <w:t xml:space="preserve">. </w:t>
      </w:r>
    </w:p>
  </w:footnote>
  <w:footnote w:id="221">
    <w:p w:rsidR="00887731" w:rsidRPr="00597337" w:rsidRDefault="00887731" w:rsidP="004551E9">
      <w:pPr>
        <w:pStyle w:val="Pie"/>
      </w:pPr>
      <w:r w:rsidRPr="00597337">
        <w:rPr>
          <w:rStyle w:val="Refdenotaalpie"/>
        </w:rPr>
        <w:footnoteRef/>
      </w:r>
      <w:r w:rsidRPr="00597337">
        <w:t xml:space="preserve"> Comunicación No. 2/2003, Sra. A. T. contra Hungría a (dictamen adoptado el 26 de enero de 2005, 32° período de sesiones).</w:t>
      </w:r>
    </w:p>
  </w:footnote>
  <w:footnote w:id="222">
    <w:p w:rsidR="00887731" w:rsidRPr="00597337" w:rsidRDefault="00887731" w:rsidP="004551E9">
      <w:pPr>
        <w:pStyle w:val="Pie"/>
      </w:pPr>
      <w:r w:rsidRPr="00597337">
        <w:rPr>
          <w:rStyle w:val="Refdenotaalpie"/>
        </w:rPr>
        <w:footnoteRef/>
      </w:r>
      <w:r w:rsidRPr="00597337">
        <w:t xml:space="preserve"> Comunicación No. 17/2008, M. L. S. P. contra Brasil, 49º período de sesiones, CEDAW/C/49/D/17/2008, 27 de septiembre de 2011, párrafo 7.7. </w:t>
      </w:r>
    </w:p>
  </w:footnote>
  <w:footnote w:id="223">
    <w:p w:rsidR="00887731" w:rsidRPr="00597337" w:rsidRDefault="00887731" w:rsidP="004551E9">
      <w:pPr>
        <w:pStyle w:val="Pie"/>
      </w:pPr>
      <w:r w:rsidRPr="00597337">
        <w:rPr>
          <w:rStyle w:val="Refdenotaalpie"/>
        </w:rPr>
        <w:footnoteRef/>
      </w:r>
      <w:r w:rsidRPr="00597337">
        <w:t xml:space="preserve"> Comunicación No 27/2010, Z. M. contra Italia, Dictamen aprobado por el Comité en su 51º período de sesiones, 13 de febrero a 2 de marzo de 2012, CEDAW/C/51/D/19/2008, 27 de abril de 2012.</w:t>
      </w:r>
    </w:p>
  </w:footnote>
  <w:footnote w:id="224">
    <w:p w:rsidR="00887731" w:rsidRPr="00597337" w:rsidRDefault="00887731" w:rsidP="004551E9">
      <w:pPr>
        <w:pStyle w:val="Pie"/>
      </w:pPr>
      <w:r w:rsidRPr="00597337">
        <w:rPr>
          <w:rStyle w:val="Refdenotaalpie"/>
        </w:rPr>
        <w:footnoteRef/>
      </w:r>
      <w:r w:rsidRPr="00597337">
        <w:t xml:space="preserve"> Informe de México producido por el Comité para la Eliminación de la Discriminación contra la Mujer bajo el Artículo 8 del Protocolo Facultativo de la Convención y respuesta del Gobierno de México, Comité para la Eliminación de la Discriminación contra la Mujer, CEDAW/C/2005/OP.8/MEXICO, 27 enero 2005. </w:t>
      </w:r>
    </w:p>
  </w:footnote>
  <w:footnote w:id="225">
    <w:p w:rsidR="00887731" w:rsidRPr="00597337" w:rsidRDefault="00887731" w:rsidP="004551E9">
      <w:pPr>
        <w:pStyle w:val="Pie"/>
      </w:pPr>
      <w:r w:rsidRPr="00597337">
        <w:rPr>
          <w:rStyle w:val="Refdenotaalpie"/>
        </w:rPr>
        <w:footnoteRef/>
      </w:r>
      <w:r w:rsidRPr="00597337">
        <w:t xml:space="preserve"> Convención sobre los Derechos del Niño, Adoptada y abierta a la firma y ratificación por la Asamblea General en su resolución 44/25, de 20 de noviembre de 1989, Entrada en vigor: 2 de septiembre de 1990, de conformidad con el artículo 49.</w:t>
      </w:r>
    </w:p>
  </w:footnote>
  <w:footnote w:id="226">
    <w:p w:rsidR="00887731" w:rsidRPr="00597337" w:rsidRDefault="00887731" w:rsidP="004551E9">
      <w:pPr>
        <w:pStyle w:val="Pie"/>
      </w:pPr>
      <w:r w:rsidRPr="00597337">
        <w:rPr>
          <w:rStyle w:val="Refdenotaalpie"/>
        </w:rPr>
        <w:footnoteRef/>
      </w:r>
      <w:r w:rsidRPr="00597337">
        <w:t xml:space="preserve"> Sólo Estados Unidos y Somalia no han ratificado la CDN. Véase: Situación de ratificación, Reservas y declaraciones: </w:t>
      </w:r>
      <w:hyperlink r:id="rId11" w:history="1">
        <w:r w:rsidRPr="00597337">
          <w:rPr>
            <w:rStyle w:val="Hipervnculo"/>
          </w:rPr>
          <w:t>http://treaties.un.org/Pages/ViewDetails.aspx?src=TREATY&amp;mtdsg_no=IV-11&amp;chapter=4&amp;lang=en</w:t>
        </w:r>
      </w:hyperlink>
    </w:p>
  </w:footnote>
  <w:footnote w:id="227">
    <w:p w:rsidR="00887731" w:rsidRPr="00597337" w:rsidRDefault="00887731" w:rsidP="004551E9">
      <w:pPr>
        <w:pStyle w:val="Pie"/>
      </w:pPr>
      <w:r w:rsidRPr="00597337">
        <w:rPr>
          <w:rStyle w:val="Refdenotaalpie"/>
        </w:rPr>
        <w:footnoteRef/>
      </w:r>
      <w:r w:rsidRPr="00597337">
        <w:t xml:space="preserve"> Protocolo facultativo de la Convención sobre los Derechos del Niño relativo a la venta de niños, la prostitución infantil y la utilización de niños en la pornografía; Resolución A/RES/54/263 del 25 de mayo de 2000,entrada en vigor el 18 de enero de 2002; Protocolo facultativo de la Convención sobre los Derechos del Niño relativo a la participación de niños en los conflictos armados, Resolución A/RES/54/263 del 25 de mayo de 2000, entrada en vigor el 12 de febrero de 2002.</w:t>
      </w:r>
    </w:p>
  </w:footnote>
  <w:footnote w:id="228">
    <w:p w:rsidR="00887731" w:rsidRPr="00597337" w:rsidRDefault="00887731" w:rsidP="004551E9">
      <w:pPr>
        <w:pStyle w:val="Pie"/>
      </w:pPr>
      <w:r w:rsidRPr="00597337">
        <w:rPr>
          <w:rStyle w:val="Refdenotaalpie"/>
        </w:rPr>
        <w:footnoteRef/>
      </w:r>
      <w:r w:rsidRPr="00597337">
        <w:t xml:space="preserve"> QUINN, G. &amp; DEGENER, T., (2002a), op. cit. p. 132.</w:t>
      </w:r>
    </w:p>
  </w:footnote>
  <w:footnote w:id="229">
    <w:p w:rsidR="00887731" w:rsidRPr="00597337" w:rsidRDefault="00887731" w:rsidP="004551E9">
      <w:pPr>
        <w:pStyle w:val="Pie"/>
      </w:pPr>
      <w:r w:rsidRPr="00597337">
        <w:rPr>
          <w:rStyle w:val="Refdenotaalpie"/>
        </w:rPr>
        <w:footnoteRef/>
      </w:r>
      <w:r w:rsidRPr="00597337">
        <w:t xml:space="preserve"> Observación General nº 9 (2006), Los derechos de los niños con discapacidad, Comité de los Derechos del Niño, CRC/C/GC/9, 27 de febrero de 2007.</w:t>
      </w:r>
    </w:p>
  </w:footnote>
  <w:footnote w:id="230">
    <w:p w:rsidR="00887731" w:rsidRPr="00597337" w:rsidRDefault="00887731" w:rsidP="004551E9">
      <w:pPr>
        <w:pStyle w:val="Pie"/>
      </w:pPr>
      <w:r w:rsidRPr="00597337">
        <w:rPr>
          <w:rStyle w:val="Refdenotaalpie"/>
        </w:rPr>
        <w:footnoteRef/>
      </w:r>
      <w:r w:rsidRPr="00597337">
        <w:t xml:space="preserve"> Ídem, párrafos 8 y 9. </w:t>
      </w:r>
    </w:p>
  </w:footnote>
  <w:footnote w:id="231">
    <w:p w:rsidR="00887731" w:rsidRPr="00597337" w:rsidRDefault="00887731" w:rsidP="004551E9">
      <w:pPr>
        <w:pStyle w:val="Pie"/>
      </w:pPr>
      <w:r w:rsidRPr="00597337">
        <w:rPr>
          <w:rStyle w:val="Refdenotaalpie"/>
        </w:rPr>
        <w:footnoteRef/>
      </w:r>
      <w:r w:rsidRPr="00597337">
        <w:t xml:space="preserve"> Ídem, párrafos 11 a 14. </w:t>
      </w:r>
    </w:p>
  </w:footnote>
  <w:footnote w:id="232">
    <w:p w:rsidR="00887731" w:rsidRPr="00597337" w:rsidRDefault="00887731" w:rsidP="004551E9">
      <w:pPr>
        <w:pStyle w:val="Pie"/>
      </w:pPr>
      <w:r w:rsidRPr="00597337">
        <w:rPr>
          <w:rStyle w:val="Refdenotaalpie"/>
        </w:rPr>
        <w:footnoteRef/>
      </w:r>
      <w:r w:rsidRPr="00597337">
        <w:t xml:space="preserve"> Ídem, párrafos 17 a 27.</w:t>
      </w:r>
    </w:p>
  </w:footnote>
  <w:footnote w:id="233">
    <w:p w:rsidR="00887731" w:rsidRPr="00597337" w:rsidRDefault="00887731" w:rsidP="004551E9">
      <w:pPr>
        <w:pStyle w:val="Pie"/>
      </w:pPr>
      <w:r w:rsidRPr="00597337">
        <w:rPr>
          <w:rStyle w:val="Refdenotaalpie"/>
        </w:rPr>
        <w:footnoteRef/>
      </w:r>
      <w:r w:rsidRPr="00597337">
        <w:t xml:space="preserve"> Ídem, párrafos 34 a 40.</w:t>
      </w:r>
    </w:p>
  </w:footnote>
  <w:footnote w:id="234">
    <w:p w:rsidR="00887731" w:rsidRPr="00597337" w:rsidRDefault="00887731" w:rsidP="004551E9">
      <w:pPr>
        <w:pStyle w:val="Pie"/>
      </w:pPr>
      <w:r w:rsidRPr="00597337">
        <w:rPr>
          <w:rStyle w:val="Refdenotaalpie"/>
        </w:rPr>
        <w:footnoteRef/>
      </w:r>
      <w:r w:rsidRPr="00597337">
        <w:t xml:space="preserve"> Ídem, párrafos 41 a 50.</w:t>
      </w:r>
    </w:p>
  </w:footnote>
  <w:footnote w:id="235">
    <w:p w:rsidR="00887731" w:rsidRPr="00597337" w:rsidRDefault="00887731" w:rsidP="004551E9">
      <w:pPr>
        <w:pStyle w:val="Pie"/>
      </w:pPr>
      <w:r w:rsidRPr="00597337">
        <w:rPr>
          <w:rStyle w:val="Refdenotaalpie"/>
        </w:rPr>
        <w:footnoteRef/>
      </w:r>
      <w:r w:rsidRPr="00597337">
        <w:t xml:space="preserve"> Ídem, párrafos 51 a 61. </w:t>
      </w:r>
    </w:p>
  </w:footnote>
  <w:footnote w:id="236">
    <w:p w:rsidR="00887731" w:rsidRPr="00597337" w:rsidRDefault="00887731" w:rsidP="004551E9">
      <w:pPr>
        <w:pStyle w:val="Pie"/>
      </w:pPr>
      <w:r w:rsidRPr="00597337">
        <w:rPr>
          <w:rStyle w:val="Refdenotaalpie"/>
        </w:rPr>
        <w:footnoteRef/>
      </w:r>
      <w:r w:rsidRPr="00597337">
        <w:t xml:space="preserve"> Ídem, párrafos 66 a 72.</w:t>
      </w:r>
    </w:p>
  </w:footnote>
  <w:footnote w:id="237">
    <w:p w:rsidR="00887731" w:rsidRPr="00597337" w:rsidRDefault="00887731" w:rsidP="004551E9">
      <w:pPr>
        <w:pStyle w:val="Pie"/>
      </w:pPr>
      <w:r w:rsidRPr="00597337">
        <w:rPr>
          <w:rStyle w:val="Refdenotaalpie"/>
        </w:rPr>
        <w:footnoteRef/>
      </w:r>
      <w:r w:rsidRPr="00597337">
        <w:t xml:space="preserve"> Ídem, párrafos 28 a33.</w:t>
      </w:r>
    </w:p>
  </w:footnote>
  <w:footnote w:id="238">
    <w:p w:rsidR="00887731" w:rsidRPr="00597337" w:rsidRDefault="00887731" w:rsidP="004551E9">
      <w:pPr>
        <w:pStyle w:val="Pie"/>
      </w:pPr>
      <w:r w:rsidRPr="00597337">
        <w:rPr>
          <w:rStyle w:val="Refdenotaalpie"/>
        </w:rPr>
        <w:footnoteRef/>
      </w:r>
      <w:r w:rsidRPr="00597337">
        <w:t xml:space="preserve"> Observación General nº 12 (2009), El derecho del niño a ser escuchado, Comité de los Derechos del Niño El derecho del niño a ser escuchado, CRC/C/GC/12, 20 de julio de 2009, párrafos 21 y 100 respectivamente. </w:t>
      </w:r>
    </w:p>
  </w:footnote>
  <w:footnote w:id="239">
    <w:p w:rsidR="00887731" w:rsidRPr="00597337" w:rsidRDefault="00887731" w:rsidP="004551E9">
      <w:pPr>
        <w:pStyle w:val="Pie"/>
      </w:pPr>
      <w:r w:rsidRPr="00597337">
        <w:rPr>
          <w:rStyle w:val="Refdenotaalpie"/>
        </w:rPr>
        <w:footnoteRef/>
      </w:r>
      <w:r w:rsidRPr="00597337">
        <w:t xml:space="preserve"> Protocolo facultativo de la Convención sobre los Derechos del Niño relativo a un procedimiento de comunicaciones, A/HRC/17/L.8, 9 de junio de 2011.</w:t>
      </w:r>
    </w:p>
  </w:footnote>
  <w:footnote w:id="240">
    <w:p w:rsidR="00887731" w:rsidRPr="00597337" w:rsidRDefault="00887731" w:rsidP="004551E9">
      <w:pPr>
        <w:pStyle w:val="Pie"/>
      </w:pPr>
      <w:r w:rsidRPr="00597337">
        <w:rPr>
          <w:rStyle w:val="Refdenotaalpie"/>
        </w:rPr>
        <w:footnoteRef/>
      </w:r>
      <w:r w:rsidRPr="00597337">
        <w:t xml:space="preserve"> Comité de los Derechos del Niño, Orientaciones generales respecto de la forma y el  contenido de los informes que han de presentar los Estados partes en virtud del artículo 44, párrafo 1 b), de la Convención sobre los Derechos del Niño, Aprobadas por el Comité en su 55º período de sesiones (13 de septiembre 1º de octubre de 2010), CRC/C/58/Rev.2, 23 de noviembre de 2010, párrafos 16 y 33 respectivamente. </w:t>
      </w:r>
    </w:p>
  </w:footnote>
  <w:footnote w:id="241">
    <w:p w:rsidR="00887731" w:rsidRPr="00597337" w:rsidRDefault="00887731" w:rsidP="004551E9">
      <w:pPr>
        <w:pStyle w:val="Pie"/>
      </w:pPr>
      <w:r w:rsidRPr="00597337">
        <w:rPr>
          <w:rStyle w:val="Refdenotaalpie"/>
        </w:rPr>
        <w:footnoteRef/>
      </w:r>
      <w:r w:rsidRPr="00597337">
        <w:t xml:space="preserve"> QUINN, G. &amp; DEGENER, T., (2002a), op. cit. pp. 142-154.</w:t>
      </w:r>
    </w:p>
  </w:footnote>
  <w:footnote w:id="242">
    <w:p w:rsidR="00887731" w:rsidRPr="00597337" w:rsidRDefault="00887731" w:rsidP="004551E9">
      <w:pPr>
        <w:pStyle w:val="Pie"/>
      </w:pPr>
      <w:r w:rsidRPr="00597337">
        <w:rPr>
          <w:rStyle w:val="Refdenotaalpie"/>
        </w:rPr>
        <w:footnoteRef/>
      </w:r>
      <w:r w:rsidRPr="00597337">
        <w:t xml:space="preserve"> Informe de Canadá (CRC/C/CAN/3-4, 4 de enero de 2012).</w:t>
      </w:r>
    </w:p>
  </w:footnote>
  <w:footnote w:id="243">
    <w:p w:rsidR="00887731" w:rsidRPr="00597337" w:rsidRDefault="00887731" w:rsidP="004551E9">
      <w:pPr>
        <w:pStyle w:val="Pie"/>
      </w:pPr>
      <w:r w:rsidRPr="00597337">
        <w:rPr>
          <w:rStyle w:val="Refdenotaalpie"/>
        </w:rPr>
        <w:footnoteRef/>
      </w:r>
      <w:r w:rsidRPr="00597337">
        <w:t xml:space="preserve"> Informe de Austria (CRC/C/AUT/3-4, 16 de noviembre de 2011)</w:t>
      </w:r>
    </w:p>
  </w:footnote>
  <w:footnote w:id="244">
    <w:p w:rsidR="00887731" w:rsidRPr="00597337" w:rsidRDefault="00887731" w:rsidP="004551E9">
      <w:pPr>
        <w:pStyle w:val="Pie"/>
      </w:pPr>
      <w:r w:rsidRPr="00597337">
        <w:rPr>
          <w:rStyle w:val="Refdenotaalpie"/>
        </w:rPr>
        <w:footnoteRef/>
      </w:r>
      <w:r w:rsidRPr="00597337">
        <w:t xml:space="preserve"> Informe de Italia (CRC/C/ITA/3-4, 5 de julio de 2010)</w:t>
      </w:r>
    </w:p>
  </w:footnote>
  <w:footnote w:id="245">
    <w:p w:rsidR="00887731" w:rsidRPr="00597337" w:rsidRDefault="00887731" w:rsidP="004551E9">
      <w:pPr>
        <w:pStyle w:val="Pie"/>
      </w:pPr>
      <w:r w:rsidRPr="00597337">
        <w:rPr>
          <w:rStyle w:val="Refdenotaalpie"/>
        </w:rPr>
        <w:footnoteRef/>
      </w:r>
      <w:r w:rsidRPr="00597337">
        <w:t xml:space="preserve"> Informe de Bolivia (CRC/C/BOL/4, 25 de marzo de 2009). </w:t>
      </w:r>
    </w:p>
  </w:footnote>
  <w:footnote w:id="246">
    <w:p w:rsidR="00887731" w:rsidRPr="00597337" w:rsidRDefault="00887731" w:rsidP="004551E9">
      <w:pPr>
        <w:pStyle w:val="Pie"/>
      </w:pPr>
      <w:r w:rsidRPr="00597337">
        <w:rPr>
          <w:rStyle w:val="Refdenotaalpie"/>
        </w:rPr>
        <w:footnoteRef/>
      </w:r>
      <w:r w:rsidRPr="00597337">
        <w:t xml:space="preserve"> Véase por ejemplo las Observaciones finales a los informes de Estados señalados anteriormente: Observaciones Finales del Comité a Canadá (CRC/C/CAN/CO/3-4, 6 de diciembre de 2012); Observaciones Finales del Comité a Austria (CRC/C/AUT/CO/3-4, 3 de diciembre de 2012); Observaciones Finales del Comité a Italia (CRC/C/ITA/CO/3-4,  31 de octubre de 2011); Observaciones Finales del Comité a Bolivia (CRC/C/BOL/CO/4, 16 de octubre de 2009).</w:t>
      </w:r>
    </w:p>
  </w:footnote>
  <w:footnote w:id="247">
    <w:p w:rsidR="00887731" w:rsidRPr="004551E9" w:rsidRDefault="00887731" w:rsidP="004551E9">
      <w:pPr>
        <w:pStyle w:val="Pie"/>
        <w:rPr>
          <w:lang w:val="en-US"/>
        </w:rPr>
      </w:pPr>
      <w:r w:rsidRPr="00597337">
        <w:rPr>
          <w:rStyle w:val="Refdenotaalpie"/>
        </w:rPr>
        <w:footnoteRef/>
      </w:r>
      <w:r w:rsidRPr="004551E9">
        <w:rPr>
          <w:lang w:val="en-US"/>
        </w:rPr>
        <w:t xml:space="preserve"> Para un </w:t>
      </w:r>
      <w:proofErr w:type="spellStart"/>
      <w:r w:rsidRPr="004551E9">
        <w:rPr>
          <w:lang w:val="en-US"/>
        </w:rPr>
        <w:t>análisis</w:t>
      </w:r>
      <w:proofErr w:type="spellEnd"/>
      <w:r w:rsidRPr="004551E9">
        <w:rPr>
          <w:lang w:val="en-US"/>
        </w:rPr>
        <w:t xml:space="preserve"> </w:t>
      </w:r>
      <w:proofErr w:type="spellStart"/>
      <w:r w:rsidRPr="004551E9">
        <w:rPr>
          <w:lang w:val="en-US"/>
        </w:rPr>
        <w:t>exhaustivo</w:t>
      </w:r>
      <w:proofErr w:type="spellEnd"/>
      <w:r w:rsidRPr="004551E9">
        <w:rPr>
          <w:lang w:val="en-US"/>
        </w:rPr>
        <w:t xml:space="preserve"> de la CDPD </w:t>
      </w:r>
      <w:proofErr w:type="spellStart"/>
      <w:r w:rsidRPr="004551E9">
        <w:rPr>
          <w:lang w:val="en-US"/>
        </w:rPr>
        <w:t>véase</w:t>
      </w:r>
      <w:proofErr w:type="spellEnd"/>
      <w:r w:rsidRPr="004551E9">
        <w:rPr>
          <w:lang w:val="en-US"/>
        </w:rPr>
        <w:t xml:space="preserve">: PALACIOS A &amp; BARIFFI F, (2007), op. cit.; </w:t>
      </w:r>
      <w:r w:rsidRPr="004551E9">
        <w:rPr>
          <w:caps/>
          <w:lang w:val="en-US"/>
        </w:rPr>
        <w:t>Palacios A, &amp; Walls M</w:t>
      </w:r>
      <w:r w:rsidRPr="004551E9">
        <w:rPr>
          <w:lang w:val="en-US"/>
        </w:rPr>
        <w:t xml:space="preserve">, (2007) “Changing the Paradigm – the Potential impact of the United Nations Convention on the Rights of Persons with Disabilities”, </w:t>
      </w:r>
      <w:r w:rsidRPr="004551E9">
        <w:rPr>
          <w:i/>
          <w:lang w:val="en-US"/>
        </w:rPr>
        <w:t xml:space="preserve">Irish Yearbook of International Law </w:t>
      </w:r>
      <w:r w:rsidRPr="004551E9">
        <w:rPr>
          <w:lang w:val="en-US"/>
        </w:rPr>
        <w:t xml:space="preserve">Vol. 1; LAWSON, A., (2006-2007), op. cit.; </w:t>
      </w:r>
      <w:r w:rsidRPr="004551E9">
        <w:rPr>
          <w:caps/>
          <w:lang w:val="en-US"/>
        </w:rPr>
        <w:t>McKay D</w:t>
      </w:r>
      <w:r w:rsidRPr="004551E9">
        <w:rPr>
          <w:lang w:val="en-US"/>
        </w:rPr>
        <w:t xml:space="preserve">, (2006-2007) “The United Nations Convention of the Rights of Persons with Disabilities”, </w:t>
      </w:r>
      <w:r w:rsidRPr="004551E9">
        <w:rPr>
          <w:i/>
          <w:lang w:val="en-US"/>
        </w:rPr>
        <w:t>Syracuse Journal of International Law and Commerce</w:t>
      </w:r>
      <w:r w:rsidRPr="004551E9">
        <w:rPr>
          <w:lang w:val="en-US"/>
        </w:rPr>
        <w:t>, vol., 34, pp. 323-331; KAYESS, R. &amp; FRENCH, P., (2008) op. cit., pp. 1-34.</w:t>
      </w:r>
    </w:p>
  </w:footnote>
  <w:footnote w:id="248">
    <w:p w:rsidR="00887731" w:rsidRPr="00597337" w:rsidRDefault="00887731" w:rsidP="004551E9">
      <w:pPr>
        <w:pStyle w:val="Pie"/>
      </w:pPr>
      <w:r w:rsidRPr="00597337">
        <w:rPr>
          <w:rStyle w:val="Refdenotaalpie"/>
        </w:rPr>
        <w:footnoteRef/>
      </w:r>
      <w:r w:rsidRPr="00597337">
        <w:t xml:space="preserve"> En el ámbito de la OEA se encuentra vigente la Convención Interamericana para la eliminación de todas las formas de discriminación contra las personas con discapacidad, adoptada en Guatemala el 7 de junio de 1999, y que entró en vigor el 14 de septiembre de 2001. </w:t>
      </w:r>
    </w:p>
  </w:footnote>
  <w:footnote w:id="249">
    <w:p w:rsidR="00887731" w:rsidRPr="00597337" w:rsidRDefault="00887731" w:rsidP="004551E9">
      <w:pPr>
        <w:pStyle w:val="Pie"/>
      </w:pPr>
      <w:r w:rsidRPr="00597337">
        <w:rPr>
          <w:rStyle w:val="Refdenotaalpie"/>
        </w:rPr>
        <w:footnoteRef/>
      </w:r>
      <w:r w:rsidRPr="00597337">
        <w:t xml:space="preserve"> Para un repaso del proceso de negociación y de la participación de España véase: CABRA DE LUNA, M.A., BARIFFI, F., &amp; PALACIOS, A., (2007), op. cit.</w:t>
      </w:r>
    </w:p>
  </w:footnote>
  <w:footnote w:id="250">
    <w:p w:rsidR="00887731" w:rsidRPr="00597337" w:rsidRDefault="00887731" w:rsidP="004551E9">
      <w:pPr>
        <w:pStyle w:val="Pie"/>
      </w:pPr>
      <w:r w:rsidRPr="00597337">
        <w:rPr>
          <w:rStyle w:val="Refdenotaalpie"/>
        </w:rPr>
        <w:footnoteRef/>
      </w:r>
      <w:r w:rsidRPr="00597337">
        <w:t xml:space="preserve"> Primer período de sesiones, del 29 de julio al 9 de agosto de 2002, UN Doc A/57/357; Segundo período de sesiones, del 16 al 27 de junio de 2003, UN Doc, A/58/118 &amp; Corr.1, 3 July 2003, Grupo de trabajo sobre la convención, del 5 al 16 de enero de 2004, UN Doc A/AC.265/2004/WG/1; Tercer período de sesiones, del 24 de mayo al 4 de junio de 2004, UN Doc, A/AC.265/2004/5, 9 June 2004; Cuarto período de sesiones, del 23 de agosto al 3 de septiembre de 2004, UN Doc A/59/360, 14 September 2004; Quinto periodo de sesiones, del 24 de enero al 3 de febrero de 2005, UN Doc A/AC.265/2005/2, 23 February 2005; Sexto periodo de sesiones, del 1° al 12 de agosto de 2005, UN Doc A/60/266, 17 August 2005; Séptimo periodo de sesiones, del 16 de enero a 3 de febrero de 2006, UN Doc. A/AC.265/2006/2, 13 February 2006; Octavo periodo de sesiones, del 14 al 25 de agosto y 5 de diciembre de 2006, UN Doc A/AC.265/2006/4, 1 September 2006) y Final report of the Ad Hoc Committee UN Doc A/61/611, 6 December 2006</w:t>
      </w:r>
    </w:p>
  </w:footnote>
  <w:footnote w:id="251">
    <w:p w:rsidR="00887731" w:rsidRPr="00597337" w:rsidRDefault="00887731" w:rsidP="004551E9">
      <w:pPr>
        <w:pStyle w:val="Pie"/>
        <w:rPr>
          <w:lang w:val="en-US"/>
        </w:rPr>
      </w:pPr>
      <w:r w:rsidRPr="00597337">
        <w:rPr>
          <w:rStyle w:val="Refdenotaalpie"/>
        </w:rPr>
        <w:footnoteRef/>
      </w:r>
      <w:r w:rsidRPr="00597337">
        <w:t xml:space="preserve"> Si bien el proceso involucró todo tipo de organizaciones de la sociedad civil, como organizaciones de derechos humanos, de padres de personas con discapacidad, de asociaciones y fundaciones, fueron las OPD (Organizaciones de Personas con Discapacidad) quienes claramente lideraron el proceso desde el lado de la sociedad civil. Los OPD se han consolidados como verdaderos representantes de las voces de las reivindicaciones de las personas con discapacidad. </w:t>
      </w:r>
      <w:r w:rsidRPr="00597337">
        <w:rPr>
          <w:lang w:val="en-US"/>
        </w:rPr>
        <w:t xml:space="preserve">Al respecto véase: </w:t>
      </w:r>
      <w:r w:rsidRPr="00597337">
        <w:rPr>
          <w:caps/>
          <w:lang w:val="en-US"/>
        </w:rPr>
        <w:t>Driedger, D</w:t>
      </w:r>
      <w:r w:rsidRPr="00597337">
        <w:rPr>
          <w:lang w:val="en-US"/>
        </w:rPr>
        <w:t xml:space="preserve"> (1989) </w:t>
      </w:r>
      <w:r w:rsidRPr="00597337">
        <w:rPr>
          <w:i/>
          <w:lang w:val="en-US"/>
        </w:rPr>
        <w:t>The Last Civil Rights Movement: Disabled Peoples' International</w:t>
      </w:r>
      <w:r w:rsidRPr="00597337">
        <w:rPr>
          <w:lang w:val="en-US"/>
        </w:rPr>
        <w:t xml:space="preserve">, C Hurst &amp; Co Publishers, London.  </w:t>
      </w:r>
    </w:p>
  </w:footnote>
  <w:footnote w:id="252">
    <w:p w:rsidR="00887731" w:rsidRPr="00597337" w:rsidRDefault="00887731" w:rsidP="004551E9">
      <w:pPr>
        <w:pStyle w:val="Pie"/>
      </w:pPr>
      <w:r w:rsidRPr="00597337">
        <w:rPr>
          <w:rStyle w:val="Refdenotaalpie"/>
        </w:rPr>
        <w:footnoteRef/>
      </w:r>
      <w:r w:rsidRPr="00597337">
        <w:t xml:space="preserve"> La principal alianza estratégica que se constituyó para la negociación del tratado fue el Foro Internacional de la Discapacidad (</w:t>
      </w:r>
      <w:r w:rsidRPr="00597337">
        <w:rPr>
          <w:i/>
        </w:rPr>
        <w:t>International Disability Caucus</w:t>
      </w:r>
      <w:r w:rsidRPr="00597337">
        <w:t>) promovido desde la Alianza Internacional de la Discapacidad (</w:t>
      </w:r>
      <w:r w:rsidRPr="00597337">
        <w:rPr>
          <w:i/>
        </w:rPr>
        <w:t>International Disability Alliance IDA</w:t>
      </w:r>
      <w:r w:rsidRPr="00597337">
        <w:t xml:space="preserve">) Para mayor información: </w:t>
      </w:r>
      <w:hyperlink r:id="rId12" w:history="1">
        <w:r w:rsidRPr="00597337">
          <w:rPr>
            <w:rStyle w:val="Hipervnculo"/>
          </w:rPr>
          <w:t>http://www.internationaldisabilityalliance.org</w:t>
        </w:r>
      </w:hyperlink>
    </w:p>
  </w:footnote>
  <w:footnote w:id="253">
    <w:p w:rsidR="00887731" w:rsidRPr="00597337" w:rsidRDefault="00887731" w:rsidP="004551E9">
      <w:pPr>
        <w:pStyle w:val="Pie"/>
        <w:rPr>
          <w:lang w:val="es-AR"/>
        </w:rPr>
      </w:pPr>
      <w:r w:rsidRPr="00597337">
        <w:rPr>
          <w:rStyle w:val="Refdenotaalpie"/>
        </w:rPr>
        <w:footnoteRef/>
      </w:r>
      <w:r w:rsidRPr="00597337">
        <w:t xml:space="preserve"> Las mismas se pueden consultar en la web de la ONU: </w:t>
      </w:r>
      <w:hyperlink r:id="rId13" w:history="1">
        <w:r w:rsidRPr="00597337">
          <w:rPr>
            <w:rStyle w:val="Hipervnculo"/>
            <w:lang w:val="es-AR"/>
          </w:rPr>
          <w:t>http://www.un.org/disabilities/default.asp?id=1423</w:t>
        </w:r>
      </w:hyperlink>
      <w:r w:rsidRPr="00597337">
        <w:rPr>
          <w:lang w:val="es-AR"/>
        </w:rPr>
        <w:t xml:space="preserve"> </w:t>
      </w:r>
    </w:p>
  </w:footnote>
  <w:footnote w:id="254">
    <w:p w:rsidR="00887731" w:rsidRPr="004551E9" w:rsidRDefault="00887731" w:rsidP="004551E9">
      <w:pPr>
        <w:pStyle w:val="Pie"/>
        <w:rPr>
          <w:lang w:val="en-US"/>
        </w:rPr>
      </w:pPr>
      <w:r w:rsidRPr="00597337">
        <w:rPr>
          <w:rStyle w:val="Refdenotaalpie"/>
        </w:rPr>
        <w:footnoteRef/>
      </w:r>
      <w:r w:rsidRPr="004551E9">
        <w:rPr>
          <w:lang w:val="en-US"/>
        </w:rPr>
        <w:t xml:space="preserve"> CHARLTON J. I., (1998), Nothing </w:t>
      </w:r>
      <w:proofErr w:type="gramStart"/>
      <w:r w:rsidRPr="004551E9">
        <w:rPr>
          <w:lang w:val="en-US"/>
        </w:rPr>
        <w:t>About</w:t>
      </w:r>
      <w:proofErr w:type="gramEnd"/>
      <w:r w:rsidRPr="004551E9">
        <w:rPr>
          <w:lang w:val="en-US"/>
        </w:rPr>
        <w:t xml:space="preserve"> Us Without Us: Disability Oppression and Empowerment, University of California Press. </w:t>
      </w:r>
    </w:p>
  </w:footnote>
  <w:footnote w:id="255">
    <w:p w:rsidR="00887731" w:rsidRPr="00562DB8" w:rsidRDefault="00887731" w:rsidP="004551E9">
      <w:pPr>
        <w:pStyle w:val="Pie"/>
        <w:rPr>
          <w:lang w:val="en-US"/>
        </w:rPr>
      </w:pPr>
      <w:r w:rsidRPr="00597337">
        <w:rPr>
          <w:rStyle w:val="Refdenotaalpie"/>
        </w:rPr>
        <w:footnoteRef/>
      </w:r>
      <w:r w:rsidRPr="004551E9">
        <w:rPr>
          <w:lang w:val="en-US"/>
        </w:rPr>
        <w:t xml:space="preserve"> Como </w:t>
      </w:r>
      <w:proofErr w:type="spellStart"/>
      <w:r w:rsidRPr="004551E9">
        <w:rPr>
          <w:lang w:val="en-US"/>
        </w:rPr>
        <w:t>señala</w:t>
      </w:r>
      <w:proofErr w:type="spellEnd"/>
      <w:r w:rsidRPr="004551E9">
        <w:rPr>
          <w:lang w:val="en-US"/>
        </w:rPr>
        <w:t xml:space="preserve"> el </w:t>
      </w:r>
      <w:proofErr w:type="spellStart"/>
      <w:r w:rsidRPr="004551E9">
        <w:rPr>
          <w:lang w:val="en-US"/>
        </w:rPr>
        <w:t>profesor</w:t>
      </w:r>
      <w:proofErr w:type="spellEnd"/>
      <w:r w:rsidRPr="004551E9">
        <w:rPr>
          <w:lang w:val="en-US"/>
        </w:rPr>
        <w:t xml:space="preserve"> Quinn […the Convention provides a tool to force acknowledgment of a contradiction. </w:t>
      </w:r>
      <w:r w:rsidRPr="00562DB8">
        <w:rPr>
          <w:lang w:val="en-US"/>
        </w:rPr>
        <w:t>But in creating a new political opening for persons with disabilities to interact with government, it also enables change to happen…], QUINN, G., (2009-2010), op. cit., p.39.</w:t>
      </w:r>
    </w:p>
  </w:footnote>
  <w:footnote w:id="256">
    <w:p w:rsidR="00887731" w:rsidRPr="004551E9" w:rsidRDefault="00887731" w:rsidP="004551E9">
      <w:pPr>
        <w:pStyle w:val="Pie"/>
        <w:rPr>
          <w:lang w:val="en-US"/>
        </w:rPr>
      </w:pPr>
      <w:r w:rsidRPr="00597337">
        <w:rPr>
          <w:rStyle w:val="Refdenotaalpie"/>
        </w:rPr>
        <w:footnoteRef/>
      </w:r>
      <w:r w:rsidRPr="004551E9">
        <w:rPr>
          <w:lang w:val="en-US"/>
        </w:rPr>
        <w:t xml:space="preserve"> </w:t>
      </w:r>
      <w:proofErr w:type="gramStart"/>
      <w:r w:rsidRPr="004551E9">
        <w:rPr>
          <w:lang w:val="en-US"/>
        </w:rPr>
        <w:t>LAWSON A, (2007), op. cit. p.593.</w:t>
      </w:r>
      <w:proofErr w:type="gramEnd"/>
      <w:r w:rsidRPr="004551E9">
        <w:rPr>
          <w:lang w:val="en-US"/>
        </w:rPr>
        <w:t xml:space="preserve"> </w:t>
      </w:r>
    </w:p>
  </w:footnote>
  <w:footnote w:id="257">
    <w:p w:rsidR="00887731" w:rsidRPr="00597337" w:rsidRDefault="00887731" w:rsidP="004551E9">
      <w:pPr>
        <w:pStyle w:val="Pie"/>
        <w:rPr>
          <w:lang w:val="es-AR"/>
        </w:rPr>
      </w:pPr>
      <w:r w:rsidRPr="00597337">
        <w:rPr>
          <w:rStyle w:val="Refdenotaalpie"/>
        </w:rPr>
        <w:footnoteRef/>
      </w:r>
      <w:r w:rsidRPr="00562DB8">
        <w:rPr>
          <w:lang w:val="en-US"/>
        </w:rPr>
        <w:t xml:space="preserve"> […The Chair stated that there were several options if a consensus could not be reached on the definition of disability, including referencing elements of a definition in the preamble as suggested by Serbia and Montenegro, or mentioning the issue in the final report adopting the convention. He noted also that the definitions used in the Inter-American Convention, as well as those proposed by Kenya and Australia, are relatively brief, and stated that a definition of disability would optimally combine both the medical and the social approach.  Although he considered the Inter-American approach to be medical, he acknowledged that as Brazil had pointed out, it did incorporate some elements from the social approach.  He also acknowledged that other international conventions, such as CRC, CEDAW, and the CERD, do not explicitly define children, women, or race, respectively; however, he also recognized the complexity and nuance inherent in a definition of either disability or persons with disabilities…] UN Convention on the Human Rights of People with Disabilities Ad Hoc Committee, Daily summary of discussion at the seventh session, 31 January 2006. </w:t>
      </w:r>
      <w:r w:rsidRPr="00597337">
        <w:rPr>
          <w:lang w:val="es-AR"/>
        </w:rPr>
        <w:t xml:space="preserve">Disponible en: </w:t>
      </w:r>
      <w:hyperlink r:id="rId14" w:history="1">
        <w:r w:rsidRPr="00597337">
          <w:rPr>
            <w:rStyle w:val="Hipervnculo"/>
            <w:lang w:val="es-AR"/>
          </w:rPr>
          <w:t>http://www.un.org/esa/socdev/enable/rights/ahc7sum31jan.htm</w:t>
        </w:r>
      </w:hyperlink>
      <w:r w:rsidRPr="00597337">
        <w:rPr>
          <w:lang w:val="es-AR"/>
        </w:rPr>
        <w:t xml:space="preserve"> </w:t>
      </w:r>
    </w:p>
  </w:footnote>
  <w:footnote w:id="258">
    <w:p w:rsidR="00887731" w:rsidRPr="00597337" w:rsidRDefault="00887731" w:rsidP="004551E9">
      <w:pPr>
        <w:pStyle w:val="Pie"/>
      </w:pPr>
      <w:r w:rsidRPr="00597337">
        <w:rPr>
          <w:rStyle w:val="Refdenotaalpie"/>
        </w:rPr>
        <w:footnoteRef/>
      </w:r>
      <w:r w:rsidRPr="00562DB8">
        <w:rPr>
          <w:lang w:val="en-US"/>
        </w:rPr>
        <w:t xml:space="preserve"> [IDC (…) opposed a definition of “disability” as such, as over time it could not effectively describe all kinds of disabilities.  It hoped to move away from a medical approach and towards a definition focused on the relationship between disability and the social environment.  It therefore supported a definition of “person with a disability,” as reflected in its written proposal…] </w:t>
      </w:r>
      <w:proofErr w:type="spellStart"/>
      <w:proofErr w:type="gramStart"/>
      <w:r w:rsidRPr="00597337">
        <w:t>Idem</w:t>
      </w:r>
      <w:proofErr w:type="spellEnd"/>
      <w:proofErr w:type="gramEnd"/>
      <w:r w:rsidRPr="00597337">
        <w:t xml:space="preserve">. </w:t>
      </w:r>
    </w:p>
  </w:footnote>
  <w:footnote w:id="259">
    <w:p w:rsidR="00887731" w:rsidRPr="00562DB8" w:rsidRDefault="00887731" w:rsidP="004551E9">
      <w:pPr>
        <w:pStyle w:val="Pie"/>
      </w:pPr>
      <w:r w:rsidRPr="00597337">
        <w:rPr>
          <w:rStyle w:val="Refdenotaalpie"/>
        </w:rPr>
        <w:footnoteRef/>
      </w:r>
      <w:r w:rsidRPr="00562DB8">
        <w:t xml:space="preserve"> KAYESS, R. &amp; FRENCH, P., (2008), </w:t>
      </w:r>
      <w:proofErr w:type="spellStart"/>
      <w:r w:rsidRPr="00562DB8">
        <w:t>op</w:t>
      </w:r>
      <w:proofErr w:type="spellEnd"/>
      <w:r w:rsidRPr="00562DB8">
        <w:t xml:space="preserve">. cit. p. 24. </w:t>
      </w:r>
    </w:p>
  </w:footnote>
  <w:footnote w:id="260">
    <w:p w:rsidR="00887731" w:rsidRPr="00597337" w:rsidRDefault="00887731" w:rsidP="004551E9">
      <w:pPr>
        <w:pStyle w:val="Pie"/>
      </w:pPr>
      <w:r w:rsidRPr="00597337">
        <w:rPr>
          <w:rStyle w:val="Refdenotaalpie"/>
        </w:rPr>
        <w:footnoteRef/>
      </w:r>
      <w:r w:rsidRPr="00597337">
        <w:t xml:space="preserve"> A diferencia de la CDPD la Convención Interamericana para la Eliminación de Todas Formas de Discriminación contra las Personas con Discapacidad establece que “</w:t>
      </w:r>
      <w:r w:rsidRPr="00597337">
        <w:rPr>
          <w:i/>
        </w:rPr>
        <w:t>el término "discapacidad" significa una deficiencia física, mental o sensorial, ya sea de naturaleza permanente o temporal, que limita la capacidad de ejercer una o más actividades esenciales de la vida diaria, que puede ser causada o agravada por el entorno económico y social</w:t>
      </w:r>
      <w:r w:rsidRPr="00597337">
        <w:t xml:space="preserve">”. Aunque algunas delegaciones, principalmente del ámbito americano, propusieron la incorporación de un concepto similar al vigente en la OEA, esta iniciativa rechazada por la mayoría de Estados, y por prácticamente la totalidad de las OPD. </w:t>
      </w:r>
      <w:r w:rsidRPr="00597337">
        <w:rPr>
          <w:lang w:val="en-US"/>
        </w:rPr>
        <w:t xml:space="preserve">Véase al respecto. UN Convention on the Human Rights of People with Disabilities Ad Hoc Committee, Daily summary of discussion at the seventh session, 31 January 2006. </w:t>
      </w:r>
      <w:r w:rsidRPr="00597337">
        <w:t xml:space="preserve">Disponible en: </w:t>
      </w:r>
      <w:hyperlink r:id="rId15" w:history="1">
        <w:r w:rsidRPr="00597337">
          <w:rPr>
            <w:rStyle w:val="Hipervnculo"/>
            <w:lang w:val="es-AR"/>
          </w:rPr>
          <w:t>http://www.un.org/esa/socdev/enable/rights/ahc7sum31jan.htm</w:t>
        </w:r>
      </w:hyperlink>
    </w:p>
  </w:footnote>
  <w:footnote w:id="261">
    <w:p w:rsidR="00887731" w:rsidRPr="00597337" w:rsidRDefault="00887731" w:rsidP="004551E9">
      <w:pPr>
        <w:pStyle w:val="Pie"/>
        <w:rPr>
          <w:lang w:val="es-AR"/>
        </w:rPr>
      </w:pPr>
      <w:r w:rsidRPr="00597337">
        <w:rPr>
          <w:rStyle w:val="Refdenotaalpie"/>
        </w:rPr>
        <w:footnoteRef/>
      </w:r>
      <w:r w:rsidRPr="004551E9">
        <w:rPr>
          <w:lang w:val="en-US"/>
        </w:rPr>
        <w:t xml:space="preserve"> Como </w:t>
      </w:r>
      <w:proofErr w:type="spellStart"/>
      <w:r w:rsidRPr="004551E9">
        <w:rPr>
          <w:lang w:val="en-US"/>
        </w:rPr>
        <w:t>señalan</w:t>
      </w:r>
      <w:proofErr w:type="spellEnd"/>
      <w:r w:rsidRPr="004551E9">
        <w:rPr>
          <w:lang w:val="en-US"/>
        </w:rPr>
        <w:t xml:space="preserve"> </w:t>
      </w:r>
      <w:proofErr w:type="spellStart"/>
      <w:r w:rsidRPr="004551E9">
        <w:rPr>
          <w:lang w:val="en-US"/>
        </w:rPr>
        <w:t>Keyess</w:t>
      </w:r>
      <w:proofErr w:type="spellEnd"/>
      <w:r w:rsidRPr="004551E9">
        <w:rPr>
          <w:lang w:val="en-US"/>
        </w:rPr>
        <w:t xml:space="preserve"> y French </w:t>
      </w:r>
      <w:proofErr w:type="spellStart"/>
      <w:r w:rsidRPr="004551E9">
        <w:rPr>
          <w:lang w:val="en-US"/>
        </w:rPr>
        <w:t>esto</w:t>
      </w:r>
      <w:proofErr w:type="spellEnd"/>
      <w:r w:rsidRPr="004551E9">
        <w:rPr>
          <w:lang w:val="en-US"/>
        </w:rPr>
        <w:t xml:space="preserve"> puede </w:t>
      </w:r>
      <w:proofErr w:type="spellStart"/>
      <w:r w:rsidRPr="004551E9">
        <w:rPr>
          <w:lang w:val="en-US"/>
        </w:rPr>
        <w:t>acarrear</w:t>
      </w:r>
      <w:proofErr w:type="spellEnd"/>
      <w:r w:rsidRPr="004551E9">
        <w:rPr>
          <w:lang w:val="en-US"/>
        </w:rPr>
        <w:t xml:space="preserve"> </w:t>
      </w:r>
      <w:proofErr w:type="spellStart"/>
      <w:r w:rsidRPr="004551E9">
        <w:rPr>
          <w:lang w:val="en-US"/>
        </w:rPr>
        <w:t>ciertos</w:t>
      </w:r>
      <w:proofErr w:type="spellEnd"/>
      <w:r w:rsidRPr="004551E9">
        <w:rPr>
          <w:lang w:val="en-US"/>
        </w:rPr>
        <w:t xml:space="preserve"> </w:t>
      </w:r>
      <w:proofErr w:type="spellStart"/>
      <w:r w:rsidRPr="004551E9">
        <w:rPr>
          <w:lang w:val="en-US"/>
        </w:rPr>
        <w:t>riesgos</w:t>
      </w:r>
      <w:proofErr w:type="spellEnd"/>
      <w:r w:rsidRPr="004551E9">
        <w:rPr>
          <w:lang w:val="en-US"/>
        </w:rPr>
        <w:t xml:space="preserve"> […Additionally, while reference to all persons with disabilities (emphasis added) in paragraph 1 certainly has rhetorical power, it ultimately produces an element of circularity. </w:t>
      </w:r>
      <w:r w:rsidRPr="00562DB8">
        <w:rPr>
          <w:lang w:val="en-US"/>
        </w:rPr>
        <w:t xml:space="preserve">Apart from the impairment categories listed, it is not self-evident what other impairment groups fall within the boundaries of the category. The treaty body will no doubt ultimately develop jurisprudence in this area, but, in the meantime, the boundaries of the category of persons to benefit from the CRPD will be determined domestically, potentially depriving some impairment groups of human rights protection…] </w:t>
      </w:r>
      <w:r w:rsidRPr="00597337">
        <w:rPr>
          <w:lang w:val="es-AR"/>
        </w:rPr>
        <w:t>KAYESS, R. &amp; FRENCH, P., (2008), op. cit. pp. 23-24.</w:t>
      </w:r>
    </w:p>
  </w:footnote>
  <w:footnote w:id="262">
    <w:p w:rsidR="00887731" w:rsidRPr="00597337" w:rsidRDefault="00887731" w:rsidP="004551E9">
      <w:pPr>
        <w:pStyle w:val="Pie"/>
      </w:pPr>
      <w:r w:rsidRPr="00597337">
        <w:rPr>
          <w:rStyle w:val="Refdenotaalpie"/>
        </w:rPr>
        <w:footnoteRef/>
      </w:r>
      <w:r w:rsidRPr="00597337">
        <w:t xml:space="preserve"> Palacios y </w:t>
      </w:r>
      <w:proofErr w:type="spellStart"/>
      <w:r w:rsidRPr="00597337">
        <w:t>Romañach</w:t>
      </w:r>
      <w:proofErr w:type="spellEnd"/>
      <w:r w:rsidRPr="00597337">
        <w:t xml:space="preserve"> también critican el efecto </w:t>
      </w:r>
      <w:proofErr w:type="spellStart"/>
      <w:r w:rsidRPr="00597337">
        <w:t>estigmatizante</w:t>
      </w:r>
      <w:proofErr w:type="spellEnd"/>
      <w:r w:rsidRPr="00597337">
        <w:t xml:space="preserve"> de los términos “deficiencia” y “discapacidad”, para lo cual proponen el uso de concepto de diversidad funcional. Véase PALACIOS, A., &amp; ROMAÑACH, J., (2006), op. cit.</w:t>
      </w:r>
    </w:p>
  </w:footnote>
  <w:footnote w:id="263">
    <w:p w:rsidR="00887731" w:rsidRPr="00597337" w:rsidRDefault="00887731" w:rsidP="004551E9">
      <w:pPr>
        <w:pStyle w:val="Pie"/>
      </w:pPr>
      <w:r w:rsidRPr="00597337">
        <w:rPr>
          <w:rStyle w:val="Refdenotaalpie"/>
        </w:rPr>
        <w:footnoteRef/>
      </w:r>
      <w:r w:rsidRPr="00597337">
        <w:t xml:space="preserve"> LAWSON, A., (2006-2007), op. cit. p.594.</w:t>
      </w:r>
    </w:p>
  </w:footnote>
  <w:footnote w:id="264">
    <w:p w:rsidR="00887731" w:rsidRPr="00597337" w:rsidRDefault="00887731" w:rsidP="004551E9">
      <w:pPr>
        <w:pStyle w:val="Pie"/>
        <w:rPr>
          <w:lang w:val="en-US"/>
        </w:rPr>
      </w:pPr>
      <w:r w:rsidRPr="00597337">
        <w:rPr>
          <w:rStyle w:val="Refdenotaalpie"/>
        </w:rPr>
        <w:footnoteRef/>
      </w:r>
      <w:r w:rsidRPr="00597337">
        <w:t xml:space="preserve"> […</w:t>
      </w:r>
      <w:r w:rsidRPr="00597337">
        <w:rPr>
          <w:lang w:val="es-ES_tradnl"/>
        </w:rPr>
        <w:t xml:space="preserve">no serían las limitaciones individuales las raíces de la “discapacidad”, sino las limitaciones de la sociedad para prestar servicios apropiados y para asegurar adecuadamente que las necesidades de todas las personas sean tenidas en cuenta dentro de la organización social. Esto significa entender que, una cuestión es la diversidad funcional de la persona (esto es, una diferencia física, mental, sensorial o intelectual respecto de la media), y otra la desventaja que se presenta cuando dicha persona quiere interactuar en sociedad. Esta desventaja sería la consecuencia del diseño de un tipo de sociedad pensada para una persona “estándar”, que dejaría afuera las necesidades de las personas con diversidad funcional…] </w:t>
      </w:r>
      <w:r w:rsidRPr="00597337">
        <w:rPr>
          <w:lang w:val="en-US"/>
        </w:rPr>
        <w:t>PALACIOS, A., (2008), op. cit., p. 314-330.</w:t>
      </w:r>
    </w:p>
  </w:footnote>
  <w:footnote w:id="265">
    <w:p w:rsidR="00887731" w:rsidRPr="00597337" w:rsidRDefault="00887731" w:rsidP="004551E9">
      <w:pPr>
        <w:pStyle w:val="Pie"/>
      </w:pPr>
      <w:r w:rsidRPr="00597337">
        <w:rPr>
          <w:rStyle w:val="Refdenotaalpie"/>
        </w:rPr>
        <w:footnoteRef/>
      </w:r>
      <w:r w:rsidRPr="004551E9">
        <w:rPr>
          <w:lang w:val="en-US"/>
        </w:rPr>
        <w:t xml:space="preserve"> […</w:t>
      </w:r>
      <w:r w:rsidRPr="004551E9">
        <w:rPr>
          <w:lang w:val="en-US" w:eastAsia="es-AR"/>
        </w:rPr>
        <w:t xml:space="preserve">In part this conceptual problem arose because the Ad Hoc Committee sought to distinguish between impairment (which they </w:t>
      </w:r>
      <w:proofErr w:type="spellStart"/>
      <w:r w:rsidRPr="004551E9">
        <w:rPr>
          <w:lang w:val="en-US" w:eastAsia="es-AR"/>
        </w:rPr>
        <w:t>conceptualised</w:t>
      </w:r>
      <w:proofErr w:type="spellEnd"/>
      <w:r w:rsidRPr="004551E9">
        <w:rPr>
          <w:lang w:val="en-US" w:eastAsia="es-AR"/>
        </w:rPr>
        <w:t xml:space="preserve"> as 'disability') and a </w:t>
      </w:r>
      <w:r w:rsidRPr="004551E9">
        <w:rPr>
          <w:i/>
          <w:iCs/>
          <w:lang w:val="en-US" w:eastAsia="es-AR"/>
        </w:rPr>
        <w:t xml:space="preserve">characteristic </w:t>
      </w:r>
      <w:r w:rsidRPr="004551E9">
        <w:rPr>
          <w:lang w:val="en-US" w:eastAsia="es-AR"/>
        </w:rPr>
        <w:t xml:space="preserve">of impairment (such as an inability to control impulse, mood or maintain accurate perception that poses a risk of harm to </w:t>
      </w:r>
      <w:r w:rsidRPr="004551E9">
        <w:rPr>
          <w:szCs w:val="20"/>
          <w:lang w:val="en-US" w:eastAsia="es-AR"/>
        </w:rPr>
        <w:t xml:space="preserve">others), which they incorrectly </w:t>
      </w:r>
      <w:proofErr w:type="spellStart"/>
      <w:r w:rsidRPr="004551E9">
        <w:rPr>
          <w:szCs w:val="20"/>
          <w:lang w:val="en-US" w:eastAsia="es-AR"/>
        </w:rPr>
        <w:t>conceptualised</w:t>
      </w:r>
      <w:proofErr w:type="spellEnd"/>
      <w:r w:rsidRPr="004551E9">
        <w:rPr>
          <w:szCs w:val="20"/>
          <w:lang w:val="en-US" w:eastAsia="es-AR"/>
        </w:rPr>
        <w:t xml:space="preserve"> as external to impairment and disability. </w:t>
      </w:r>
      <w:r w:rsidRPr="00562DB8">
        <w:rPr>
          <w:szCs w:val="20"/>
          <w:lang w:val="en-US" w:eastAsia="es-AR"/>
        </w:rPr>
        <w:t xml:space="preserve">They sought to prevent interference with the individual on the basis of impairment, while preserving the right of the State to intervene, if necessary, in relation to conduct perceived to be external to impairment. However correctly understood, such conduct is often the manifestation of impairment, or of the disability the person with impairment experiences in interacting with the social environment. For example, a person with brain injury may engage in violence towards others due to an inability to control impulse in the context of environmental factors that cause severe stress and frustration…] </w:t>
      </w:r>
      <w:r w:rsidRPr="00597337">
        <w:t xml:space="preserve">KAYESS, R. &amp; FRENCH, P., (2008), op. cit. pp. 21-22. </w:t>
      </w:r>
    </w:p>
  </w:footnote>
  <w:footnote w:id="266">
    <w:p w:rsidR="00887731" w:rsidRPr="00597337" w:rsidRDefault="00887731" w:rsidP="004551E9">
      <w:pPr>
        <w:pStyle w:val="Pie"/>
      </w:pPr>
      <w:r w:rsidRPr="00597337">
        <w:rPr>
          <w:rStyle w:val="Refdenotaalpie"/>
        </w:rPr>
        <w:footnoteRef/>
      </w:r>
      <w:r w:rsidRPr="00597337">
        <w:t xml:space="preserve"> Véase por ejemplo: </w:t>
      </w:r>
      <w:proofErr w:type="spellStart"/>
      <w:r w:rsidRPr="00597337">
        <w:t>Definition</w:t>
      </w:r>
      <w:proofErr w:type="spellEnd"/>
      <w:r w:rsidRPr="00597337">
        <w:t xml:space="preserve"> of </w:t>
      </w:r>
      <w:proofErr w:type="spellStart"/>
      <w:r w:rsidRPr="00597337">
        <w:t>disability</w:t>
      </w:r>
      <w:proofErr w:type="spellEnd"/>
      <w:r w:rsidRPr="00597337">
        <w:t xml:space="preserve"> in </w:t>
      </w:r>
      <w:proofErr w:type="spellStart"/>
      <w:r w:rsidRPr="00597337">
        <w:t>selected</w:t>
      </w:r>
      <w:proofErr w:type="spellEnd"/>
      <w:r w:rsidRPr="00597337">
        <w:t xml:space="preserve"> </w:t>
      </w:r>
      <w:proofErr w:type="spellStart"/>
      <w:r w:rsidRPr="00597337">
        <w:t>national</w:t>
      </w:r>
      <w:proofErr w:type="spellEnd"/>
      <w:r w:rsidRPr="00597337">
        <w:t xml:space="preserve"> </w:t>
      </w:r>
      <w:proofErr w:type="spellStart"/>
      <w:r w:rsidRPr="00597337">
        <w:t>legislation</w:t>
      </w:r>
      <w:proofErr w:type="spellEnd"/>
      <w:r w:rsidRPr="00597337">
        <w:t xml:space="preserve">, </w:t>
      </w:r>
      <w:proofErr w:type="spellStart"/>
      <w:r w:rsidRPr="00597337">
        <w:t>Background</w:t>
      </w:r>
      <w:proofErr w:type="spellEnd"/>
      <w:r w:rsidRPr="00597337">
        <w:t xml:space="preserve"> </w:t>
      </w:r>
      <w:proofErr w:type="spellStart"/>
      <w:r w:rsidRPr="00597337">
        <w:t>Documents</w:t>
      </w:r>
      <w:proofErr w:type="spellEnd"/>
      <w:r w:rsidRPr="00597337">
        <w:t xml:space="preserve"> </w:t>
      </w:r>
      <w:proofErr w:type="spellStart"/>
      <w:r w:rsidRPr="00597337">
        <w:t>to</w:t>
      </w:r>
      <w:proofErr w:type="spellEnd"/>
      <w:r w:rsidRPr="00597337">
        <w:t xml:space="preserve"> </w:t>
      </w:r>
      <w:proofErr w:type="spellStart"/>
      <w:r w:rsidRPr="00597337">
        <w:t>the</w:t>
      </w:r>
      <w:proofErr w:type="spellEnd"/>
      <w:r w:rsidRPr="00597337">
        <w:t xml:space="preserve"> </w:t>
      </w:r>
      <w:proofErr w:type="spellStart"/>
      <w:r w:rsidRPr="00597337">
        <w:t>Eight</w:t>
      </w:r>
      <w:proofErr w:type="spellEnd"/>
      <w:r w:rsidRPr="00597337">
        <w:t xml:space="preserve"> </w:t>
      </w:r>
      <w:proofErr w:type="spellStart"/>
      <w:r w:rsidRPr="00597337">
        <w:t>Session</w:t>
      </w:r>
      <w:proofErr w:type="spellEnd"/>
      <w:r w:rsidRPr="00597337">
        <w:t xml:space="preserve">, en donde puede observarse que, de las definiciones internas presentadas por treinta y seis países, solo tres incluyen factores sociales a la hora de definir la discapacidad. Disponible en: </w:t>
      </w:r>
      <w:hyperlink r:id="rId16" w:history="1">
        <w:r w:rsidRPr="00597337">
          <w:rPr>
            <w:rStyle w:val="Hipervnculo"/>
            <w:lang w:val="es-AR"/>
          </w:rPr>
          <w:t>http://www.un.org/esa/socdev/enable/rights/ahc8docs/ahc8bkdoc5.doc</w:t>
        </w:r>
      </w:hyperlink>
      <w:r w:rsidRPr="00597337">
        <w:t xml:space="preserve"> </w:t>
      </w:r>
    </w:p>
  </w:footnote>
  <w:footnote w:id="267">
    <w:p w:rsidR="00887731" w:rsidRPr="00597337" w:rsidRDefault="00887731" w:rsidP="004551E9">
      <w:pPr>
        <w:pStyle w:val="Pie"/>
      </w:pPr>
      <w:r w:rsidRPr="00597337">
        <w:rPr>
          <w:rStyle w:val="Refdenotaalpie"/>
        </w:rPr>
        <w:footnoteRef/>
      </w:r>
      <w:r w:rsidRPr="00562DB8">
        <w:rPr>
          <w:lang w:val="en-US"/>
        </w:rPr>
        <w:t xml:space="preserve"> […From the IDC's point of view, the ICF was part of the human rights problem faced by persons with disability that the CRPD was to overcome through its exposition of the social model of disability. Consequently, any attempt to use the ICF to interpret the boundaries of the class of persons protected by the CRPD is likely to be extremely controversial, at least within the civil society movement of disabled persons. The future relationship between the ICF and the CRPD, and indeed the future of the ICF itself, are at this stage crucial unanswered questions…] </w:t>
      </w:r>
      <w:r w:rsidRPr="00597337">
        <w:t xml:space="preserve">KAYESS, R. &amp; FRENCH, P., (2008), op. cit. p. 25. </w:t>
      </w:r>
    </w:p>
  </w:footnote>
  <w:footnote w:id="268">
    <w:p w:rsidR="00887731" w:rsidRPr="00597337" w:rsidRDefault="00887731" w:rsidP="004551E9">
      <w:pPr>
        <w:pStyle w:val="Pie"/>
      </w:pPr>
      <w:r w:rsidRPr="00597337">
        <w:rPr>
          <w:rStyle w:val="Refdenotaalpie"/>
        </w:rPr>
        <w:footnoteRef/>
      </w:r>
      <w:r w:rsidRPr="00597337">
        <w:t xml:space="preserve"> BARIFFI, F. y PALACIOS A. (2008), (Comps.) Capacidad Jurídica y Discapacidad, Un Estudio de Derecho Privado Comparado a la luz de la Convención Internacional sobre los Derechos de las Personas con Discapacidad, Cuaderno de trabajo nº 1 / Argentina; Cuaderno de trabajo nº 2 / Brasil; Cuaderno de trabajo nº 3 / Portugal; Cuaderno de trabajo nº 4 / Chile; Cuaderno de trabajo nº 5 / Colombia; Cuaderno de trabajo nº 6 / Italia; Cuaderno de trabajo nº 7 / España; Tomo 1: Derecho Común; Cuaderno de trabajo nº 7 / España; Tomo 2: Derecho Foral; Cuaderno de trabajo nº 8 / Costa Rica; Cuaderno de trabajo nº 9 / Canadá; Cuaderno de trabajo nº 10 / USA; Cuaderno de trabajo nº 11 / Suecia; Cuaderno de trabajo nº 12 / Méjico; Cuaderno de trabajo nº 13 / Reino Unido., Congreso Permanente sobre Discapacidad y Derechos Humanos, Aprosuba, Cáceres, accesible en: </w:t>
      </w:r>
      <w:hyperlink r:id="rId17" w:history="1">
        <w:r w:rsidRPr="00597337">
          <w:rPr>
            <w:rStyle w:val="Hipervnculo"/>
            <w:lang w:val="es-AR"/>
          </w:rPr>
          <w:t>http://www.convenciondiscapacidad.es/Capacidad_new.html</w:t>
        </w:r>
      </w:hyperlink>
      <w:r w:rsidRPr="00597337">
        <w:t xml:space="preserve"> </w:t>
      </w:r>
    </w:p>
  </w:footnote>
  <w:footnote w:id="269">
    <w:p w:rsidR="00887731" w:rsidRPr="00597337" w:rsidRDefault="00887731" w:rsidP="004551E9">
      <w:pPr>
        <w:pStyle w:val="Pie"/>
      </w:pPr>
      <w:r w:rsidRPr="00597337">
        <w:rPr>
          <w:rStyle w:val="Refdenotaalpie"/>
        </w:rPr>
        <w:footnoteRef/>
      </w:r>
      <w:r w:rsidRPr="00597337">
        <w:t xml:space="preserve"> Publicado en: Boletín Oficial del Estado, núm. 103 de 30 de abril de 1982, páginas 11106 a 11112.</w:t>
      </w:r>
    </w:p>
  </w:footnote>
  <w:footnote w:id="270">
    <w:p w:rsidR="00887731" w:rsidRPr="00597337" w:rsidRDefault="00887731" w:rsidP="004551E9">
      <w:pPr>
        <w:pStyle w:val="Pie"/>
      </w:pPr>
      <w:r w:rsidRPr="00597337">
        <w:rPr>
          <w:rStyle w:val="Refdenotaalpie"/>
        </w:rPr>
        <w:footnoteRef/>
      </w:r>
      <w:r w:rsidRPr="00597337">
        <w:t xml:space="preserve"> Publicado en: Boletín Oficial del Estado, núm. 289 de 03 de diciembre de 2003, páginas 43187 a 43195.</w:t>
      </w:r>
    </w:p>
  </w:footnote>
  <w:footnote w:id="271">
    <w:p w:rsidR="00887731" w:rsidRPr="00597337" w:rsidRDefault="00887731" w:rsidP="004551E9">
      <w:pPr>
        <w:pStyle w:val="Pie"/>
      </w:pPr>
      <w:r w:rsidRPr="00597337">
        <w:rPr>
          <w:rStyle w:val="Refdenotaalpie"/>
        </w:rPr>
        <w:footnoteRef/>
      </w:r>
      <w:r w:rsidRPr="00597337">
        <w:t xml:space="preserve"> Véase: PALACIOS, A., (2007) “¿Modelo rehabilitador o modelo social?: la persona con discapacidad en el Derecho español” en  CAMPOY CERVERA, I. y PALACIOS, A., (coords.), </w:t>
      </w:r>
      <w:r w:rsidRPr="00597337">
        <w:rPr>
          <w:i/>
        </w:rPr>
        <w:t>Igualdad No Discriminación y Discapacidad. Una visión integradora de las realidades española y argentina</w:t>
      </w:r>
      <w:r w:rsidRPr="00597337">
        <w:t>,  Dykinson, Madrid. pp. 243-305; COURTIS, C., (2004) op. cit, pp. 7-14.</w:t>
      </w:r>
    </w:p>
  </w:footnote>
  <w:footnote w:id="272">
    <w:p w:rsidR="00887731" w:rsidRPr="00597337" w:rsidRDefault="00887731" w:rsidP="004551E9">
      <w:pPr>
        <w:pStyle w:val="Pie"/>
      </w:pPr>
      <w:r w:rsidRPr="00597337">
        <w:rPr>
          <w:rStyle w:val="Refdenotaalpie"/>
        </w:rPr>
        <w:footnoteRef/>
      </w:r>
      <w:r w:rsidRPr="00597337">
        <w:t xml:space="preserve"> Véase por ejemplo</w:t>
      </w:r>
      <w:r w:rsidRPr="00597337">
        <w:rPr>
          <w:caps/>
        </w:rPr>
        <w:t xml:space="preserve"> Asís, R. de, Aiello, A. L., Bariffi, F., Campoy, I., &amp; Palacios, A., (2007) </w:t>
      </w:r>
      <w:r w:rsidRPr="00597337">
        <w:t xml:space="preserve">op. cit; DE LORENZO GARCÍA, R., &amp; CABRA DE LUNA, M.A., (2007) “Análisis de la nueva legislación española en materia de sobre no discriminación, acción positiva y accesibilidad universal” en DE LORENZO GARCÍA, R. y PÉREZ BUENO, L.C, </w:t>
      </w:r>
      <w:r w:rsidRPr="00597337">
        <w:rPr>
          <w:i/>
        </w:rPr>
        <w:t>Tratado sobre discapacidad</w:t>
      </w:r>
      <w:r w:rsidRPr="00597337">
        <w:t xml:space="preserve">, Thomson, Aranzadi, Pamplona, pp. 651-697; </w:t>
      </w:r>
      <w:r w:rsidRPr="00597337">
        <w:rPr>
          <w:lang w:eastAsia="es-AR"/>
        </w:rPr>
        <w:t xml:space="preserve">DE LORENZO, R. y PALACIOS, A., (2007) “Discapacidad, Derechos Fundamentales y Protección constitucional” en LA ORDEN, J., (dir.), </w:t>
      </w:r>
      <w:r w:rsidRPr="00597337">
        <w:rPr>
          <w:i/>
          <w:iCs/>
          <w:lang w:eastAsia="es-AR"/>
        </w:rPr>
        <w:t xml:space="preserve">Los derechos de las personas con discapacidad. Vol I. Aspectos jurídicos, </w:t>
      </w:r>
      <w:r w:rsidRPr="00597337">
        <w:rPr>
          <w:lang w:eastAsia="es-AR"/>
        </w:rPr>
        <w:t xml:space="preserve">CGPJ, Madrid, pp. 4-123. </w:t>
      </w:r>
    </w:p>
  </w:footnote>
  <w:footnote w:id="273">
    <w:p w:rsidR="00887731" w:rsidRPr="00597337" w:rsidRDefault="00887731" w:rsidP="004551E9">
      <w:pPr>
        <w:pStyle w:val="Pie"/>
      </w:pPr>
      <w:r w:rsidRPr="00597337">
        <w:rPr>
          <w:rStyle w:val="Refdenotaalpie"/>
        </w:rPr>
        <w:footnoteRef/>
      </w:r>
      <w:r w:rsidRPr="00597337">
        <w:t xml:space="preserve"> Comité Español de Representantes de las Personas con Discapaciadad. […Existe una incompatibilidad con la Convención en el ámbito de protección de la discriminación por discapacidad. Como ya se denunció en los informes de derechos humanos precedentes, 2008 y 2009, es necesario ampliar el ámbito de protección contra la discriminación por discapacidad que contiene la LIONDAU a todas las situaciones que de hecho supongan una violación del principio de igualdad de oportunidades por razón de discapacidad. Para ello debería adoptarse el concepto social de la discapacidad, de acuerdo a lo establecido en la Convención, a los efectos de todas las leyes que contengan acciones de protección contra la discriminación por razón de discapacidad…] Derechos Humanos y Discapacidad, Informe España 2010, Elaborado por la Delegación del CERMI para la Convención de la ONU, p. 4. Disponible en: </w:t>
      </w:r>
      <w:hyperlink r:id="rId18" w:history="1">
        <w:r w:rsidRPr="00597337">
          <w:rPr>
            <w:rStyle w:val="Hipervnculo"/>
            <w:lang w:val="es-AR"/>
          </w:rPr>
          <w:t>http://www.convenciondiscapacidad.es</w:t>
        </w:r>
      </w:hyperlink>
      <w:r w:rsidRPr="00597337">
        <w:t xml:space="preserve"> </w:t>
      </w:r>
    </w:p>
  </w:footnote>
  <w:footnote w:id="274">
    <w:p w:rsidR="00887731" w:rsidRPr="00597337" w:rsidRDefault="00887731" w:rsidP="004551E9">
      <w:pPr>
        <w:pStyle w:val="Pie"/>
      </w:pPr>
      <w:r w:rsidRPr="00597337">
        <w:rPr>
          <w:rStyle w:val="Refdenotaalpie"/>
        </w:rPr>
        <w:footnoteRef/>
      </w:r>
      <w:r w:rsidRPr="00597337">
        <w:t xml:space="preserve"> La valoración de la minusvalía se rige por el Real Decreto 1971/1999, de 23 de diciembre, de procedimiento para el reconocimiento, declaración y calificación del grado de discapacidad, el cual explícitamente estipula que estos baremos establecen normas para la evaluación de las consecuencias de la enfermedad, de acuerdo con el modelo propuesto por la Clasificación Internacional de deficiencias, discapacidades y minusvalías de la OMS.</w:t>
      </w:r>
    </w:p>
  </w:footnote>
  <w:footnote w:id="275">
    <w:p w:rsidR="00887731" w:rsidRPr="00597337" w:rsidRDefault="00887731" w:rsidP="004551E9">
      <w:pPr>
        <w:pStyle w:val="Pie"/>
        <w:rPr>
          <w:lang w:val="es-AR"/>
        </w:rPr>
      </w:pPr>
      <w:r w:rsidRPr="00597337">
        <w:rPr>
          <w:rStyle w:val="Refdenotaalpie"/>
        </w:rPr>
        <w:footnoteRef/>
      </w:r>
      <w:r w:rsidRPr="00597337">
        <w:t xml:space="preserve"> […“Son personas con discapacidad aquellas que presenten deficiencias físicas, mentales, intelectuales o sensoriales a largo plazo que, al interactuar con diversas barreras, puedan impedir su participación plena y efectiva en la sociedad, en igualdad de condiciones con los demás. Las medidas de defensa, de arbitraje y de carácter judicial, contempladas en esta Ley serán de aplicación a las personas con discapacidad, con independencia de la existencia de reconocimiento oficial de la situación de discapacidad o de su transitoriedad. En todo caso, las Administraciones públicas velarán por evitar cualquier forma de discriminación que afecte o pueda afectar a las personas con discapacidad. </w:t>
      </w:r>
      <w:r w:rsidRPr="00597337">
        <w:rPr>
          <w:lang w:val="es-AR"/>
        </w:rPr>
        <w:t>Ello no obstante, a los efectos de esta Ley, tendrán la consideración de personas con discapacidad aquellas a quienes se les haya reconocido un grado de discapacidad igual o superior al 33 por ciento. En todo caso, se considerarán que presentan una discapacidad en grado igual o superior al 33 por ciento los pensionistas de la Seguridad Social que tengan reconocida una pensión de incapacidad permanente en el grado de total, absoluta o gran invalidez, y a los pensionistas de clases pasivas que tengan reconocida una pensión de jubilación o de retiro por incapacidad permanente para el servicio o inutilidad. La acreditación del grado de discapacidad se realizará en los términos establecidos reglamentariamente y tendrá validez en todo el territorio nacional…]. Publicado en: Boletín Oficial del Estado, núm. 184 de 02 de agosto de 2011, páginas 87478 a 87494.</w:t>
      </w:r>
    </w:p>
  </w:footnote>
  <w:footnote w:id="276">
    <w:p w:rsidR="00887731" w:rsidRPr="00597337" w:rsidRDefault="00887731" w:rsidP="004551E9">
      <w:pPr>
        <w:pStyle w:val="Pie"/>
      </w:pPr>
      <w:r w:rsidRPr="00597337">
        <w:rPr>
          <w:rStyle w:val="Refdenotaalpie"/>
        </w:rPr>
        <w:footnoteRef/>
      </w:r>
      <w:r w:rsidRPr="00597337">
        <w:t xml:space="preserve"> CUENCA GÓMEZ, P., (2012), op. cit. p. 148. </w:t>
      </w:r>
    </w:p>
  </w:footnote>
  <w:footnote w:id="277">
    <w:p w:rsidR="00887731" w:rsidRPr="00597337" w:rsidRDefault="00887731" w:rsidP="004551E9">
      <w:pPr>
        <w:pStyle w:val="Pie"/>
      </w:pPr>
      <w:r w:rsidRPr="00597337">
        <w:rPr>
          <w:rStyle w:val="Refdenotaalpie"/>
        </w:rPr>
        <w:footnoteRef/>
      </w:r>
      <w:r w:rsidRPr="00597337">
        <w:t xml:space="preserve"> Observaciones del Comité de la ONU sobre Discapacidad respecto del informe remitido por el Estado Español en cumplimiento de lo establecido en el artículo 35 de la CDPD, […11.</w:t>
      </w:r>
      <w:r w:rsidRPr="00597337">
        <w:tab/>
        <w:t xml:space="preserve">El Comité toma nota de la aprobación de la Ley Nº 26/2011, que introduce el concepto de las personas con discapacidad, definido en la Convención, y amplía la protección de esas personas. Sin embargo, le preocupa que no todas las personas con discapacidad estén protegidas por la ley. 12. El Comité insta al Estado Parte a que vele por que todas las personas con discapacidad gocen de protección contra la discriminación y tengan igualdad de oportunidades independientemente de su nivel de discapacidad.  (…) 19. El Comité acoge con satisfacción las modificaciones introducidas por la Ley Nº 26/2011, por las que se suprime la necesidad de disponer de un certificado de discapacidad para presentar a un órgano judicial una denuncia de discriminación por discapacidad. Sin embargo, lamenta la falta de información sobre los casos de discriminación, y le inquieta que las personas con discapacidad sigan estando marginadas. El Comité expresa su preocupación por la falta de información sobre un ajuste razonable. También le preocupa que, en la práctica, la discapacidad afecte a la patria potestad de los padres sobre sus hijos o a la guarda de los hijos por sus padres, y que su protección jurídica contra la discriminación por motivos de discapacidad no sea jurídicamente exigible en casos de discriminación por razón de discapacidad percibida o de asociación con una persona con una discapacidad. 20. El Comité insta al Estado Parte a que amplíe la protección de la discriminación por motivos de discapacidad para que abarque expresamente la discapacidad múltiple, la discapacidad percibida y la asociación con una persona con una discapacidad, y a que vele por que se proteja contra la denegación de un ajuste razonable, como forma de discriminación, independientemente del grado de discapacidad. Además, se debe proporcionar orientación, sensibilización y formación para que todas las partes interesadas, incluidas las personas con discapacidad, comprendan mejor el concepto de ajuste razonable y la prevención de la discriminación…] </w:t>
      </w:r>
      <w:r w:rsidRPr="00597337">
        <w:rPr>
          <w:lang w:val="es-ES_tradnl"/>
        </w:rPr>
        <w:t>CRPD/C/ESP/CO/1, 19 de octubre de 2011.</w:t>
      </w:r>
    </w:p>
  </w:footnote>
  <w:footnote w:id="278">
    <w:p w:rsidR="00887731" w:rsidRPr="002E0355" w:rsidRDefault="00887731" w:rsidP="004551E9">
      <w:pPr>
        <w:pStyle w:val="Textonotapie"/>
      </w:pPr>
      <w:r>
        <w:rPr>
          <w:rStyle w:val="Refdenotaalpie"/>
        </w:rPr>
        <w:footnoteRef/>
      </w:r>
      <w:r w:rsidRPr="002E0355">
        <w:t xml:space="preserve"> Real Decreto Legislativo 1/2013, de 29 de noviembre, por el que se aprueba el Texto Refundido de la Ley General de derechos de las personas con discapacidad y de su inclusión social</w:t>
      </w:r>
      <w:r>
        <w:t xml:space="preserve">, BOE </w:t>
      </w:r>
      <w:r w:rsidRPr="002E0355">
        <w:t>Número: 289, 03/12/2013, Disposición nº 12632, Páginas: 95635-95673</w:t>
      </w:r>
      <w:r>
        <w:t>.</w:t>
      </w:r>
    </w:p>
  </w:footnote>
  <w:footnote w:id="279">
    <w:p w:rsidR="00887731" w:rsidRPr="002E0355" w:rsidRDefault="00887731" w:rsidP="004551E9">
      <w:pPr>
        <w:pStyle w:val="Textonotapie"/>
      </w:pPr>
      <w:r>
        <w:rPr>
          <w:rStyle w:val="Refdenotaalpie"/>
        </w:rPr>
        <w:footnoteRef/>
      </w:r>
      <w:r w:rsidRPr="002E0355">
        <w:t xml:space="preserve"> </w:t>
      </w:r>
      <w:r>
        <w:t>[…</w:t>
      </w:r>
      <w:r w:rsidRPr="002E0355">
        <w:t>Son personas con discapacidad aquellas que presentan deficiencias físicas, mentales, intelectuales o sensoriales, previsiblemente p</w:t>
      </w:r>
      <w:r>
        <w:t xml:space="preserve">ermanentes que, al interactuar </w:t>
      </w:r>
      <w:r w:rsidRPr="002E0355">
        <w:t>con diversas barreras, puedan impedir su participación plena y efectiva en la sociedad, en igualdad de condiciones con los demás</w:t>
      </w:r>
      <w:r>
        <w:t xml:space="preserve">…(cfr. Art. 4(1))]. </w:t>
      </w:r>
    </w:p>
  </w:footnote>
  <w:footnote w:id="280">
    <w:p w:rsidR="00887731" w:rsidRPr="002E0355" w:rsidRDefault="00887731" w:rsidP="004551E9">
      <w:pPr>
        <w:pStyle w:val="Textonotapie"/>
      </w:pPr>
      <w:r>
        <w:rPr>
          <w:rStyle w:val="Refdenotaalpie"/>
        </w:rPr>
        <w:footnoteRef/>
      </w:r>
      <w:r w:rsidRPr="002E0355">
        <w:t xml:space="preserve"> </w:t>
      </w:r>
      <w:r>
        <w:t>[…</w:t>
      </w:r>
      <w:r w:rsidRPr="002E0355">
        <w:t>Además de lo establecido en el apartado anterior, y a todos los efectos, tendrán la consideración de personas con discapacidad aquellas a quienes se les haya reconocido un grado de discapacidad igual o superior al 33 por ciento</w:t>
      </w:r>
      <w:r>
        <w:t xml:space="preserve"> (…) </w:t>
      </w:r>
      <w:r w:rsidRPr="002E0355">
        <w:t>Las normas que regulen los beneficios o medidas de acción positiva podrán determinar los requisitos específicos para acceder a los mismos</w:t>
      </w:r>
      <w:r>
        <w:t xml:space="preserve">… (cfr. Art. 4(2))]. </w:t>
      </w:r>
    </w:p>
  </w:footnote>
  <w:footnote w:id="281">
    <w:p w:rsidR="00887731" w:rsidRPr="00993DE4" w:rsidRDefault="00887731" w:rsidP="004551E9">
      <w:pPr>
        <w:pStyle w:val="Textonotapie"/>
      </w:pPr>
      <w:r>
        <w:rPr>
          <w:rStyle w:val="Refdenotaalpie"/>
        </w:rPr>
        <w:footnoteRef/>
      </w:r>
      <w:r w:rsidRPr="00993DE4">
        <w:t xml:space="preserve"> </w:t>
      </w:r>
      <w:r>
        <w:t>ASIS ROIG, R., (2013) “</w:t>
      </w:r>
      <w:r w:rsidRPr="00121735">
        <w:t>Unas primeras reflexiones sobre la Ley general de derechos de las personas con discapacidad</w:t>
      </w:r>
      <w:r>
        <w:t xml:space="preserve">”, en </w:t>
      </w:r>
      <w:r w:rsidRPr="00121735">
        <w:rPr>
          <w:i/>
        </w:rPr>
        <w:t>Papeles el tiempo de los derechos</w:t>
      </w:r>
      <w:r>
        <w:t>, Número 12, p. 5.</w:t>
      </w:r>
    </w:p>
  </w:footnote>
  <w:footnote w:id="282">
    <w:p w:rsidR="00887731" w:rsidRPr="00597337" w:rsidRDefault="00887731" w:rsidP="004551E9">
      <w:pPr>
        <w:pStyle w:val="Pie"/>
      </w:pPr>
      <w:r w:rsidRPr="00597337">
        <w:rPr>
          <w:rStyle w:val="Refdenotaalpie"/>
        </w:rPr>
        <w:footnoteRef/>
      </w:r>
      <w:r w:rsidRPr="00597337">
        <w:t xml:space="preserve"> PALACIOS A &amp; BARIFFI F, (2007), </w:t>
      </w:r>
      <w:proofErr w:type="spellStart"/>
      <w:r w:rsidRPr="00597337">
        <w:t>op</w:t>
      </w:r>
      <w:proofErr w:type="spellEnd"/>
      <w:r w:rsidRPr="00597337">
        <w:t xml:space="preserve">. cit. </w:t>
      </w:r>
    </w:p>
  </w:footnote>
  <w:footnote w:id="283">
    <w:p w:rsidR="00887731" w:rsidRPr="00597337" w:rsidRDefault="00887731" w:rsidP="004551E9">
      <w:pPr>
        <w:pStyle w:val="Pie"/>
      </w:pPr>
      <w:r w:rsidRPr="00597337">
        <w:rPr>
          <w:rStyle w:val="Refdenotaalpie"/>
          <w:szCs w:val="20"/>
        </w:rPr>
        <w:footnoteRef/>
      </w:r>
      <w:r w:rsidRPr="00597337">
        <w:t xml:space="preserve"> Esta fue la posición, entre otros actores, de la Unión Europea, que dejó claro desde el inicio de los debates que: “En esta etapa temprana del proceso, y sin perjuicio del debate sobre los principios generales que pueda realizar el Comité Especial, la preferencia inicial de la Unión Europea en cuanto a la forma y el contenido de un instrumento jurídico sería la de un instrumento que contuviera principios generales, que incluyeran principalmente la igualdad y la no discriminación con respecto a los derechos humanos en el contexto de la incapacidad”. Cfr. A/AC.265/WP.2, Documento de posición presentado por la Unión Europea, Comité Especial encargado de preparar una convención amplia e integral para proteger y promover los derechos y la dignidad de las personas con discapacidad , Nueva York, 29 de julio a 9 de agosto de 2002. </w:t>
      </w:r>
    </w:p>
  </w:footnote>
  <w:footnote w:id="284">
    <w:p w:rsidR="00887731" w:rsidRPr="00597337" w:rsidRDefault="00887731" w:rsidP="004551E9">
      <w:pPr>
        <w:pStyle w:val="Pie"/>
        <w:rPr>
          <w:color w:val="FF0000"/>
        </w:rPr>
      </w:pPr>
      <w:r w:rsidRPr="00597337">
        <w:rPr>
          <w:rStyle w:val="Refdenotaalpie"/>
        </w:rPr>
        <w:footnoteRef/>
      </w:r>
      <w:r w:rsidRPr="00597337">
        <w:t xml:space="preserve">  Esta fue la posición, entre otros actores, de gran parte del movimiento asociativo de personas con discapacidad desde los inicios. </w:t>
      </w:r>
    </w:p>
  </w:footnote>
  <w:footnote w:id="285">
    <w:p w:rsidR="00887731" w:rsidRPr="00597337" w:rsidRDefault="00887731" w:rsidP="004551E9">
      <w:pPr>
        <w:pStyle w:val="Pie"/>
        <w:rPr>
          <w:lang w:val="en-GB"/>
        </w:rPr>
      </w:pPr>
      <w:r w:rsidRPr="00597337">
        <w:rPr>
          <w:rStyle w:val="Refdenotaalpie"/>
          <w:szCs w:val="20"/>
        </w:rPr>
        <w:footnoteRef/>
      </w:r>
      <w:r w:rsidRPr="00597337">
        <w:t xml:space="preserve"> Esta fue la posición, defendida, entre otras Delegaciones, por Nueva Zelanda. “Nueva Zelanda no considera los diferentes modelos discutidos en esta Reunión como opciones mutuamente excluyentes. Sr. Presidente, no es necesario ni deseable inventar nuevos derechos, ni quitar mérito a los derechos existentes  en los tratados  anteriores, destinados a todas las personas, incluyendo las personas con discapacidad. Más bien, la Convención debería clarificar para los Estados, las medidas que se requieren para asegurar que las personas con discapacidad puedan disfrutar de sus derechos y libertades fundamentales existentes. Ello debe abarcar la consideración de condiciones sociales, culturales, económicas, civiles y políticas, que son necesarias para asegura que toda la población con discapacidad pueda ser capaz de ejercitar sus derechos. Ello también implica el reconocimiento explícito y el entendimiento de la discapacidad en un marco de derechos, más que en un marco de asistencia social, como históricamente ha sido su contexto (…).”. </w:t>
      </w:r>
      <w:r w:rsidRPr="00597337">
        <w:rPr>
          <w:lang w:val="en-GB"/>
        </w:rPr>
        <w:t xml:space="preserve">Cfr Agenda Item 7, Contributions to proposals for a comprehensive and integral international convention on the protection and promotion of the rights and dignity of persons with disabilities (Second Session), New York, 16 to 27 June 2003 </w:t>
      </w:r>
    </w:p>
  </w:footnote>
  <w:footnote w:id="286">
    <w:p w:rsidR="00887731" w:rsidRPr="00597337" w:rsidRDefault="00887731" w:rsidP="004551E9">
      <w:pPr>
        <w:pStyle w:val="Pie"/>
      </w:pPr>
      <w:r w:rsidRPr="00597337">
        <w:rPr>
          <w:rStyle w:val="Refdenotaalpie"/>
        </w:rPr>
        <w:footnoteRef/>
      </w:r>
      <w:r w:rsidRPr="00597337">
        <w:t xml:space="preserve"> PALACIOS A &amp; BARIFFI F, (2007), </w:t>
      </w:r>
      <w:proofErr w:type="spellStart"/>
      <w:r w:rsidRPr="00597337">
        <w:t>op</w:t>
      </w:r>
      <w:proofErr w:type="spellEnd"/>
      <w:r w:rsidRPr="00597337">
        <w:t xml:space="preserve">. cit. Pp. 56-57. </w:t>
      </w:r>
    </w:p>
  </w:footnote>
  <w:footnote w:id="287">
    <w:p w:rsidR="00887731" w:rsidRPr="00597337" w:rsidRDefault="00887731" w:rsidP="004551E9">
      <w:pPr>
        <w:pStyle w:val="Pie"/>
        <w:rPr>
          <w:lang w:val="en-US"/>
        </w:rPr>
      </w:pPr>
      <w:r w:rsidRPr="00597337">
        <w:rPr>
          <w:rStyle w:val="Refdenotaalpie"/>
        </w:rPr>
        <w:footnoteRef/>
      </w:r>
      <w:r w:rsidRPr="00597337">
        <w:t xml:space="preserve"> Véase la ponencia presentada por la profesora </w:t>
      </w:r>
      <w:r w:rsidRPr="00597337">
        <w:rPr>
          <w:caps/>
        </w:rPr>
        <w:t>Palacios</w:t>
      </w:r>
      <w:r w:rsidRPr="00597337">
        <w:t xml:space="preserve"> en el marco del Estudio del Alto Comisionado de las Naciones Unidas para los Derechos Humanos sobre medidas jurídicas esenciales para la ratificación y la aplicación efectiva de la Convención sobre los Derechos de las Personas con Discapacidad. </w:t>
      </w:r>
      <w:r w:rsidRPr="00597337">
        <w:rPr>
          <w:lang w:val="en-US"/>
        </w:rPr>
        <w:t xml:space="preserve">(Consultative meeting with stakeholders on legal measures key for the ratification and effective implementation of the CRPD - Geneva, 24 October 2008) </w:t>
      </w:r>
      <w:proofErr w:type="spellStart"/>
      <w:r w:rsidRPr="00597337">
        <w:rPr>
          <w:lang w:val="en-US"/>
        </w:rPr>
        <w:t>Disponible</w:t>
      </w:r>
      <w:proofErr w:type="spellEnd"/>
      <w:r w:rsidRPr="00597337">
        <w:rPr>
          <w:lang w:val="en-US"/>
        </w:rPr>
        <w:t xml:space="preserve"> en: </w:t>
      </w:r>
      <w:r w:rsidR="00BB3E10">
        <w:fldChar w:fldCharType="begin"/>
      </w:r>
      <w:r w:rsidR="00BB3E10" w:rsidRPr="00F71B0D">
        <w:rPr>
          <w:lang w:val="en-US"/>
        </w:rPr>
        <w:instrText>HYPERLINK "http://www2.ohchr.org/english/issues/disability/docs/consultation/FinalConsultationreport.241008.doc"</w:instrText>
      </w:r>
      <w:r w:rsidR="00BB3E10">
        <w:fldChar w:fldCharType="separate"/>
      </w:r>
      <w:r w:rsidRPr="00597337">
        <w:rPr>
          <w:rStyle w:val="Hipervnculo"/>
          <w:lang w:val="en-US"/>
        </w:rPr>
        <w:t>http://www2.ohchr.org/english/issues/disability/docs/consultation/FinalConsultationreport.241008.doc</w:t>
      </w:r>
      <w:r w:rsidR="00BB3E10">
        <w:fldChar w:fldCharType="end"/>
      </w:r>
      <w:r w:rsidRPr="00597337">
        <w:rPr>
          <w:lang w:val="en-US"/>
        </w:rPr>
        <w:t xml:space="preserve"> </w:t>
      </w:r>
    </w:p>
  </w:footnote>
  <w:footnote w:id="288">
    <w:p w:rsidR="00887731" w:rsidRPr="00597337" w:rsidRDefault="00887731" w:rsidP="004551E9">
      <w:pPr>
        <w:pStyle w:val="Pie"/>
      </w:pPr>
      <w:r w:rsidRPr="00597337">
        <w:rPr>
          <w:rStyle w:val="Refdenotaalpie"/>
        </w:rPr>
        <w:footnoteRef/>
      </w:r>
      <w:r w:rsidRPr="00597337">
        <w:t xml:space="preserve"> Véase PALACIOS A, (2004) “El derecho a la igualdad de las personas con discapacidad y la obligación de realizar ajustes razonables”, en </w:t>
      </w:r>
      <w:r w:rsidRPr="00597337">
        <w:rPr>
          <w:caps/>
        </w:rPr>
        <w:t>Campoy Cervera</w:t>
      </w:r>
      <w:r w:rsidRPr="00597337">
        <w:t>, I. (Coord.)</w:t>
      </w:r>
      <w:proofErr w:type="gramStart"/>
      <w:r w:rsidRPr="00597337">
        <w:t>,(</w:t>
      </w:r>
      <w:proofErr w:type="gramEnd"/>
      <w:r w:rsidRPr="00597337">
        <w:t xml:space="preserve">2004), op. cit. </w:t>
      </w:r>
    </w:p>
  </w:footnote>
  <w:footnote w:id="289">
    <w:p w:rsidR="00887731" w:rsidRPr="00597337" w:rsidRDefault="00887731" w:rsidP="004551E9">
      <w:pPr>
        <w:pStyle w:val="Pie"/>
      </w:pPr>
      <w:r w:rsidRPr="00597337">
        <w:rPr>
          <w:rStyle w:val="Refdenotaalpie"/>
        </w:rPr>
        <w:footnoteRef/>
      </w:r>
      <w:r w:rsidRPr="00597337">
        <w:t xml:space="preserve"> Véase PALACIOS A, (2003), “Algunas notas sobre la implementación de medidas de acción positiva a favor de personas con discapacidad. Su tratamiento constitucional”, en la obra colectiva </w:t>
      </w:r>
      <w:r w:rsidRPr="00597337">
        <w:rPr>
          <w:i/>
        </w:rPr>
        <w:t>Las múltiples dimensiones de la discapacidad. Estudios en homenaje a Manuel Ruiz Ortega</w:t>
      </w:r>
      <w:r w:rsidRPr="00597337">
        <w:t xml:space="preserve">, </w:t>
      </w:r>
      <w:r w:rsidRPr="00597337">
        <w:rPr>
          <w:caps/>
        </w:rPr>
        <w:t>González</w:t>
      </w:r>
      <w:r w:rsidRPr="00597337">
        <w:t xml:space="preserve"> </w:t>
      </w:r>
      <w:r w:rsidRPr="00597337">
        <w:rPr>
          <w:caps/>
        </w:rPr>
        <w:t>Millán, R &amp; Pérez Bueno, L</w:t>
      </w:r>
      <w:r w:rsidRPr="00597337">
        <w:t>. (Coord.), Escuela Libre Editorial, Fundación ONCE, Madrid, pp.85-105.</w:t>
      </w:r>
    </w:p>
  </w:footnote>
  <w:footnote w:id="290">
    <w:p w:rsidR="00887731" w:rsidRPr="00597337" w:rsidRDefault="00887731" w:rsidP="004551E9">
      <w:pPr>
        <w:pStyle w:val="Pie"/>
      </w:pPr>
      <w:r w:rsidRPr="00597337">
        <w:rPr>
          <w:rStyle w:val="Refdenotaalpie"/>
        </w:rPr>
        <w:footnoteRef/>
      </w:r>
      <w:r w:rsidRPr="00597337">
        <w:t xml:space="preserve"> Esta era una clara falencia de la Ley 51/2003 de España que se ha intentado remediar de un modo poco claro mediante la Ley 26/2011, de 1 de agosto, de adaptación normativa a la Convención Internacional sobre los Derechos de las Personas con Discapacidad, la cual se ha hecho referencia más arriba. </w:t>
      </w:r>
    </w:p>
  </w:footnote>
  <w:footnote w:id="291">
    <w:p w:rsidR="00887731" w:rsidRPr="00597337" w:rsidRDefault="00887731" w:rsidP="004551E9">
      <w:pPr>
        <w:pStyle w:val="Pie"/>
      </w:pPr>
      <w:r w:rsidRPr="00597337">
        <w:rPr>
          <w:rStyle w:val="Refdenotaalpie"/>
        </w:rPr>
        <w:footnoteRef/>
      </w:r>
      <w:r w:rsidRPr="00597337">
        <w:t xml:space="preserve"> Carta de los Derechos Fundamentales de la Unión Europea (2000/C 346/01), </w:t>
      </w:r>
      <w:r w:rsidRPr="00597337">
        <w:rPr>
          <w:bCs/>
        </w:rPr>
        <w:t>artículo 21. Igualdad y no discriminación</w:t>
      </w:r>
      <w:r w:rsidRPr="00597337">
        <w:t xml:space="preserve"> </w:t>
      </w:r>
      <w:r w:rsidRPr="00597337">
        <w:rPr>
          <w:bCs/>
        </w:rPr>
        <w:t>1.-</w:t>
      </w:r>
      <w:r w:rsidRPr="00597337">
        <w:t xml:space="preserve"> “Se prohíbe toda discriminación, y en particular la ejercida por motivos de sexo, raza, color, orígenes étnicos o sociales, características genéticas, lengua, religión o convicciones, opiniones políticas o de cualquier otro tipo, pertenencia a una minoría nacional, patrimonio, nacimiento, discapacidad, edad u orientación sexual.” </w:t>
      </w:r>
    </w:p>
  </w:footnote>
  <w:footnote w:id="292">
    <w:p w:rsidR="00887731" w:rsidRPr="00597337" w:rsidRDefault="00887731" w:rsidP="004551E9">
      <w:pPr>
        <w:pStyle w:val="Pie"/>
      </w:pPr>
      <w:r w:rsidRPr="00597337">
        <w:rPr>
          <w:rStyle w:val="Refdenotaalpie"/>
        </w:rPr>
        <w:footnoteRef/>
      </w:r>
      <w:r w:rsidRPr="00597337">
        <w:t xml:space="preserve"> ASÍS, R. DE, AIELLO, A. L., BARIFFI, F., CAMPOY, I., &amp; PALACIOS, A., (2007), op cit. </w:t>
      </w:r>
    </w:p>
  </w:footnote>
  <w:footnote w:id="293">
    <w:p w:rsidR="00887731" w:rsidRPr="008D46DF" w:rsidRDefault="00887731" w:rsidP="004551E9">
      <w:pPr>
        <w:pStyle w:val="Pie"/>
      </w:pPr>
      <w:r w:rsidRPr="00597337">
        <w:rPr>
          <w:rStyle w:val="Refdenotaalpie"/>
        </w:rPr>
        <w:footnoteRef/>
      </w:r>
      <w:r w:rsidRPr="008D46DF">
        <w:t xml:space="preserve"> QUINN, G., (2009-2010), op. cit. p. 41. </w:t>
      </w:r>
    </w:p>
  </w:footnote>
  <w:footnote w:id="294">
    <w:p w:rsidR="00887731" w:rsidRPr="004551E9" w:rsidRDefault="00887731" w:rsidP="004551E9">
      <w:pPr>
        <w:pStyle w:val="Pie"/>
        <w:rPr>
          <w:lang w:val="en-US"/>
        </w:rPr>
      </w:pPr>
      <w:r w:rsidRPr="00597337">
        <w:rPr>
          <w:rStyle w:val="Refdenotaalpie"/>
        </w:rPr>
        <w:footnoteRef/>
      </w:r>
      <w:r w:rsidRPr="004551E9">
        <w:rPr>
          <w:lang w:val="en-US"/>
        </w:rPr>
        <w:t xml:space="preserve"> MÉGRET, F., (2008), op. cit. p. 512.</w:t>
      </w:r>
    </w:p>
  </w:footnote>
  <w:footnote w:id="295">
    <w:p w:rsidR="00887731" w:rsidRPr="00597337" w:rsidRDefault="00887731" w:rsidP="004551E9">
      <w:pPr>
        <w:pStyle w:val="Pie"/>
      </w:pPr>
      <w:r w:rsidRPr="00597337">
        <w:rPr>
          <w:rStyle w:val="Refdenotaalpie"/>
        </w:rPr>
        <w:footnoteRef/>
      </w:r>
      <w:r w:rsidRPr="00597337">
        <w:t xml:space="preserve"> Ídem, p. 513.</w:t>
      </w:r>
    </w:p>
  </w:footnote>
  <w:footnote w:id="296">
    <w:p w:rsidR="00887731" w:rsidRPr="00597337" w:rsidRDefault="00887731" w:rsidP="004551E9">
      <w:pPr>
        <w:pStyle w:val="Pie"/>
        <w:rPr>
          <w:lang w:val="en-US"/>
        </w:rPr>
      </w:pPr>
      <w:r w:rsidRPr="00597337">
        <w:rPr>
          <w:rStyle w:val="Refdenotaalpie"/>
        </w:rPr>
        <w:footnoteRef/>
      </w:r>
      <w:r w:rsidRPr="00597337">
        <w:t xml:space="preserve"> […La idea de dignidad humana al mismo tiempo que ha servido para proteger la integridad física y moral de la mayoría de las personas también ha tenido como consecuencia la estigmatización de algunos colectivos (los diferentes). En efecto, el ideal de la dignidad humana va asociado con el modelo de ser humano ilustrado, caracterizado por la posesión de una serie de rasgos asociados a patrones estéticos y éticos. El modelo de ser humano de la Ilustración se apoyaba en una serie de patrones basados en la perfección (esto no era una novedad), puesta al servicio del logro de diferentes ideales que se lograban mediante la utilización de esos patrones. Así, la idea de dignidad humana, en este contexto, se apoyó en un ser caracterizado por la capacidad y por el desempeño de un determinado papel social. Y ello, se trasladó a la concepción de los derechos…] </w:t>
      </w:r>
      <w:r w:rsidRPr="00597337">
        <w:rPr>
          <w:lang w:val="en-US"/>
        </w:rPr>
        <w:t>ASIS ROIG, R., (2012) op. cit.</w:t>
      </w:r>
    </w:p>
  </w:footnote>
  <w:footnote w:id="297">
    <w:p w:rsidR="00887731" w:rsidRPr="00597337" w:rsidRDefault="00887731" w:rsidP="004551E9">
      <w:pPr>
        <w:pStyle w:val="Pie"/>
      </w:pPr>
      <w:r w:rsidRPr="00597337">
        <w:rPr>
          <w:rStyle w:val="Refdenotaalpie"/>
        </w:rPr>
        <w:footnoteRef/>
      </w:r>
      <w:r w:rsidRPr="00597337">
        <w:t xml:space="preserve"> DHANDA, A., (2008), op. cit. pp. 48-49. </w:t>
      </w:r>
    </w:p>
  </w:footnote>
  <w:footnote w:id="298">
    <w:p w:rsidR="00887731" w:rsidRPr="00562DB8" w:rsidRDefault="00887731" w:rsidP="004551E9">
      <w:pPr>
        <w:pStyle w:val="Pie"/>
        <w:rPr>
          <w:lang w:val="en-US"/>
        </w:rPr>
      </w:pPr>
      <w:r w:rsidRPr="00597337">
        <w:rPr>
          <w:rStyle w:val="Refdenotaalpie"/>
        </w:rPr>
        <w:footnoteRef/>
      </w:r>
      <w:r w:rsidRPr="004551E9">
        <w:rPr>
          <w:lang w:val="en-US"/>
        </w:rPr>
        <w:t xml:space="preserve"> QUINN, G., (2008) “Resisting the ‘Temptation of Elegance’: Can the Convention on the Rights of Persons with Disabilities </w:t>
      </w:r>
      <w:proofErr w:type="spellStart"/>
      <w:r w:rsidRPr="004551E9">
        <w:rPr>
          <w:lang w:val="en-US"/>
        </w:rPr>
        <w:t>Socialise</w:t>
      </w:r>
      <w:proofErr w:type="spellEnd"/>
      <w:r w:rsidRPr="004551E9">
        <w:rPr>
          <w:lang w:val="en-US"/>
        </w:rPr>
        <w:t xml:space="preserve"> States to Right </w:t>
      </w:r>
      <w:proofErr w:type="spellStart"/>
      <w:r w:rsidRPr="004551E9">
        <w:rPr>
          <w:lang w:val="en-US"/>
        </w:rPr>
        <w:t>Behaviour</w:t>
      </w:r>
      <w:proofErr w:type="spellEnd"/>
      <w:r w:rsidRPr="004551E9">
        <w:rPr>
          <w:lang w:val="en-US"/>
        </w:rPr>
        <w:t xml:space="preserve">”, </w:t>
      </w:r>
      <w:proofErr w:type="gramStart"/>
      <w:r w:rsidRPr="004551E9">
        <w:rPr>
          <w:i/>
          <w:lang w:val="en-US"/>
        </w:rPr>
        <w:t>The</w:t>
      </w:r>
      <w:proofErr w:type="gramEnd"/>
      <w:r w:rsidRPr="004551E9">
        <w:rPr>
          <w:i/>
          <w:lang w:val="en-US"/>
        </w:rPr>
        <w:t xml:space="preserve"> UN Convention on the Rights of Persons with Disabilities. </w:t>
      </w:r>
      <w:r w:rsidRPr="00562DB8">
        <w:rPr>
          <w:i/>
          <w:lang w:val="en-US"/>
        </w:rPr>
        <w:t>European and Scandinavian Perspectives</w:t>
      </w:r>
      <w:r w:rsidRPr="00562DB8">
        <w:rPr>
          <w:lang w:val="en-US"/>
        </w:rPr>
        <w:t>, ARNARDÓTTIR, O.M. and QUINN, G. Martinus Nijhoff Publishers, p. 216.</w:t>
      </w:r>
    </w:p>
  </w:footnote>
  <w:footnote w:id="299">
    <w:p w:rsidR="00887731" w:rsidRPr="00597337" w:rsidRDefault="00887731" w:rsidP="004551E9">
      <w:pPr>
        <w:pStyle w:val="Pie"/>
      </w:pPr>
      <w:r w:rsidRPr="00597337">
        <w:rPr>
          <w:rStyle w:val="Refdenotaalpie"/>
        </w:rPr>
        <w:footnoteRef/>
      </w:r>
      <w:r w:rsidRPr="00597337">
        <w:t xml:space="preserve"> QUINN, G., (2009-2010), op. cit., p.41.</w:t>
      </w:r>
    </w:p>
  </w:footnote>
  <w:footnote w:id="300">
    <w:p w:rsidR="00887731" w:rsidRPr="00597337" w:rsidRDefault="00887731" w:rsidP="004551E9">
      <w:pPr>
        <w:pStyle w:val="Pie"/>
        <w:rPr>
          <w:lang w:val="en-GB"/>
        </w:rPr>
      </w:pPr>
      <w:r w:rsidRPr="00597337">
        <w:rPr>
          <w:rStyle w:val="Refdenotaalpie"/>
        </w:rPr>
        <w:footnoteRef/>
      </w:r>
      <w:r w:rsidRPr="00597337">
        <w:t xml:space="preserve"> </w:t>
      </w:r>
      <w:r w:rsidRPr="00597337">
        <w:rPr>
          <w:lang w:eastAsia="es-ES_tradnl"/>
        </w:rPr>
        <w:t>En este sentido resulta muy ilustrativa la jurisprudencia de la CIADH cuando afirma que la primera obligación del Estado en virtud de la Convención Interamericana de Derechos Humanos es la de respetar los derechos reconocidos y la segunda es la de garantizar su libre y plena ejercicio, lo que a su vez implica que “…e</w:t>
      </w:r>
      <w:r w:rsidRPr="00597337">
        <w:t>l Estado está en el deber jurídico de prevenir, razonablemente, las violaciones de los derechos humanos, de investigar seriamente con los medios a su alcance las violaciones que se hayan cometido dentro del ámbito de su jurisdicción a fin de identificar a los responsables, de imponerles las sanciones pertinentes y de asegurar a la víctima una adecuada reparación</w:t>
      </w:r>
      <w:r w:rsidRPr="00597337">
        <w:rPr>
          <w:lang w:eastAsia="es-ES_tradnl"/>
        </w:rPr>
        <w:t xml:space="preserve">”. (CIADH, </w:t>
      </w:r>
      <w:r w:rsidRPr="00597337">
        <w:rPr>
          <w:i/>
        </w:rPr>
        <w:t>Caso Velásquez Rodríguez</w:t>
      </w:r>
      <w:r w:rsidRPr="00597337">
        <w:t>, Sentencia de 29 de julio de 1988, párrafos 165-167, 174-175);</w:t>
      </w:r>
      <w:r w:rsidRPr="00597337">
        <w:rPr>
          <w:lang w:eastAsia="es-ES_tradnl"/>
        </w:rPr>
        <w:t xml:space="preserve"> Por su parte el Comité de Derechos Económicos, Sociales y Culturales (CDESC) ha expresado que: “e</w:t>
      </w:r>
      <w:r w:rsidRPr="00597337">
        <w:t xml:space="preserve">l derecho a la alimentación adecuada, al igual que cualquier otro derecho humano, impone tres tipos o niveles de obligaciones a los Estados Partes: las obligaciones de </w:t>
      </w:r>
      <w:r w:rsidRPr="00597337">
        <w:rPr>
          <w:i/>
          <w:iCs/>
        </w:rPr>
        <w:t>respetar</w:t>
      </w:r>
      <w:r w:rsidRPr="00597337">
        <w:t xml:space="preserve">, </w:t>
      </w:r>
      <w:r w:rsidRPr="00597337">
        <w:rPr>
          <w:i/>
          <w:iCs/>
        </w:rPr>
        <w:t>proteger</w:t>
      </w:r>
      <w:r w:rsidRPr="00597337">
        <w:t xml:space="preserve"> y </w:t>
      </w:r>
      <w:r w:rsidRPr="00597337">
        <w:rPr>
          <w:i/>
          <w:iCs/>
        </w:rPr>
        <w:t>realizar</w:t>
      </w:r>
      <w:r w:rsidRPr="00597337">
        <w:t xml:space="preserve">. A su vez, la obligación de </w:t>
      </w:r>
      <w:r w:rsidRPr="00597337">
        <w:rPr>
          <w:i/>
          <w:iCs/>
        </w:rPr>
        <w:t>realizar</w:t>
      </w:r>
      <w:r w:rsidRPr="00597337">
        <w:t xml:space="preserve"> entraña tanto la obligación de </w:t>
      </w:r>
      <w:r w:rsidRPr="00597337">
        <w:rPr>
          <w:i/>
          <w:iCs/>
        </w:rPr>
        <w:t>facilitar</w:t>
      </w:r>
      <w:r w:rsidRPr="00597337">
        <w:t xml:space="preserve"> como la obligación de </w:t>
      </w:r>
      <w:r w:rsidRPr="00597337">
        <w:rPr>
          <w:i/>
          <w:iCs/>
        </w:rPr>
        <w:t>hacer</w:t>
      </w:r>
      <w:r w:rsidRPr="00597337">
        <w:t xml:space="preserve"> </w:t>
      </w:r>
      <w:r w:rsidRPr="00597337">
        <w:rPr>
          <w:i/>
          <w:iCs/>
        </w:rPr>
        <w:t>efectivo. La obligación de respetar</w:t>
      </w:r>
      <w:r w:rsidRPr="00597337">
        <w:t xml:space="preserve"> el acceso existente a una alimentación adecuada requiere que los Estados no adopten medidas de ningún tipo que tengan por resultado impedir ese acceso. La obligación de </w:t>
      </w:r>
      <w:r w:rsidRPr="00597337">
        <w:rPr>
          <w:i/>
          <w:iCs/>
        </w:rPr>
        <w:t>proteger</w:t>
      </w:r>
      <w:r w:rsidRPr="00597337">
        <w:t xml:space="preserve"> requiere que el Estado Parte adopte medidas para velar por que las empresas o los particulares no priven a las personas del acceso a una alimentación adecuada. La obligación de </w:t>
      </w:r>
      <w:r w:rsidRPr="00597337">
        <w:rPr>
          <w:i/>
          <w:iCs/>
        </w:rPr>
        <w:t>realizar</w:t>
      </w:r>
      <w:r w:rsidRPr="00597337">
        <w:t xml:space="preserve"> (</w:t>
      </w:r>
      <w:r w:rsidRPr="00597337">
        <w:rPr>
          <w:i/>
          <w:iCs/>
        </w:rPr>
        <w:t>facilitar</w:t>
      </w:r>
      <w:r w:rsidRPr="00597337">
        <w:t xml:space="preserve">) significa que el Estado debe procurar iniciar actividades con el fin de fortalecer el acceso y la utilización por parte de la población de los recursos y medios que aseguren sus medios de vida, incluida la seguridad alimentaria. Por último, cuando un individuo o un grupo sea incapaz, por razones que escapen a su control, de disfrutar el derecho a una alimentación adecuada por los medios a su alcance, los Estados tienen la obligación de </w:t>
      </w:r>
      <w:r w:rsidRPr="00597337">
        <w:rPr>
          <w:i/>
          <w:iCs/>
        </w:rPr>
        <w:t>realizar</w:t>
      </w:r>
      <w:r w:rsidRPr="00597337">
        <w:t xml:space="preserve"> (</w:t>
      </w:r>
      <w:r w:rsidRPr="00597337">
        <w:rPr>
          <w:i/>
          <w:iCs/>
        </w:rPr>
        <w:t>hacer efectivo</w:t>
      </w:r>
      <w:r w:rsidRPr="00597337">
        <w:t xml:space="preserve">) ese derecho directamente”. Aplicación del Pacto Internacional de los Derechos Económicos, Sociales y Culturales, Observación general 12, </w:t>
      </w:r>
      <w:r w:rsidRPr="00597337">
        <w:rPr>
          <w:i/>
        </w:rPr>
        <w:t xml:space="preserve">El derecho a una alimentación adecuada </w:t>
      </w:r>
      <w:r w:rsidRPr="00597337">
        <w:t xml:space="preserve">(art. 11), (20º período de sesiones, 1999), U.N. Doc. </w:t>
      </w:r>
      <w:r w:rsidRPr="00597337">
        <w:rPr>
          <w:lang w:val="en-US"/>
        </w:rPr>
        <w:t>E/C.12/1999/5 (1999)</w:t>
      </w:r>
      <w:r w:rsidRPr="00597337">
        <w:rPr>
          <w:lang w:val="en-GB"/>
        </w:rPr>
        <w:t>, párrafo 15; […Internationally accepted ideas of the various obligations engendered by human rights indicate that all rights-both civil and political rights and social and economic-generate at least four levels of duties for a State that undertakes to adhere to a rights regime, namely the duty to respect, protect, promote, and fulfil these rights</w:t>
      </w:r>
      <w:r w:rsidRPr="00597337">
        <w:rPr>
          <w:lang w:val="en-US"/>
        </w:rPr>
        <w:t xml:space="preserve">. These obligations universally apply to all rights and entail a combination of negative and positive duties. As a human rights instrument, the African Charter is not alien to these concepts and the order in which they are dealt with here is chosen as a matter of convenience and in no way should it imply the priority accorded to them. Each layer of obligation is equally relevant to the rights in question…] </w:t>
      </w:r>
      <w:r w:rsidRPr="00597337">
        <w:rPr>
          <w:i/>
          <w:lang w:val="en-US"/>
        </w:rPr>
        <w:t>The Social and Economic Rights Action Center for Economic and Social Rights v. Nigeria</w:t>
      </w:r>
      <w:r w:rsidRPr="00597337">
        <w:rPr>
          <w:lang w:val="en-US"/>
        </w:rPr>
        <w:t>, African Commission on Human and Peoples' Rights, Comm. No. 155/96 (2001), párrafo 44.</w:t>
      </w:r>
    </w:p>
  </w:footnote>
  <w:footnote w:id="301">
    <w:p w:rsidR="00887731" w:rsidRPr="00597337" w:rsidRDefault="00887731" w:rsidP="004551E9">
      <w:pPr>
        <w:pStyle w:val="Pie"/>
        <w:rPr>
          <w:lang w:val="en-US"/>
        </w:rPr>
      </w:pPr>
      <w:r w:rsidRPr="00597337">
        <w:rPr>
          <w:rStyle w:val="Refdenotaalpie"/>
        </w:rPr>
        <w:footnoteRef/>
      </w:r>
      <w:r w:rsidRPr="00597337">
        <w:t xml:space="preserve"> Véase por ejemplo, </w:t>
      </w:r>
      <w:r w:rsidRPr="00597337">
        <w:rPr>
          <w:caps/>
        </w:rPr>
        <w:t>Dulitzky, A.,</w:t>
      </w:r>
      <w:r w:rsidRPr="00597337">
        <w:t xml:space="preserve"> (2004) “Alcance de las obligaciones Internacionales de los Derechos Humanos”, en </w:t>
      </w:r>
      <w:r w:rsidRPr="00597337">
        <w:rPr>
          <w:i/>
        </w:rPr>
        <w:t>Derecho Internacional de los Derechos Humanos</w:t>
      </w:r>
      <w:r w:rsidRPr="00597337">
        <w:t xml:space="preserve">, </w:t>
      </w:r>
      <w:r w:rsidRPr="00597337">
        <w:rPr>
          <w:caps/>
        </w:rPr>
        <w:t>Rodríguez-Pinzón &amp; Guevara</w:t>
      </w:r>
      <w:r w:rsidRPr="00597337">
        <w:t xml:space="preserve"> (Comp.) </w:t>
      </w:r>
      <w:r w:rsidRPr="00597337">
        <w:rPr>
          <w:lang w:val="en-GB"/>
        </w:rPr>
        <w:t xml:space="preserve">Fontamara, México, pp. 82-92; </w:t>
      </w:r>
      <w:r w:rsidRPr="00597337">
        <w:rPr>
          <w:caps/>
          <w:lang w:val="en-GB"/>
        </w:rPr>
        <w:t xml:space="preserve">Steiner, H. &amp; Alston, P., (2000) </w:t>
      </w:r>
      <w:r w:rsidRPr="00597337">
        <w:rPr>
          <w:lang w:val="en-GB"/>
        </w:rPr>
        <w:t xml:space="preserve"> </w:t>
      </w:r>
      <w:r w:rsidRPr="00597337">
        <w:rPr>
          <w:i/>
          <w:lang w:val="en-GB"/>
        </w:rPr>
        <w:t xml:space="preserve">International Human Rights in Context, Law, Politics, Moral, </w:t>
      </w:r>
      <w:r w:rsidRPr="00597337">
        <w:rPr>
          <w:lang w:val="en-GB"/>
        </w:rPr>
        <w:t>2</w:t>
      </w:r>
      <w:r w:rsidRPr="00597337">
        <w:rPr>
          <w:vertAlign w:val="superscript"/>
          <w:lang w:val="en-GB"/>
        </w:rPr>
        <w:t>nd</w:t>
      </w:r>
      <w:r w:rsidRPr="00597337">
        <w:rPr>
          <w:lang w:val="en-GB"/>
        </w:rPr>
        <w:t xml:space="preserve"> Ed., Oxford University Press, pp. 182-185; </w:t>
      </w:r>
      <w:r w:rsidRPr="00597337">
        <w:rPr>
          <w:caps/>
          <w:lang w:val="en-US"/>
        </w:rPr>
        <w:t>Lutz E., (1997-1998)</w:t>
      </w:r>
      <w:r w:rsidRPr="00597337">
        <w:rPr>
          <w:lang w:val="en-US"/>
        </w:rPr>
        <w:t xml:space="preserve"> “International Obligations to Respect and Ensure Human Rights”, </w:t>
      </w:r>
      <w:r w:rsidRPr="00597337">
        <w:rPr>
          <w:i/>
          <w:lang w:val="en-US"/>
        </w:rPr>
        <w:t>Whittier Law Review</w:t>
      </w:r>
      <w:r w:rsidRPr="00597337">
        <w:rPr>
          <w:lang w:val="en-US"/>
        </w:rPr>
        <w:t xml:space="preserve"> Vol. 19, pp. 345-352.</w:t>
      </w:r>
    </w:p>
  </w:footnote>
  <w:footnote w:id="302">
    <w:p w:rsidR="00887731" w:rsidRPr="00597337" w:rsidRDefault="00887731" w:rsidP="004551E9">
      <w:pPr>
        <w:pStyle w:val="Pie"/>
      </w:pPr>
      <w:r w:rsidRPr="00597337">
        <w:rPr>
          <w:rStyle w:val="Refdenotaalpie"/>
        </w:rPr>
        <w:footnoteRef/>
      </w:r>
      <w:r w:rsidRPr="00597337">
        <w:t xml:space="preserve"> […Todos los derechos humanos son universales, indivisibles e interdependientes y están relacionados entre sí. La comunidad internacional debe tratar los derechos humanos en forma global y de manera justa y equitativa, en pie de igualdad y dándoles a todos el mismo peso…] Declaración y el Programa de Acción de Viena aprobados por la Conferencia Mundial de Derechos Humanos el 25 de junio de 1993, A/CONF.157/23, de  12 de julio de 1993, párrafo 5; Véase también: </w:t>
      </w:r>
      <w:r w:rsidRPr="00597337">
        <w:rPr>
          <w:caps/>
        </w:rPr>
        <w:t>Brems, E., (2001)</w:t>
      </w:r>
      <w:r w:rsidRPr="00597337">
        <w:t xml:space="preserve"> </w:t>
      </w:r>
      <w:r w:rsidRPr="00597337">
        <w:rPr>
          <w:i/>
        </w:rPr>
        <w:t>Human Rights: Universality and Diversity</w:t>
      </w:r>
      <w:r w:rsidRPr="00597337">
        <w:t>, International Studies in Human Rights vol. 66, Martines Nijhoff Publishers, pp.3-25</w:t>
      </w:r>
      <w:r w:rsidRPr="00597337">
        <w:rPr>
          <w:caps/>
        </w:rPr>
        <w:t>; Van Dijk P., (1995)</w:t>
      </w:r>
      <w:r w:rsidRPr="00597337">
        <w:t xml:space="preserve"> “</w:t>
      </w:r>
      <w:r w:rsidRPr="00597337">
        <w:rPr>
          <w:lang w:eastAsia="es-ES_tradnl"/>
        </w:rPr>
        <w:t xml:space="preserve">A Common Standard of Achievement. About Universal Validity and Uniform Interpretation of International Human Rights Norms”, </w:t>
      </w:r>
      <w:r w:rsidRPr="00597337">
        <w:rPr>
          <w:i/>
          <w:lang w:eastAsia="es-ES_tradnl"/>
        </w:rPr>
        <w:t>Netherland Quarterly of Human Rights,</w:t>
      </w:r>
      <w:r w:rsidRPr="00597337">
        <w:rPr>
          <w:lang w:eastAsia="es-ES_tradnl"/>
        </w:rPr>
        <w:t xml:space="preserve"> Vol. 2, pp. 109 y ss.; </w:t>
      </w:r>
      <w:r w:rsidRPr="00597337">
        <w:rPr>
          <w:caps/>
          <w:lang w:eastAsia="es-ES_tradnl"/>
        </w:rPr>
        <w:t>Bariffi F.,</w:t>
      </w:r>
      <w:r w:rsidRPr="00597337">
        <w:rPr>
          <w:lang w:eastAsia="es-ES_tradnl"/>
        </w:rPr>
        <w:t xml:space="preserve"> (2003) “Sobre la Universalidad de los Derechos Humanos: ¿Universalidad o Universalismo?”, </w:t>
      </w:r>
      <w:r w:rsidRPr="00597337">
        <w:rPr>
          <w:i/>
          <w:lang w:eastAsia="es-ES_tradnl"/>
        </w:rPr>
        <w:t>Revista de Derecho de la Universidad Católica de Temuco</w:t>
      </w:r>
      <w:r w:rsidRPr="00597337">
        <w:rPr>
          <w:lang w:eastAsia="es-ES_tradnl"/>
        </w:rPr>
        <w:t>, Vol. 4, 31-49.</w:t>
      </w:r>
    </w:p>
  </w:footnote>
  <w:footnote w:id="303">
    <w:p w:rsidR="00887731" w:rsidRPr="00562DB8" w:rsidRDefault="00887731" w:rsidP="004551E9">
      <w:pPr>
        <w:pStyle w:val="Pie"/>
        <w:rPr>
          <w:lang w:val="en-US"/>
        </w:rPr>
      </w:pPr>
      <w:r w:rsidRPr="00597337">
        <w:rPr>
          <w:rStyle w:val="Refdenotaalpie"/>
        </w:rPr>
        <w:footnoteRef/>
      </w:r>
      <w:r w:rsidRPr="00562DB8">
        <w:rPr>
          <w:lang w:val="en-US"/>
        </w:rPr>
        <w:t xml:space="preserve"> </w:t>
      </w:r>
      <w:proofErr w:type="spellStart"/>
      <w:r w:rsidRPr="00562DB8">
        <w:rPr>
          <w:lang w:val="en-US"/>
        </w:rPr>
        <w:t>Véase</w:t>
      </w:r>
      <w:proofErr w:type="spellEnd"/>
      <w:r w:rsidRPr="00562DB8">
        <w:rPr>
          <w:lang w:val="en-US"/>
        </w:rPr>
        <w:t xml:space="preserve"> SEPULVEDA M. M., (2003) The Nature of the Obligations Under the International Covenant on Economic, Social and Cultural Rights, Intersentia, Utrecht, pp. 157-247. </w:t>
      </w:r>
    </w:p>
  </w:footnote>
  <w:footnote w:id="304">
    <w:p w:rsidR="00887731" w:rsidRPr="00597337" w:rsidRDefault="00887731" w:rsidP="004551E9">
      <w:pPr>
        <w:pStyle w:val="Pie"/>
      </w:pPr>
      <w:r w:rsidRPr="00597337">
        <w:rPr>
          <w:rStyle w:val="Refdenotaalpie"/>
        </w:rPr>
        <w:footnoteRef/>
      </w:r>
      <w:r w:rsidRPr="00597337">
        <w:t xml:space="preserve"> […La primera obligación asumida por los Estados Partes, en los términos del citado artículo (artículo 1.1 CADH), es la de "respetar los derechos y libertades" reconocidos en la Convención.  El ejercicio de la función pública tiene unos límites que derivan de que los derechos humanos son atributos inherentes a la dignidad humana y, en consecuencia, superiores al poder del Estado…] </w:t>
      </w:r>
      <w:r w:rsidRPr="00597337">
        <w:rPr>
          <w:lang w:eastAsia="es-ES_tradnl"/>
        </w:rPr>
        <w:t xml:space="preserve">CIADH, </w:t>
      </w:r>
      <w:r w:rsidRPr="00597337">
        <w:rPr>
          <w:i/>
        </w:rPr>
        <w:t>Caso Velásquez Rodríguez</w:t>
      </w:r>
      <w:r w:rsidRPr="00597337">
        <w:t xml:space="preserve">, Fondo. Sentencia de 29 de julio de 1988, Serie C No. 4, párrafo 165; </w:t>
      </w:r>
    </w:p>
  </w:footnote>
  <w:footnote w:id="305">
    <w:p w:rsidR="00887731" w:rsidRPr="00597337" w:rsidRDefault="00887731" w:rsidP="004551E9">
      <w:pPr>
        <w:pStyle w:val="Pie"/>
        <w:rPr>
          <w:lang w:val="en-GB"/>
        </w:rPr>
      </w:pPr>
      <w:r w:rsidRPr="00597337">
        <w:rPr>
          <w:rStyle w:val="Refdenotaalpie"/>
        </w:rPr>
        <w:footnoteRef/>
      </w:r>
      <w:r w:rsidRPr="00597337">
        <w:t xml:space="preserve"> Observación General No. 31, Comentarios generales adoptados por el Comité de los Derechos Humanos, La índole de la obligación jurídica general impuesta, 80º período de sesiones, U.N. Doc. </w:t>
      </w:r>
      <w:r w:rsidRPr="00597337">
        <w:rPr>
          <w:lang w:val="en-US"/>
        </w:rPr>
        <w:t>HRI/GEN/1/Rev.7 at 225 (2004); The Social and Economic Rights Action Center and the Center for Economic and Social Rights v. Nigeria, African Commission on Human and Peoples' Rights, Comm. No. 155/96 (2001)</w:t>
      </w:r>
    </w:p>
  </w:footnote>
  <w:footnote w:id="306">
    <w:p w:rsidR="00887731" w:rsidRPr="00562DB8" w:rsidRDefault="00887731" w:rsidP="004551E9">
      <w:pPr>
        <w:pStyle w:val="Pie"/>
        <w:rPr>
          <w:lang w:val="en-US"/>
        </w:rPr>
      </w:pPr>
      <w:r w:rsidRPr="00597337">
        <w:rPr>
          <w:rStyle w:val="Refdenotaalpie"/>
        </w:rPr>
        <w:footnoteRef/>
      </w:r>
      <w:r w:rsidRPr="00562DB8">
        <w:rPr>
          <w:lang w:val="en-US"/>
        </w:rPr>
        <w:t xml:space="preserve"> </w:t>
      </w:r>
      <w:proofErr w:type="gramStart"/>
      <w:r w:rsidRPr="00597337">
        <w:rPr>
          <w:caps/>
          <w:lang w:val="en-US"/>
        </w:rPr>
        <w:t>Dulitzky, A.,</w:t>
      </w:r>
      <w:r w:rsidRPr="00597337">
        <w:rPr>
          <w:lang w:val="en-US"/>
        </w:rPr>
        <w:t xml:space="preserve"> (2004), op. cit,</w:t>
      </w:r>
      <w:r w:rsidRPr="00562DB8">
        <w:rPr>
          <w:lang w:val="en-US"/>
        </w:rPr>
        <w:t xml:space="preserve"> p. 84.</w:t>
      </w:r>
      <w:proofErr w:type="gramEnd"/>
    </w:p>
  </w:footnote>
  <w:footnote w:id="307">
    <w:p w:rsidR="00887731" w:rsidRPr="00562DB8" w:rsidRDefault="00887731" w:rsidP="004551E9">
      <w:pPr>
        <w:pStyle w:val="Pie"/>
        <w:rPr>
          <w:lang w:val="en-US"/>
        </w:rPr>
      </w:pPr>
      <w:r w:rsidRPr="00597337">
        <w:rPr>
          <w:rStyle w:val="Refdenotaalpie"/>
        </w:rPr>
        <w:footnoteRef/>
      </w:r>
      <w:r w:rsidRPr="00562DB8">
        <w:rPr>
          <w:lang w:val="en-US"/>
        </w:rPr>
        <w:t xml:space="preserve"> </w:t>
      </w:r>
      <w:r w:rsidRPr="00597337">
        <w:rPr>
          <w:caps/>
          <w:lang w:val="en-US"/>
        </w:rPr>
        <w:t>Higgins, R.,</w:t>
      </w:r>
      <w:r w:rsidRPr="00597337">
        <w:rPr>
          <w:lang w:val="en-US"/>
        </w:rPr>
        <w:t xml:space="preserve"> (1994) </w:t>
      </w:r>
      <w:r w:rsidRPr="00597337">
        <w:rPr>
          <w:i/>
          <w:lang w:val="en-US"/>
        </w:rPr>
        <w:t xml:space="preserve">Problems &amp; Process: International Law and </w:t>
      </w:r>
      <w:proofErr w:type="gramStart"/>
      <w:r w:rsidRPr="00597337">
        <w:rPr>
          <w:i/>
          <w:lang w:val="en-US"/>
        </w:rPr>
        <w:t>How</w:t>
      </w:r>
      <w:proofErr w:type="gramEnd"/>
      <w:r w:rsidRPr="00597337">
        <w:rPr>
          <w:i/>
          <w:lang w:val="en-US"/>
        </w:rPr>
        <w:t xml:space="preserve"> we Use it</w:t>
      </w:r>
      <w:r w:rsidRPr="00597337">
        <w:rPr>
          <w:lang w:val="en-US"/>
        </w:rPr>
        <w:t xml:space="preserve">, Clarendon Press, Oxford, </w:t>
      </w:r>
      <w:r w:rsidRPr="00562DB8">
        <w:rPr>
          <w:lang w:val="en-US"/>
        </w:rPr>
        <w:t>p.100.</w:t>
      </w:r>
    </w:p>
  </w:footnote>
  <w:footnote w:id="308">
    <w:p w:rsidR="00887731" w:rsidRPr="00597337" w:rsidRDefault="00887731" w:rsidP="004551E9">
      <w:pPr>
        <w:pStyle w:val="Pie"/>
      </w:pPr>
      <w:r w:rsidRPr="00597337">
        <w:rPr>
          <w:rStyle w:val="Refdenotaalpie"/>
        </w:rPr>
        <w:footnoteRef/>
      </w:r>
      <w:r w:rsidRPr="00597337">
        <w:t xml:space="preserve"> […La segunda obligación de los Estados Partes es la de "garantizar" el libre y pleno ejercicio de los derechos reconocidos en la Convención a toda persona sujeta a su jurisdicción.  Esta obligación implica el deber de los Estados Partes de organizar todo el aparato gubernamental y, en general, todas las estructuras a través de las cuales se manifiesta el ejercicio del poder público, de manera tal que sean capaces de asegurar jurídicamente el libre y pleno ejercicio de los derechos humanos.  Como consecuencia de esta obligación los Estados deben prevenir, investigar y sancionar toda violación de los derechos reconocidos por la Convención y procurar, además, el restablecimiento, si es posible, del derecho conculcado y, en su caso, la reparación de los daños producidos por la violación de los derechos humanos…] </w:t>
      </w:r>
      <w:r w:rsidRPr="00597337">
        <w:rPr>
          <w:lang w:eastAsia="es-ES_tradnl"/>
        </w:rPr>
        <w:t xml:space="preserve">CIADH, </w:t>
      </w:r>
      <w:r w:rsidRPr="00597337">
        <w:rPr>
          <w:i/>
        </w:rPr>
        <w:t>Caso Velásquez Rodríguez</w:t>
      </w:r>
      <w:r w:rsidRPr="00597337">
        <w:t xml:space="preserve">, Fondo. Sentencia de 29 de julio de 1988, Serie C No. 4, párrafo 166. </w:t>
      </w:r>
    </w:p>
  </w:footnote>
  <w:footnote w:id="309">
    <w:p w:rsidR="00887731" w:rsidRPr="00597337" w:rsidRDefault="00887731" w:rsidP="004551E9">
      <w:pPr>
        <w:pStyle w:val="Pie"/>
      </w:pPr>
      <w:r w:rsidRPr="00597337">
        <w:rPr>
          <w:rStyle w:val="Refdenotaalpie"/>
        </w:rPr>
        <w:footnoteRef/>
      </w:r>
      <w:r w:rsidRPr="00597337">
        <w:t xml:space="preserve"> […El Estado está en el deber jurídico de prevenir, razonablemente, las violaciones de los derechos humanos, de investigar seriamente con los medios a su alcance las violaciones que se hayan cometido dentro del ámbito de su jurisdicción a fin de identificar a los responsables, de imponerles las sanciones pertinentes y de asegurar a la víctima una adecuada reparación. El deber de prevención abarca todas aquellas medidas de carácter jurídico, político, administrativo y cultural que promuevan la salvaguarda de los derechos humanos y que aseguren que las eventuales violaciones a los mismos sean efectivamente consideradas y tratadas como un hecho ilícito que, como tal, es susceptible de acarrear sanciones para quien las cometa, así como la obligación de indemnizar a las víctimas por sus consecuencias perjudiciales….] </w:t>
      </w:r>
      <w:r w:rsidRPr="00597337">
        <w:rPr>
          <w:lang w:eastAsia="es-ES_tradnl"/>
        </w:rPr>
        <w:t xml:space="preserve">CIADH, </w:t>
      </w:r>
      <w:r w:rsidRPr="00597337">
        <w:rPr>
          <w:i/>
        </w:rPr>
        <w:t>Caso Velásquez Rodríguez</w:t>
      </w:r>
      <w:r w:rsidRPr="00597337">
        <w:t xml:space="preserve">, Fondo. Sentencia de 29 de julio de 1988, Serie C No. 4, párrafos 174-175.  </w:t>
      </w:r>
    </w:p>
  </w:footnote>
  <w:footnote w:id="310">
    <w:p w:rsidR="00887731" w:rsidRPr="00597337" w:rsidRDefault="00887731" w:rsidP="004551E9">
      <w:pPr>
        <w:pStyle w:val="Pie"/>
      </w:pPr>
      <w:r w:rsidRPr="00597337">
        <w:rPr>
          <w:rStyle w:val="Refdenotaalpie"/>
        </w:rPr>
        <w:footnoteRef/>
      </w:r>
      <w:r w:rsidRPr="00597337">
        <w:t xml:space="preserve"> Vid: Declaración de Naciones Unidas sobre el derecho de las víctimas de violaciones manifiestas de las normas internacionales de derechos humanos y de violaciones graves del derecho internacional humanitario a interponer recursos y obtener reparaciones (A/RES/60/147, de 21 de marzo de 2006) y el </w:t>
      </w:r>
      <w:r w:rsidRPr="00597337">
        <w:rPr>
          <w:lang w:eastAsia="es-ES_tradnl"/>
        </w:rPr>
        <w:t>Conjunto de Principios para la Protección y la Promoción de los derechos humanos mediante la lucha contra la impunidad (E/CN.4/2005/102/Add.1, de 8 de febrero de 2005)</w:t>
      </w:r>
    </w:p>
  </w:footnote>
  <w:footnote w:id="311">
    <w:p w:rsidR="00887731" w:rsidRPr="00597337" w:rsidRDefault="00887731" w:rsidP="004551E9">
      <w:pPr>
        <w:pStyle w:val="Pie"/>
      </w:pPr>
      <w:r w:rsidRPr="00597337">
        <w:rPr>
          <w:rStyle w:val="Refdenotaalpie"/>
        </w:rPr>
        <w:footnoteRef/>
      </w:r>
      <w:r w:rsidRPr="00597337">
        <w:t xml:space="preserve"> Observación General No. 6, Comentarios generales adoptados por el Comité de los Derechos Humanos, Artículo 6 - </w:t>
      </w:r>
      <w:r w:rsidRPr="00597337">
        <w:rPr>
          <w:i/>
        </w:rPr>
        <w:t>Derecho a la vida</w:t>
      </w:r>
      <w:r w:rsidRPr="00597337">
        <w:t xml:space="preserve">, 16º período de sesiones, U.N. Doc. HRI/GEN/1/Rev.7 at 143 (1982); Observación General No. 14, Comentarios generales adoptados por el Comité de los Derechos Humanos, Artículo 6 - </w:t>
      </w:r>
      <w:r w:rsidRPr="00597337">
        <w:rPr>
          <w:i/>
        </w:rPr>
        <w:t>El derecho a la vida</w:t>
      </w:r>
      <w:r w:rsidRPr="00597337">
        <w:t>, 23º período de sesiones, U.N. Doc. HRI/GEN/1/Rev.7 at 158 (1984)</w:t>
      </w:r>
    </w:p>
  </w:footnote>
  <w:footnote w:id="312">
    <w:p w:rsidR="00887731" w:rsidRPr="00597337" w:rsidRDefault="00887731" w:rsidP="004551E9">
      <w:pPr>
        <w:pStyle w:val="Pie"/>
      </w:pPr>
      <w:r w:rsidRPr="00597337">
        <w:rPr>
          <w:rStyle w:val="Refdenotaalpie"/>
        </w:rPr>
        <w:footnoteRef/>
      </w:r>
      <w:r w:rsidRPr="00597337">
        <w:t xml:space="preserve"> Observación General No. 9, Comentarios generales adoptados por el Comité de los Derechos Humanos, Artículo 10 - </w:t>
      </w:r>
      <w:r w:rsidRPr="00597337">
        <w:rPr>
          <w:i/>
        </w:rPr>
        <w:t>Trato humano de las personas privadas de libertad</w:t>
      </w:r>
      <w:r w:rsidRPr="00597337">
        <w:t xml:space="preserve">, 16º período de sesiones, U.N. Doc. HRI/GEN/1/Rev.7 at 148 (1982); Observación General No. 20, Comentarios generales adoptados por el Comité de los Derechos Humanos, Artículo 7 - </w:t>
      </w:r>
      <w:r w:rsidRPr="00597337">
        <w:rPr>
          <w:i/>
        </w:rPr>
        <w:t>Prohibición de la tortura u otros tratos o penas crueles, inhumanos o degradantes</w:t>
      </w:r>
      <w:r w:rsidRPr="00597337">
        <w:t>, 44º período de sesiones, U.N. Doc. HRI/GEN/1/Rev.7 at 173 (1992)</w:t>
      </w:r>
    </w:p>
  </w:footnote>
  <w:footnote w:id="313">
    <w:p w:rsidR="00887731" w:rsidRPr="00597337" w:rsidRDefault="00887731" w:rsidP="004551E9">
      <w:pPr>
        <w:pStyle w:val="Pie"/>
      </w:pPr>
      <w:r w:rsidRPr="00597337">
        <w:rPr>
          <w:rStyle w:val="Refdenotaalpie"/>
        </w:rPr>
        <w:footnoteRef/>
      </w:r>
      <w:r w:rsidRPr="00597337">
        <w:t xml:space="preserve"> Observación General No. 16, Comentarios generales adoptados por el Comité de los Derechos Humanos, Artículo 17 - </w:t>
      </w:r>
      <w:r w:rsidRPr="00597337">
        <w:rPr>
          <w:i/>
        </w:rPr>
        <w:t>Derecho a la intimidad</w:t>
      </w:r>
      <w:r w:rsidRPr="00597337">
        <w:t>, 32º período de sesiones, U.N. Doc. HRI/GEN/1/Rev.7 at 162 (1988)</w:t>
      </w:r>
    </w:p>
  </w:footnote>
  <w:footnote w:id="314">
    <w:p w:rsidR="00887731" w:rsidRPr="00597337" w:rsidRDefault="00887731" w:rsidP="004551E9">
      <w:pPr>
        <w:pStyle w:val="Pie"/>
      </w:pPr>
      <w:r w:rsidRPr="00597337">
        <w:rPr>
          <w:rStyle w:val="Refdenotaalpie"/>
        </w:rPr>
        <w:footnoteRef/>
      </w:r>
      <w:r w:rsidRPr="00597337">
        <w:t xml:space="preserve"> Observación general 15, Aplicación del Pacto Internacional de los Derechos Económicos, Sociales y Culturales, </w:t>
      </w:r>
      <w:r w:rsidRPr="00597337">
        <w:rPr>
          <w:i/>
        </w:rPr>
        <w:t>El derecho al agua</w:t>
      </w:r>
      <w:r w:rsidRPr="00597337">
        <w:t xml:space="preserve"> (artículos 11 y 12 del Pacto), (29º período de sesiones 2002), U.N. Doc. HRI/GEN/1/Rev.7 at 117 (2002)</w:t>
      </w:r>
    </w:p>
  </w:footnote>
  <w:footnote w:id="315">
    <w:p w:rsidR="00887731" w:rsidRPr="00597337" w:rsidRDefault="00887731" w:rsidP="004551E9">
      <w:pPr>
        <w:pStyle w:val="Pie"/>
      </w:pPr>
      <w:r w:rsidRPr="00597337">
        <w:rPr>
          <w:rStyle w:val="Refdenotaalpie"/>
        </w:rPr>
        <w:footnoteRef/>
      </w:r>
      <w:r w:rsidRPr="00597337">
        <w:t xml:space="preserve"> Aplicación del Pacto Internacional de los Derechos Económicos, Sociales y Culturales, Observación general 12, </w:t>
      </w:r>
      <w:r w:rsidRPr="00597337">
        <w:rPr>
          <w:i/>
        </w:rPr>
        <w:t>El derecho a una alimentación adecuada</w:t>
      </w:r>
      <w:r w:rsidRPr="00597337">
        <w:t xml:space="preserve"> (art. 11), (20º período de sesiones, 1999), U.N. Doc. E/C.12/1999/5 (1999)</w:t>
      </w:r>
    </w:p>
  </w:footnote>
  <w:footnote w:id="316">
    <w:p w:rsidR="00887731" w:rsidRPr="00597337" w:rsidRDefault="00887731" w:rsidP="004551E9">
      <w:pPr>
        <w:pStyle w:val="Pie"/>
        <w:rPr>
          <w:lang w:val="en-US"/>
        </w:rPr>
      </w:pPr>
      <w:r w:rsidRPr="00597337">
        <w:rPr>
          <w:rStyle w:val="Refdenotaalpie"/>
        </w:rPr>
        <w:footnoteRef/>
      </w:r>
      <w:r w:rsidRPr="00597337">
        <w:t xml:space="preserve"> Aplicación del Pacto Internacional de los Derechos Económicos, Sociales y Culturales, Observación general 14, </w:t>
      </w:r>
      <w:r w:rsidRPr="00597337">
        <w:rPr>
          <w:i/>
        </w:rPr>
        <w:t>El derecho al disfrute del más alto nivel posible de salud</w:t>
      </w:r>
      <w:r w:rsidRPr="00597337">
        <w:t xml:space="preserve"> (artículo 12 del Pacto Internacional de Derechos Económicos, Sociales y Culturales), (22º período de sesiones, 2000), U.N. Doc. </w:t>
      </w:r>
      <w:r w:rsidRPr="00597337">
        <w:rPr>
          <w:lang w:val="en-US"/>
        </w:rPr>
        <w:t>E/C.12/2000/4 (2000)</w:t>
      </w:r>
    </w:p>
  </w:footnote>
  <w:footnote w:id="317">
    <w:p w:rsidR="00887731" w:rsidRPr="00562DB8" w:rsidRDefault="00887731" w:rsidP="004551E9">
      <w:pPr>
        <w:pStyle w:val="Pie"/>
        <w:rPr>
          <w:lang w:val="en-US"/>
        </w:rPr>
      </w:pPr>
      <w:r w:rsidRPr="00597337">
        <w:rPr>
          <w:rStyle w:val="Refdenotaalpie"/>
        </w:rPr>
        <w:footnoteRef/>
      </w:r>
      <w:r w:rsidRPr="00562DB8">
        <w:rPr>
          <w:lang w:val="en-US"/>
        </w:rPr>
        <w:t xml:space="preserve"> </w:t>
      </w:r>
      <w:r w:rsidRPr="00562DB8">
        <w:rPr>
          <w:caps/>
          <w:lang w:val="en-US"/>
        </w:rPr>
        <w:t>Tomuschat, C., (</w:t>
      </w:r>
      <w:r w:rsidRPr="00562DB8">
        <w:rPr>
          <w:lang w:val="en-US"/>
        </w:rPr>
        <w:t xml:space="preserve">2002) “Reparation for Victims of Grave Human Rights Violations” </w:t>
      </w:r>
      <w:r w:rsidRPr="00562DB8">
        <w:rPr>
          <w:i/>
          <w:lang w:val="en-US"/>
        </w:rPr>
        <w:t>Tulane Journal of International &amp; Comparative Law</w:t>
      </w:r>
      <w:r w:rsidRPr="00562DB8">
        <w:rPr>
          <w:lang w:val="en-US"/>
        </w:rPr>
        <w:t xml:space="preserve"> Vol. 10, pp. 157-184</w:t>
      </w:r>
    </w:p>
  </w:footnote>
  <w:footnote w:id="318">
    <w:p w:rsidR="00887731" w:rsidRPr="00597337" w:rsidRDefault="00887731" w:rsidP="004551E9">
      <w:pPr>
        <w:pStyle w:val="Pie"/>
      </w:pPr>
      <w:r w:rsidRPr="00597337">
        <w:rPr>
          <w:rStyle w:val="Refdenotaalpie"/>
        </w:rPr>
        <w:footnoteRef/>
      </w:r>
      <w:r w:rsidRPr="00597337">
        <w:t xml:space="preserve"> […Hay que advertir que la progresividad no implica de ningún modo que las normas del PIDCP, o en su caso de la Convención Americana, no sean inmediatamente exigibles con un contenido que podríamos llamar mínimo común denominador. El sistema internacional, sin embargo, aspira a mejorar y por ello espera de, y pide a, los Estados que progresen a partir de ese mínimo consagrado en las normas internacionales...] </w:t>
      </w:r>
      <w:r w:rsidRPr="00597337">
        <w:rPr>
          <w:caps/>
          <w:lang w:val="es-AR"/>
        </w:rPr>
        <w:t>Dulitzky, A.,</w:t>
      </w:r>
      <w:r w:rsidRPr="00597337">
        <w:rPr>
          <w:lang w:val="es-AR"/>
        </w:rPr>
        <w:t xml:space="preserve"> (2004)</w:t>
      </w:r>
      <w:r w:rsidRPr="00597337">
        <w:t>, p.91.</w:t>
      </w:r>
    </w:p>
  </w:footnote>
  <w:footnote w:id="319">
    <w:p w:rsidR="00887731" w:rsidRPr="00597337" w:rsidRDefault="00887731" w:rsidP="004551E9">
      <w:pPr>
        <w:pStyle w:val="Pie"/>
      </w:pPr>
      <w:r w:rsidRPr="00597337">
        <w:rPr>
          <w:rStyle w:val="Refdenotaalpie"/>
        </w:rPr>
        <w:footnoteRef/>
      </w:r>
      <w:r w:rsidRPr="00597337">
        <w:t xml:space="preserve"> […Gran parte del trabajo de los organismos de derechos humanos y de los órganos internacionales de aplicación de las normas internacionales de derechos humanos en materia de derecho a la vida y derecho a la integridad física y psíquica (y correlativas provisiones de muerte y tortura) –derechos habitualmente clasificados como civiles y políticos- ha consistido en reforzar los aspectos vinculados con las obligaciones de proteger y satisfacer estos derechos, a través de medidas diversas que van desde la investigación de las prácticas estatales violatorias de estos derechos, el juzgamiento o el establecimiento de responsabilidades civiles o penales de sus perpetradores, la reparación a las víctimas, la modificación de la legislación que establezca fueros especiales para el juzgamiento de hechos de muerte, desaparición y tortura, la modificación de los programas de formación de las fuerzas militares y de seguridad, la inclusión de formas de educación en derechos humanos en los planes de estudio regulares, etcétera…] </w:t>
      </w:r>
      <w:r w:rsidRPr="00597337">
        <w:rPr>
          <w:caps/>
        </w:rPr>
        <w:t>Abramovich, V. &amp; Courtis, C.,</w:t>
      </w:r>
      <w:r w:rsidRPr="00597337">
        <w:t xml:space="preserve"> (2002) </w:t>
      </w:r>
      <w:r w:rsidRPr="00597337">
        <w:rPr>
          <w:i/>
        </w:rPr>
        <w:t>Los derechos sociales como derechos exigibles</w:t>
      </w:r>
      <w:r w:rsidRPr="00597337">
        <w:t>, Trotta, Madrid, p. 31.</w:t>
      </w:r>
    </w:p>
  </w:footnote>
  <w:footnote w:id="320">
    <w:p w:rsidR="00887731" w:rsidRPr="00597337" w:rsidRDefault="00887731" w:rsidP="004551E9">
      <w:pPr>
        <w:pStyle w:val="Pie"/>
      </w:pPr>
      <w:r w:rsidRPr="00597337">
        <w:rPr>
          <w:rStyle w:val="Refdenotaalpie"/>
        </w:rPr>
        <w:footnoteRef/>
      </w:r>
      <w:r w:rsidRPr="00597337">
        <w:t xml:space="preserve"> […Es claro, a su vez, que la obligación de prevenir es de medio o comportamiento y no se demuestra su incumplimiento por el mero hecho de que un derecho haya sido violado…]  </w:t>
      </w:r>
      <w:r w:rsidRPr="00597337">
        <w:rPr>
          <w:lang w:eastAsia="es-ES_tradnl"/>
        </w:rPr>
        <w:t xml:space="preserve">CIADH, </w:t>
      </w:r>
      <w:r w:rsidRPr="00597337">
        <w:rPr>
          <w:i/>
        </w:rPr>
        <w:t>Caso Velásquez Rodríguez</w:t>
      </w:r>
      <w:r w:rsidRPr="00597337">
        <w:t>, Fondo. Sentencia de 29 de julio de 1988, Serie C No. 4, párrafo 175.</w:t>
      </w:r>
    </w:p>
  </w:footnote>
  <w:footnote w:id="321">
    <w:p w:rsidR="00887731" w:rsidRPr="00562DB8" w:rsidRDefault="00887731" w:rsidP="004551E9">
      <w:pPr>
        <w:pStyle w:val="Pie"/>
        <w:rPr>
          <w:lang w:val="en-US"/>
        </w:rPr>
      </w:pPr>
      <w:r w:rsidRPr="00597337">
        <w:rPr>
          <w:rStyle w:val="Refdenotaalpie"/>
        </w:rPr>
        <w:footnoteRef/>
      </w:r>
      <w:r w:rsidRPr="00562DB8">
        <w:rPr>
          <w:lang w:val="en-US"/>
        </w:rPr>
        <w:t xml:space="preserve"> </w:t>
      </w:r>
      <w:proofErr w:type="spellStart"/>
      <w:proofErr w:type="gramStart"/>
      <w:r w:rsidRPr="00562DB8">
        <w:rPr>
          <w:lang w:val="en-US"/>
        </w:rPr>
        <w:t>Abramovich</w:t>
      </w:r>
      <w:proofErr w:type="spellEnd"/>
      <w:r w:rsidRPr="00562DB8">
        <w:rPr>
          <w:lang w:val="en-US"/>
        </w:rPr>
        <w:t xml:space="preserve">, V. &amp; </w:t>
      </w:r>
      <w:proofErr w:type="spellStart"/>
      <w:r w:rsidRPr="00562DB8">
        <w:rPr>
          <w:lang w:val="en-US"/>
        </w:rPr>
        <w:t>Courtis</w:t>
      </w:r>
      <w:proofErr w:type="spellEnd"/>
      <w:r w:rsidRPr="00562DB8">
        <w:rPr>
          <w:lang w:val="en-US"/>
        </w:rPr>
        <w:t>, C., (2002) op. cit, p. 29.</w:t>
      </w:r>
      <w:proofErr w:type="gramEnd"/>
      <w:r w:rsidRPr="00562DB8">
        <w:rPr>
          <w:lang w:val="en-US"/>
        </w:rPr>
        <w:t xml:space="preserve"> </w:t>
      </w:r>
    </w:p>
  </w:footnote>
  <w:footnote w:id="322">
    <w:p w:rsidR="00887731" w:rsidRPr="00597337" w:rsidRDefault="00887731" w:rsidP="004551E9">
      <w:pPr>
        <w:pStyle w:val="Pie"/>
      </w:pPr>
      <w:r w:rsidRPr="00597337">
        <w:rPr>
          <w:rStyle w:val="Refdenotaalpie"/>
        </w:rPr>
        <w:footnoteRef/>
      </w:r>
      <w:r w:rsidRPr="00597337">
        <w:t xml:space="preserve"> DHANDA, A., (2008), op. cit, p.55.</w:t>
      </w:r>
    </w:p>
  </w:footnote>
  <w:footnote w:id="323">
    <w:p w:rsidR="00887731" w:rsidRPr="00597337" w:rsidRDefault="00887731" w:rsidP="004551E9">
      <w:pPr>
        <w:pStyle w:val="Pie"/>
      </w:pPr>
      <w:r w:rsidRPr="00597337">
        <w:rPr>
          <w:rStyle w:val="Refdenotaalpie"/>
        </w:rPr>
        <w:footnoteRef/>
      </w:r>
      <w:r w:rsidRPr="00597337">
        <w:t xml:space="preserve"> QUINN, G., (2009-2010), op. cit, p.44.</w:t>
      </w:r>
    </w:p>
  </w:footnote>
  <w:footnote w:id="324">
    <w:p w:rsidR="00887731" w:rsidRPr="00597337" w:rsidRDefault="00887731" w:rsidP="004551E9">
      <w:pPr>
        <w:pStyle w:val="Pie"/>
      </w:pPr>
      <w:r w:rsidRPr="00597337">
        <w:rPr>
          <w:rStyle w:val="Refdenotaalpie"/>
        </w:rPr>
        <w:footnoteRef/>
      </w:r>
      <w:r w:rsidRPr="00597337">
        <w:t xml:space="preserve"> […Los Estados partes informarán sobre: (…) La manera en que se han puesto en vigor los principios y las obligaciones generales establecidos en los artículos 3 y 4 de la Convención y la manera en que se prevé asegurar su realización efectiva, en particular el principio de la promoción del pleno ejercicio de los derechos reconocidos en la Convención sin discriminación por motivos de discapacidad, como se dispone en el artículo 4, proporcionando ejemplos. (…) Los derechos reconocidos en la Convención que el Estado Parte ha procurado hacer efectivos progresivamente y los derechos que se ha comprometido a poner en práctica de inmediato. Describir el efecto de estas últimas medidas…] </w:t>
      </w:r>
      <w:r w:rsidRPr="00597337">
        <w:rPr>
          <w:i/>
        </w:rPr>
        <w:t>Directrices relativas al documento específico sobre la Convención que deben presentar los Estados partes con arreglo al párrafo 1 del artículo 35 de la Convención sobre los derechos de las personas con discapacidad</w:t>
      </w:r>
      <w:r w:rsidRPr="00597337">
        <w:t>, Comité de la ONU sobre los Derechos de las Personas con Discapacidad, CRPD/C/2/3, 18 de noviembre de 2009.</w:t>
      </w:r>
    </w:p>
  </w:footnote>
  <w:footnote w:id="325">
    <w:p w:rsidR="00887731" w:rsidRPr="00597337" w:rsidRDefault="00887731" w:rsidP="004551E9">
      <w:pPr>
        <w:pStyle w:val="Pie"/>
        <w:rPr>
          <w:lang w:val="en-US"/>
        </w:rPr>
      </w:pPr>
      <w:r w:rsidRPr="00597337">
        <w:rPr>
          <w:rStyle w:val="Refdenotaalpie"/>
        </w:rPr>
        <w:footnoteRef/>
      </w:r>
      <w:r w:rsidRPr="00597337">
        <w:t xml:space="preserve"> Weller sostiene este punto de vista al afirmar que la CDPD ha generado un cambio hacia una fusión conceptual de los derechos económicos, sociales y culturales y los civiles y políticos a través de la asunción de un modelo social de salud. </w:t>
      </w:r>
      <w:r w:rsidRPr="00597337">
        <w:rPr>
          <w:lang w:val="en-US"/>
        </w:rPr>
        <w:t xml:space="preserve">[…This paper argues that the CRPD moves toward a conceptual fusion of social, economic and cultural rights with civil and political rights, through its adoption of a social model of health. Accordingly, the CRPD sets out positive obligations on State parties to provide timely and appropriate treatment to people with mental illness, including the provision of adequate community and social services and a coherent system of integration between community and institutional facilities. The CRPD also supports a strict limitation on the provision of involuntary medical treatment, and reconciles these apparently competing objectives through an emphasis on autonomy, self determination and supported decision making…] WELLER, P., (2011) “The Convention on the Rights of Persons with Disabilities and the social model of health: new perspectives”, </w:t>
      </w:r>
      <w:r w:rsidRPr="00597337">
        <w:rPr>
          <w:i/>
          <w:lang w:val="en-US"/>
        </w:rPr>
        <w:t>Journal of Mental Health Law (Special Edition)</w:t>
      </w:r>
      <w:r w:rsidRPr="00597337">
        <w:rPr>
          <w:lang w:val="en-US"/>
        </w:rPr>
        <w:t xml:space="preserve">, p. 75.  </w:t>
      </w:r>
    </w:p>
  </w:footnote>
  <w:footnote w:id="326">
    <w:p w:rsidR="00887731" w:rsidRPr="00597337" w:rsidRDefault="00887731" w:rsidP="004551E9">
      <w:pPr>
        <w:pStyle w:val="Pie"/>
      </w:pPr>
      <w:r w:rsidRPr="00597337">
        <w:rPr>
          <w:rStyle w:val="Refdenotaalpie"/>
        </w:rPr>
        <w:footnoteRef/>
      </w:r>
      <w:r w:rsidRPr="00597337">
        <w:t xml:space="preserve"> Respecto de Túnez, CRPD/C/TUN/CO/1, 13 de mayo de 2011, párrafo 10; Respecto de España, CRPD/C/ESP/CO/1, 19 de octubre de 2011, párrafo 16; Respecto de Perú, CDPD,CRPD/C/PER/CO/1, 16 de mayo de 2012, párrafo 9; Respecto de Argentina, CRPD/C/ARG/CO/1, 19 de octubre de 2012, párrafo 6; Respecto de China, CRPD/C/CHN/CO/1, 15 de octubre de 2012, párrafo 10; Respecto de Hungría, </w:t>
      </w:r>
      <w:r w:rsidRPr="00597337">
        <w:rPr>
          <w:lang w:val="es-ES_tradnl"/>
        </w:rPr>
        <w:t xml:space="preserve">CRPD/C/HUN/CO/1, </w:t>
      </w:r>
      <w:r w:rsidRPr="00597337">
        <w:t xml:space="preserve">22 de octubre de 2012, párrafo 14. </w:t>
      </w:r>
    </w:p>
  </w:footnote>
  <w:footnote w:id="327">
    <w:p w:rsidR="00887731" w:rsidRPr="00597337" w:rsidRDefault="00887731" w:rsidP="004551E9">
      <w:pPr>
        <w:pStyle w:val="Pie"/>
      </w:pPr>
      <w:r w:rsidRPr="00597337">
        <w:rPr>
          <w:rStyle w:val="Refdenotaalpie"/>
        </w:rPr>
        <w:footnoteRef/>
      </w:r>
      <w:r w:rsidRPr="00597337">
        <w:t xml:space="preserve"> El fenómeno de la fragmentación, y en especial desde el fin de la Guerra Fría, ha comenzado a ser una cuestión de enorme relevancia para el estudio, y más importante aún, para la vigencia y aplicación del Derecho Internacional. Cabe mencionar como una clara evidencia de ello los trabajos desarrollados en el seno de la Comisión de Derecho Internacional de las Naciones Unidas. </w:t>
      </w:r>
      <w:r w:rsidRPr="00597337">
        <w:rPr>
          <w:i/>
        </w:rPr>
        <w:t>Fragmentación del Derecho Internacional: Dificultades de la diversificación y Expansión del Derecho Internacional,</w:t>
      </w:r>
      <w:r w:rsidRPr="00597337">
        <w:t xml:space="preserve"> Informe del Grupo de Estudio de la Comisión de Derecho Internacional Elaborado por </w:t>
      </w:r>
      <w:r w:rsidRPr="00597337">
        <w:rPr>
          <w:caps/>
        </w:rPr>
        <w:t>Martti Koskenniemi</w:t>
      </w:r>
      <w:r w:rsidRPr="00597337">
        <w:t>,  13 de abril de 2006, A/CN.4/L.682.</w:t>
      </w:r>
    </w:p>
  </w:footnote>
  <w:footnote w:id="328">
    <w:p w:rsidR="00887731" w:rsidRPr="00597337" w:rsidRDefault="00887731" w:rsidP="004551E9">
      <w:pPr>
        <w:pStyle w:val="Pie"/>
      </w:pPr>
      <w:r w:rsidRPr="00597337">
        <w:rPr>
          <w:rStyle w:val="Refdenotaalpie"/>
        </w:rPr>
        <w:footnoteRef/>
      </w:r>
      <w:r w:rsidRPr="00597337">
        <w:t xml:space="preserve"> MARIÑO MENÉNDEZ, F., (1999), “Situaciones jurídicas subjetivas constitucionales en el Derecho Internacional”, en </w:t>
      </w:r>
      <w:r w:rsidRPr="00597337">
        <w:rPr>
          <w:i/>
        </w:rPr>
        <w:t>Cursos Euromediterráneos Bancaja de Derecho Internacional</w:t>
      </w:r>
      <w:r w:rsidRPr="00597337">
        <w:t>, Vol. III, pp. 323-361.</w:t>
      </w:r>
    </w:p>
  </w:footnote>
  <w:footnote w:id="329">
    <w:p w:rsidR="00887731" w:rsidRPr="00597337" w:rsidRDefault="00887731" w:rsidP="004551E9">
      <w:pPr>
        <w:pStyle w:val="Pie"/>
      </w:pPr>
      <w:r w:rsidRPr="00597337">
        <w:rPr>
          <w:rStyle w:val="Refdenotaalpie"/>
        </w:rPr>
        <w:footnoteRef/>
      </w:r>
      <w:r w:rsidRPr="00597337">
        <w:t xml:space="preserve"> […las reglas de interpretación de los tratados internacionales que consagran los dos Convenios de Viena sobre derechos de los tratados se deben completar con el principio </w:t>
      </w:r>
      <w:r w:rsidRPr="00597337">
        <w:rPr>
          <w:i/>
        </w:rPr>
        <w:t>interpretatio pro homine</w:t>
      </w:r>
      <w:r w:rsidRPr="00597337">
        <w:t xml:space="preserve"> cuando se trate de los tratados de derechos humanos, pues éstos deben interpretarse siempre de la manera más favorable al individuo…] </w:t>
      </w:r>
      <w:r w:rsidRPr="00597337">
        <w:rPr>
          <w:rStyle w:val="PieCar"/>
          <w:caps/>
        </w:rPr>
        <w:t>Villán Durán, C.,</w:t>
      </w:r>
      <w:r w:rsidRPr="00597337">
        <w:t xml:space="preserve"> (2002) </w:t>
      </w:r>
      <w:r w:rsidRPr="00597337">
        <w:rPr>
          <w:i/>
        </w:rPr>
        <w:t>Curso de Derecho Internacional de los Derechos Humanos</w:t>
      </w:r>
      <w:r w:rsidRPr="00597337">
        <w:t xml:space="preserve">, Trotta, p.104; PINTO, M., (1997) “El principio </w:t>
      </w:r>
      <w:r w:rsidRPr="00597337">
        <w:rPr>
          <w:i/>
        </w:rPr>
        <w:t>pro homine</w:t>
      </w:r>
      <w:r w:rsidRPr="00597337">
        <w:t xml:space="preserve">. Criterios de hermenéutica y pautas para la regulación de los derechos humanos”, en </w:t>
      </w:r>
      <w:r w:rsidRPr="00597337">
        <w:rPr>
          <w:i/>
        </w:rPr>
        <w:t>La aplicación de los tratados sobre derechos humanos por los tribunales locales</w:t>
      </w:r>
      <w:r w:rsidRPr="00597337">
        <w:t xml:space="preserve">, </w:t>
      </w:r>
      <w:r w:rsidRPr="00597337">
        <w:rPr>
          <w:caps/>
        </w:rPr>
        <w:t>Abregú, M. &amp; Courtis, C</w:t>
      </w:r>
      <w:r w:rsidRPr="00597337">
        <w:t xml:space="preserve">. (Comp.) CELS, Editores del Puerto, Buenos Aires, pp. 163-172; </w:t>
      </w:r>
      <w:r w:rsidRPr="00597337">
        <w:rPr>
          <w:caps/>
        </w:rPr>
        <w:t>Bidart Campos, G.,</w:t>
      </w:r>
      <w:r w:rsidRPr="00597337">
        <w:t xml:space="preserve"> (1994) </w:t>
      </w:r>
      <w:r w:rsidRPr="00597337">
        <w:rPr>
          <w:i/>
        </w:rPr>
        <w:t>La interpretación del sistema de derechos humanos</w:t>
      </w:r>
      <w:r w:rsidRPr="00597337">
        <w:t xml:space="preserve">, Buenos Aires, Ediar. </w:t>
      </w:r>
    </w:p>
  </w:footnote>
  <w:footnote w:id="330">
    <w:p w:rsidR="00887731" w:rsidRPr="00597337" w:rsidRDefault="00887731" w:rsidP="004551E9">
      <w:pPr>
        <w:pStyle w:val="Pie"/>
        <w:rPr>
          <w:lang w:val="en-US"/>
        </w:rPr>
      </w:pPr>
      <w:r w:rsidRPr="00597337">
        <w:rPr>
          <w:rStyle w:val="Refdenotaalpie"/>
        </w:rPr>
        <w:footnoteRef/>
      </w:r>
      <w:r w:rsidRPr="00597337">
        <w:t xml:space="preserve"> Cfr. Artículo 29 Convención de Viena sobre el Derecho de los Tratado de 1969. La doctrina concuerda que el Artículo 29 debe ser leído conjuntamente con el Artículo 27. </w:t>
      </w:r>
      <w:r w:rsidRPr="00597337">
        <w:rPr>
          <w:lang w:val="en-US"/>
        </w:rPr>
        <w:t xml:space="preserve">VILLIGER, M. E., (2009) </w:t>
      </w:r>
      <w:r w:rsidRPr="00597337">
        <w:rPr>
          <w:i/>
          <w:lang w:val="en-US"/>
        </w:rPr>
        <w:t>Commentary on the 1969 Vienna Convention on the Law of Treaties</w:t>
      </w:r>
      <w:r w:rsidRPr="00597337">
        <w:rPr>
          <w:lang w:val="en-US"/>
        </w:rPr>
        <w:t>, Martinus Nijhoff Publishers, Leiden, pp. 387-394.</w:t>
      </w:r>
    </w:p>
  </w:footnote>
  <w:footnote w:id="331">
    <w:p w:rsidR="00887731" w:rsidRPr="00597337" w:rsidRDefault="00887731" w:rsidP="004551E9">
      <w:pPr>
        <w:pStyle w:val="Pie"/>
      </w:pPr>
      <w:r w:rsidRPr="00597337">
        <w:rPr>
          <w:rStyle w:val="Refdenotaalpie"/>
        </w:rPr>
        <w:footnoteRef/>
      </w:r>
      <w:r w:rsidRPr="00597337">
        <w:t xml:space="preserve"> Cfr. Artículo 44 CDPD. </w:t>
      </w:r>
    </w:p>
  </w:footnote>
  <w:footnote w:id="332">
    <w:p w:rsidR="00887731" w:rsidRPr="00597337" w:rsidRDefault="00887731" w:rsidP="004551E9">
      <w:pPr>
        <w:pStyle w:val="Pie"/>
      </w:pPr>
      <w:r w:rsidRPr="00597337">
        <w:rPr>
          <w:rStyle w:val="Refdenotaalpie"/>
        </w:rPr>
        <w:footnoteRef/>
      </w:r>
      <w:r w:rsidRPr="00597337">
        <w:t xml:space="preserve"> 2010/48/CE, Decisión del Consejo, de 26 de noviembre de 2009, relativa a la celebración, por parte de la Comunidad Europea, de la Convención de las Naciones Unidas sobre los derechos de las personas con discapacidad.</w:t>
      </w:r>
    </w:p>
  </w:footnote>
  <w:footnote w:id="333">
    <w:p w:rsidR="00887731" w:rsidRPr="00597337" w:rsidRDefault="00887731" w:rsidP="004551E9">
      <w:pPr>
        <w:pStyle w:val="Pie"/>
      </w:pPr>
      <w:r w:rsidRPr="00597337">
        <w:rPr>
          <w:rStyle w:val="Refdenotaalpie"/>
        </w:rPr>
        <w:footnoteRef/>
      </w:r>
      <w:r w:rsidRPr="00597337">
        <w:t xml:space="preserve"> Véase por ejemplo: </w:t>
      </w:r>
      <w:r w:rsidRPr="00597337">
        <w:rPr>
          <w:i/>
        </w:rPr>
        <w:t>Incorporación de la perspectiva de la discapacidad en el programa de desarrollo</w:t>
      </w:r>
      <w:r w:rsidRPr="00597337">
        <w:t>, Nota de la Secretaría, Comisión de Desarrollo Social, 46° período de sesiones, Consejo Económico y Social de las Naciones Unidas, E/CN.5/2008/6, 23 de noviembre de 2007.</w:t>
      </w:r>
    </w:p>
  </w:footnote>
  <w:footnote w:id="334">
    <w:p w:rsidR="00887731" w:rsidRPr="00597337" w:rsidRDefault="00887731" w:rsidP="004551E9">
      <w:pPr>
        <w:pStyle w:val="Pie"/>
      </w:pPr>
      <w:r w:rsidRPr="00597337">
        <w:rPr>
          <w:rStyle w:val="Refdenotaalpie"/>
        </w:rPr>
        <w:footnoteRef/>
      </w:r>
      <w:r w:rsidRPr="00597337">
        <w:t xml:space="preserve"> En realidad este concepto surge y se consolida a nivel internacional en materia de igualdad de género por medio de la Declaración y Plataforma de Acción de Beijing de 1995. </w:t>
      </w:r>
      <w:hyperlink r:id="rId19" w:history="1">
        <w:r w:rsidRPr="00597337">
          <w:rPr>
            <w:rStyle w:val="Hipervnculo"/>
          </w:rPr>
          <w:t>http://www.un.org/womenwatch/daw/beijing/pdf/BDPfA%20S.pdf</w:t>
        </w:r>
      </w:hyperlink>
      <w:r w:rsidRPr="00597337">
        <w:t xml:space="preserve"> </w:t>
      </w:r>
    </w:p>
  </w:footnote>
  <w:footnote w:id="335">
    <w:p w:rsidR="00887731" w:rsidRPr="00597337" w:rsidRDefault="00887731" w:rsidP="004551E9">
      <w:pPr>
        <w:pStyle w:val="Pie"/>
      </w:pPr>
      <w:r w:rsidRPr="00597337">
        <w:rPr>
          <w:rStyle w:val="Refdenotaalpie"/>
        </w:rPr>
        <w:footnoteRef/>
      </w:r>
      <w:r w:rsidRPr="00597337">
        <w:t xml:space="preserve"> Por ejemplo el Artículo 2(f) de la Ley 51/2003 de 2 de diciembre, de igualdad de oportunidades, no discriminación y accesibilidad universal de las personas con discapacidad de España, establecer que “Transversalidad de las políticas en materia de discapacidad”, es “el principio en virtud del cual las actuaciones que desarrollan las Administraciones públicas no se limitan únicamente a planes, programas y acciones específicos, pensados exclusivamente para estas personas, sino que comprenden las políticas y líneas de acción de carácter general en cualquiera de los ámbitos de actuación pública, en donde se tendrán en cuenta las necesidades y demandas de las personas con discapacidad”. </w:t>
      </w:r>
    </w:p>
  </w:footnote>
  <w:footnote w:id="336">
    <w:p w:rsidR="00887731" w:rsidRPr="00597337" w:rsidRDefault="00887731" w:rsidP="004551E9">
      <w:pPr>
        <w:pStyle w:val="Pie"/>
      </w:pPr>
      <w:r w:rsidRPr="00597337">
        <w:rPr>
          <w:rStyle w:val="Refdenotaalpie"/>
        </w:rPr>
        <w:footnoteRef/>
      </w:r>
      <w:r w:rsidRPr="00597337">
        <w:t xml:space="preserve"> Véase </w:t>
      </w:r>
      <w:r w:rsidRPr="00597337">
        <w:rPr>
          <w:caps/>
        </w:rPr>
        <w:t>Bengoechea Gil, M. A.,</w:t>
      </w:r>
      <w:r w:rsidRPr="00597337">
        <w:t xml:space="preserve"> (2010) “Mujeres con discapacidad: diferencia, exclusión y doble discriminación. Marco legislativo y propuestas para fomentar la igualdad” en </w:t>
      </w:r>
      <w:r w:rsidRPr="00597337">
        <w:rPr>
          <w:caps/>
        </w:rPr>
        <w:t>Cuenca Gómez, P.,</w:t>
      </w:r>
      <w:r w:rsidRPr="00597337">
        <w:t xml:space="preserve"> (ed.), </w:t>
      </w:r>
      <w:r w:rsidRPr="00597337">
        <w:rPr>
          <w:i/>
        </w:rPr>
        <w:t>Estudios sobre el impacto de la Convención Internacional sobre los Derechos de las Personas con discapacidad en el Ordenamiento jurídico español</w:t>
      </w:r>
      <w:r w:rsidRPr="00597337">
        <w:t>, Dykinson, Madrid, pp. 479-518.</w:t>
      </w:r>
    </w:p>
  </w:footnote>
  <w:footnote w:id="337">
    <w:p w:rsidR="00887731" w:rsidRPr="00597337" w:rsidRDefault="00887731" w:rsidP="004551E9">
      <w:pPr>
        <w:pStyle w:val="Pie"/>
      </w:pPr>
      <w:r w:rsidRPr="00597337">
        <w:rPr>
          <w:rStyle w:val="Refdenotaalpie"/>
        </w:rPr>
        <w:footnoteRef/>
      </w:r>
      <w:r w:rsidRPr="00597337">
        <w:t xml:space="preserve"> Sin perjuicio de ello el Comité para la Eliminación de la Discriminación contra la Mujer ha intentado remediar esta </w:t>
      </w:r>
      <w:r>
        <w:t>carencia</w:t>
      </w:r>
      <w:r w:rsidRPr="00597337">
        <w:t xml:space="preserve"> mediante la adopción de la Recomendación General No 18 (mujeres discapacitadas) Décimo período de sesiones, 1991. (HRI/GEN/1/Rev.9 (Vol.I)).</w:t>
      </w:r>
    </w:p>
  </w:footnote>
  <w:footnote w:id="338">
    <w:p w:rsidR="00887731" w:rsidRPr="00597337" w:rsidRDefault="00887731" w:rsidP="004551E9">
      <w:pPr>
        <w:pStyle w:val="Pie"/>
      </w:pPr>
      <w:r w:rsidRPr="00597337">
        <w:rPr>
          <w:rStyle w:val="Refdenotaalpie"/>
        </w:rPr>
        <w:footnoteRef/>
      </w:r>
      <w:r w:rsidRPr="00597337">
        <w:t xml:space="preserve"> Véase por ejemplo lo observado por el Comité de la CDPD en sus observaciones finales a los informes de los Estados en relación con el informe de Perú (</w:t>
      </w:r>
      <w:r w:rsidRPr="00597337">
        <w:rPr>
          <w:lang w:val="es-ES_tradnl"/>
        </w:rPr>
        <w:t xml:space="preserve">CRPD/C/PER/CO/1, 16 de mayo de 2012, párrafo 15); de Argentina (CRPD/C/ARG/CO/1, </w:t>
      </w:r>
      <w:r w:rsidRPr="00597337">
        <w:t>19 de octubre de 2012, párrafo 14), o de Hungría (</w:t>
      </w:r>
      <w:r w:rsidRPr="00597337">
        <w:rPr>
          <w:lang w:val="es-ES_tradnl"/>
        </w:rPr>
        <w:t xml:space="preserve">CRPD/C/HUN/CO/1, </w:t>
      </w:r>
      <w:r w:rsidRPr="00597337">
        <w:t>22 de octubre de 2012, párrafo</w:t>
      </w:r>
      <w:r w:rsidRPr="00597337">
        <w:rPr>
          <w:lang w:val="es-ES_tradnl"/>
        </w:rPr>
        <w:t xml:space="preserve"> 20)</w:t>
      </w:r>
    </w:p>
  </w:footnote>
  <w:footnote w:id="339">
    <w:p w:rsidR="00887731" w:rsidRPr="00597337" w:rsidRDefault="00887731" w:rsidP="004551E9">
      <w:pPr>
        <w:pStyle w:val="Pie"/>
      </w:pPr>
      <w:r w:rsidRPr="00597337">
        <w:rPr>
          <w:rStyle w:val="Refdenotaalpie"/>
        </w:rPr>
        <w:footnoteRef/>
      </w:r>
      <w:r w:rsidRPr="00597337">
        <w:t xml:space="preserve"> Estos ámbitos han sido expresamente mencionados por el Comité de la CDPD en sus observaciones finales a los informes de los Estados, por ejemplo en relación con el informe de Túnez (CRPD/C/TUN/CO/1, 13 de mayo de 2011, párrafo 15); o el informe de España (</w:t>
      </w:r>
      <w:r w:rsidRPr="00597337">
        <w:rPr>
          <w:lang w:val="es-ES_tradnl"/>
        </w:rPr>
        <w:t xml:space="preserve">CRPD/C/ESP/CO/1, 19 de octubre de 2011, párrafo 22). </w:t>
      </w:r>
    </w:p>
  </w:footnote>
  <w:footnote w:id="340">
    <w:p w:rsidR="00887731" w:rsidRPr="004551E9" w:rsidRDefault="00887731" w:rsidP="004551E9">
      <w:pPr>
        <w:pStyle w:val="Pie"/>
        <w:rPr>
          <w:lang w:val="en-US"/>
        </w:rPr>
      </w:pPr>
      <w:r w:rsidRPr="00597337">
        <w:rPr>
          <w:rStyle w:val="Refdenotaalpie"/>
        </w:rPr>
        <w:footnoteRef/>
      </w:r>
      <w:r w:rsidRPr="004551E9">
        <w:rPr>
          <w:lang w:val="en-US"/>
        </w:rPr>
        <w:t xml:space="preserve"> </w:t>
      </w:r>
      <w:proofErr w:type="spellStart"/>
      <w:r w:rsidRPr="004551E9">
        <w:rPr>
          <w:lang w:val="en-US"/>
        </w:rPr>
        <w:t>Véase</w:t>
      </w:r>
      <w:proofErr w:type="spellEnd"/>
      <w:r w:rsidRPr="004551E9">
        <w:rPr>
          <w:lang w:val="en-US"/>
        </w:rPr>
        <w:t xml:space="preserve"> </w:t>
      </w:r>
      <w:r w:rsidRPr="004551E9">
        <w:rPr>
          <w:i/>
          <w:lang w:val="en-US"/>
        </w:rPr>
        <w:t>Human Rights YES!,</w:t>
      </w:r>
      <w:r w:rsidRPr="004551E9">
        <w:rPr>
          <w:lang w:val="en-US"/>
        </w:rPr>
        <w:t xml:space="preserve"> (2007) by Janet E. Lord, Katherine N. Guernsey, Joelle M. Balfe &amp; Valerie L. Karr, Nancy Flowers, Editor, University of Minnesota, </w:t>
      </w:r>
      <w:proofErr w:type="spellStart"/>
      <w:r w:rsidRPr="004551E9">
        <w:rPr>
          <w:lang w:val="en-US"/>
        </w:rPr>
        <w:t>Capítulo</w:t>
      </w:r>
      <w:proofErr w:type="spellEnd"/>
      <w:r w:rsidRPr="004551E9">
        <w:rPr>
          <w:lang w:val="en-US"/>
        </w:rPr>
        <w:t xml:space="preserve"> 16. </w:t>
      </w:r>
    </w:p>
  </w:footnote>
  <w:footnote w:id="341">
    <w:p w:rsidR="00887731" w:rsidRPr="00597337" w:rsidRDefault="00887731" w:rsidP="004551E9">
      <w:pPr>
        <w:pStyle w:val="Pie"/>
      </w:pPr>
      <w:r w:rsidRPr="00597337">
        <w:rPr>
          <w:rStyle w:val="Refdenotaalpie"/>
        </w:rPr>
        <w:footnoteRef/>
      </w:r>
      <w:r w:rsidRPr="00597337">
        <w:t xml:space="preserve"> Véase </w:t>
      </w:r>
      <w:r w:rsidRPr="00597337">
        <w:rPr>
          <w:caps/>
        </w:rPr>
        <w:t>Campoy Cervera, I., (2009)</w:t>
      </w:r>
      <w:r w:rsidRPr="00597337">
        <w:t xml:space="preserve"> “Los derechos de los niños con discapacidad”, en </w:t>
      </w:r>
      <w:r w:rsidRPr="00597337">
        <w:rPr>
          <w:caps/>
        </w:rPr>
        <w:t>Bernuz Beneitez, M. J.</w:t>
      </w:r>
      <w:r w:rsidRPr="00597337">
        <w:t xml:space="preserve"> (coord.), </w:t>
      </w:r>
      <w:r w:rsidRPr="00597337">
        <w:rPr>
          <w:i/>
        </w:rPr>
        <w:t>El cine y los derechos de la infancia</w:t>
      </w:r>
      <w:r w:rsidRPr="00597337">
        <w:t>, col. Cine y Derecho, núm. 30, Tirant lo Blanch, Valencia, pp. 135-161.</w:t>
      </w:r>
    </w:p>
  </w:footnote>
  <w:footnote w:id="342">
    <w:p w:rsidR="00887731" w:rsidRPr="00597337" w:rsidRDefault="00887731" w:rsidP="004551E9">
      <w:pPr>
        <w:pStyle w:val="Pie"/>
      </w:pPr>
      <w:r w:rsidRPr="00597337">
        <w:rPr>
          <w:rStyle w:val="Refdenotaalpie"/>
        </w:rPr>
        <w:footnoteRef/>
      </w:r>
      <w:r w:rsidRPr="00597337">
        <w:t xml:space="preserve"> Organización Mundial de la Salud y Grupo del Banco Mundial, Informe mundial sobre la discapacidad, p. 11 (2011): </w:t>
      </w:r>
      <w:hyperlink r:id="rId20" w:history="1">
        <w:r w:rsidRPr="00597337">
          <w:rPr>
            <w:rStyle w:val="Hipervnculo"/>
            <w:szCs w:val="20"/>
            <w:lang w:val="es-AR"/>
          </w:rPr>
          <w:t>http://www.who.int/disabilities/world_report/2011/es/index.html</w:t>
        </w:r>
      </w:hyperlink>
    </w:p>
  </w:footnote>
  <w:footnote w:id="343">
    <w:p w:rsidR="00887731" w:rsidRPr="004551E9" w:rsidRDefault="00887731" w:rsidP="004551E9">
      <w:pPr>
        <w:pStyle w:val="Pie"/>
        <w:rPr>
          <w:lang w:val="en-US"/>
        </w:rPr>
      </w:pPr>
      <w:r w:rsidRPr="00597337">
        <w:rPr>
          <w:rStyle w:val="Refdenotaalpie"/>
        </w:rPr>
        <w:footnoteRef/>
      </w:r>
      <w:r w:rsidRPr="004551E9">
        <w:rPr>
          <w:lang w:val="en-US"/>
        </w:rPr>
        <w:t xml:space="preserve"> </w:t>
      </w:r>
      <w:r w:rsidRPr="004551E9">
        <w:rPr>
          <w:i/>
          <w:lang w:val="en-US"/>
        </w:rPr>
        <w:t>Human Rights YES</w:t>
      </w:r>
      <w:proofErr w:type="gramStart"/>
      <w:r w:rsidRPr="004551E9">
        <w:rPr>
          <w:i/>
          <w:lang w:val="en-US"/>
        </w:rPr>
        <w:t>!,</w:t>
      </w:r>
      <w:proofErr w:type="gramEnd"/>
      <w:r w:rsidRPr="004551E9">
        <w:rPr>
          <w:lang w:val="en-US"/>
        </w:rPr>
        <w:t xml:space="preserve"> (2007), op. cit. </w:t>
      </w:r>
      <w:proofErr w:type="spellStart"/>
      <w:r w:rsidRPr="004551E9">
        <w:rPr>
          <w:lang w:val="en-US"/>
        </w:rPr>
        <w:t>capítulo</w:t>
      </w:r>
      <w:proofErr w:type="spellEnd"/>
      <w:r w:rsidRPr="004551E9">
        <w:rPr>
          <w:lang w:val="en-US"/>
        </w:rPr>
        <w:t xml:space="preserve"> 15. </w:t>
      </w:r>
    </w:p>
  </w:footnote>
  <w:footnote w:id="344">
    <w:p w:rsidR="00887731" w:rsidRPr="00597337" w:rsidRDefault="00887731" w:rsidP="004551E9">
      <w:pPr>
        <w:pStyle w:val="Pie"/>
      </w:pPr>
      <w:r w:rsidRPr="00597337">
        <w:rPr>
          <w:rStyle w:val="Refdenotaalpie"/>
        </w:rPr>
        <w:footnoteRef/>
      </w:r>
      <w:r w:rsidRPr="00597337">
        <w:t xml:space="preserve"> Véase en este sentido </w:t>
      </w:r>
      <w:r w:rsidRPr="00597337">
        <w:rPr>
          <w:caps/>
        </w:rPr>
        <w:t>Campoy Cervera, I. y Palacios, A.,</w:t>
      </w:r>
      <w:r w:rsidRPr="00597337">
        <w:t xml:space="preserve"> (2010) “Niños y niñas con discapacidad: reflexión general y concreción en España”, en </w:t>
      </w:r>
      <w:r w:rsidRPr="00597337">
        <w:rPr>
          <w:caps/>
        </w:rPr>
        <w:t xml:space="preserve">Cuenca Gómez, P. (ed.), </w:t>
      </w:r>
      <w:r w:rsidRPr="00597337">
        <w:t>op. cit., pp. 547-572.</w:t>
      </w:r>
    </w:p>
  </w:footnote>
  <w:footnote w:id="345">
    <w:p w:rsidR="00887731" w:rsidRPr="00597337" w:rsidRDefault="00887731" w:rsidP="004551E9">
      <w:pPr>
        <w:pStyle w:val="Pie"/>
        <w:rPr>
          <w:lang w:val="es-AR"/>
        </w:rPr>
      </w:pPr>
      <w:r w:rsidRPr="00597337">
        <w:rPr>
          <w:rStyle w:val="Refdenotaalpie"/>
        </w:rPr>
        <w:footnoteRef/>
      </w:r>
      <w:r w:rsidRPr="00597337">
        <w:rPr>
          <w:lang w:val="es-AR"/>
        </w:rPr>
        <w:t xml:space="preserve"> Véase las Observaciones finales del Comité de la CDPD </w:t>
      </w:r>
      <w:r w:rsidRPr="00597337">
        <w:t xml:space="preserve">respecto de Túnez, CRPD/C/TUN/CO/1, 13 de mayo de 2011, párrafos 11 – 16, 17 – 26 – 30, 31, 32 – 38, 39; Respecto de España, CRPD/C/ESP/CO/1, 19 de octubre de 2011, párrafos 15, 16 – 23, 24 – 43, 44 – 51, 52; Respecto de Perú, CDPD,CRPD/C/PER/CO/1, 16 de mayo de 2012, párrafos 8,9 – 12, 13 – 16, 17 – 36, 37 – 38, 39 – 46; Respecto de Argentina, CRPD/C/ARG/CO/1, 19 de octubre de 2012, párrafos 8, 15, 16 – 29, 30 – 37, 38; Respecto de China, CRPD/C/CHN/CO/1, 15 de octubre de 2012, párrafos 13, 14 – 19, 20 – 29, 30 – 35, 36 – 59, 60 – 65 - 66; Respecto de Hungría, </w:t>
      </w:r>
      <w:r w:rsidRPr="00597337">
        <w:rPr>
          <w:lang w:val="es-ES_tradnl"/>
        </w:rPr>
        <w:t xml:space="preserve">CRPD/C/HUN/CO/1, </w:t>
      </w:r>
      <w:r w:rsidRPr="00597337">
        <w:t xml:space="preserve">22 de octubre de 2012, párrafos 14, - 21, 22 – 31, 32 – 37, 38 – 40, 41, 42 – 48, 49, 50. </w:t>
      </w:r>
    </w:p>
  </w:footnote>
  <w:footnote w:id="346">
    <w:p w:rsidR="00887731" w:rsidRPr="00597337" w:rsidRDefault="00887731" w:rsidP="004551E9">
      <w:pPr>
        <w:pStyle w:val="Pie"/>
      </w:pPr>
      <w:r w:rsidRPr="00597337">
        <w:rPr>
          <w:rStyle w:val="Refdenotaalpie"/>
        </w:rPr>
        <w:footnoteRef/>
      </w:r>
      <w:r w:rsidRPr="00597337">
        <w:t xml:space="preserve"> Véase en este sentido: </w:t>
      </w:r>
      <w:r w:rsidRPr="00597337">
        <w:rPr>
          <w:caps/>
        </w:rPr>
        <w:t>Lidón Heras, L.,</w:t>
      </w:r>
      <w:r w:rsidRPr="00597337">
        <w:t xml:space="preserve"> (2011) La Convención sobre los derechos de las personas con discapacidad. ¿Por qué una toma de conciencia? Una propuesta para los medios de comunicación, Editorial Universitaria Ramón Areces, Madrid.  </w:t>
      </w:r>
    </w:p>
  </w:footnote>
  <w:footnote w:id="347">
    <w:p w:rsidR="00887731" w:rsidRPr="00597337" w:rsidRDefault="00887731" w:rsidP="004551E9">
      <w:pPr>
        <w:pStyle w:val="Pie"/>
      </w:pPr>
      <w:r w:rsidRPr="00597337">
        <w:rPr>
          <w:rStyle w:val="Refdenotaalpie"/>
        </w:rPr>
        <w:footnoteRef/>
      </w:r>
      <w:r w:rsidRPr="00597337">
        <w:t xml:space="preserve"> BARIFFI, F., BARRANCO, M., MORENO, L., PALACIOS, A., UTRAY, F., VIDA, J., (2008) </w:t>
      </w:r>
      <w:r w:rsidRPr="00597337">
        <w:rPr>
          <w:i/>
        </w:rPr>
        <w:t>La accesibilidad universal en los medios audiovisuales de comunicación</w:t>
      </w:r>
      <w:r w:rsidRPr="00597337">
        <w:t>, Icono Imagen Gráfica SA: Ministerio de Educación de España, Madrid</w:t>
      </w:r>
    </w:p>
  </w:footnote>
  <w:footnote w:id="348">
    <w:p w:rsidR="00887731" w:rsidRPr="00597337" w:rsidRDefault="00887731" w:rsidP="004551E9">
      <w:pPr>
        <w:pStyle w:val="Pie"/>
      </w:pPr>
      <w:r w:rsidRPr="00597337">
        <w:rPr>
          <w:rStyle w:val="Refdenotaalpie"/>
        </w:rPr>
        <w:footnoteRef/>
      </w:r>
      <w:r w:rsidRPr="00597337">
        <w:t xml:space="preserve"> Véase en este sentido lo señalado más arriba sobre el concepto de ajustes razonables y su relación con el principio de no discriminación por motivo de discapacidad. </w:t>
      </w:r>
    </w:p>
  </w:footnote>
  <w:footnote w:id="349">
    <w:p w:rsidR="00887731" w:rsidRPr="00597337" w:rsidRDefault="00887731" w:rsidP="004551E9">
      <w:pPr>
        <w:pStyle w:val="Pie"/>
      </w:pPr>
      <w:r w:rsidRPr="00597337">
        <w:rPr>
          <w:rStyle w:val="Refdenotaalpie"/>
        </w:rPr>
        <w:footnoteRef/>
      </w:r>
      <w:r w:rsidRPr="00597337">
        <w:t xml:space="preserve"> En este sentido el concepto jurídico de accesibilidad universal de la legislación española resulta mucho más amplio que lo señalado por la CDPD en el Artículo 9. Conforme al Artículo 2(c) la Ley 51/2003, de 2 de diciembre, de igualdad de oportunidades, no discriminación y accesibilidad universal de las personas con discapacidad, se entiende por accesibilidad universal “la condición que deben cumplir los entornos, procesos, bienes, productos y servicios, así como los objetos o instrumentos, herramientas y dispositivos, para ser comprensibles, utilizables y practicables por todas las personas en condiciones de seguridad y comodidad y de la forma más autónoma y natural posible. Presupone la estrategia de diseño para todos y se entiende sin perjuicio de los ajustes razonables que deban adoptarse”.</w:t>
      </w:r>
    </w:p>
  </w:footnote>
  <w:footnote w:id="350">
    <w:p w:rsidR="00887731" w:rsidRPr="004551E9" w:rsidRDefault="00887731" w:rsidP="004551E9">
      <w:pPr>
        <w:pStyle w:val="Pie"/>
        <w:rPr>
          <w:lang w:val="en-US"/>
        </w:rPr>
      </w:pPr>
      <w:r w:rsidRPr="00597337">
        <w:rPr>
          <w:rStyle w:val="Refdenotaalpie"/>
        </w:rPr>
        <w:footnoteRef/>
      </w:r>
      <w:r w:rsidRPr="004551E9">
        <w:rPr>
          <w:lang w:val="en-US"/>
        </w:rPr>
        <w:t xml:space="preserve"> </w:t>
      </w:r>
      <w:r w:rsidRPr="004551E9">
        <w:rPr>
          <w:i/>
          <w:lang w:val="en-US"/>
        </w:rPr>
        <w:t>Human Rights YES</w:t>
      </w:r>
      <w:proofErr w:type="gramStart"/>
      <w:r w:rsidRPr="004551E9">
        <w:rPr>
          <w:i/>
          <w:lang w:val="en-US"/>
        </w:rPr>
        <w:t>!,</w:t>
      </w:r>
      <w:proofErr w:type="gramEnd"/>
      <w:r w:rsidRPr="004551E9">
        <w:rPr>
          <w:lang w:val="en-US"/>
        </w:rPr>
        <w:t xml:space="preserve"> (2007), op cit, </w:t>
      </w:r>
      <w:proofErr w:type="spellStart"/>
      <w:r w:rsidRPr="004551E9">
        <w:rPr>
          <w:lang w:val="en-US"/>
        </w:rPr>
        <w:t>capítulo</w:t>
      </w:r>
      <w:proofErr w:type="spellEnd"/>
      <w:r w:rsidRPr="004551E9">
        <w:rPr>
          <w:lang w:val="en-US"/>
        </w:rPr>
        <w:t xml:space="preserve"> 2.</w:t>
      </w:r>
    </w:p>
  </w:footnote>
  <w:footnote w:id="351">
    <w:p w:rsidR="00887731" w:rsidRPr="00597337" w:rsidRDefault="00887731" w:rsidP="004551E9">
      <w:pPr>
        <w:pStyle w:val="Pie"/>
        <w:rPr>
          <w:lang w:val="en-US"/>
        </w:rPr>
      </w:pPr>
      <w:r w:rsidRPr="00597337">
        <w:rPr>
          <w:rStyle w:val="Refdenotaalpie"/>
        </w:rPr>
        <w:footnoteRef/>
      </w:r>
      <w:r w:rsidRPr="00597337">
        <w:t xml:space="preserve"> Véase Observación General No. 6, Comentarios generales adoptados por el Comité de los Derechos Humanos, Artículo 6 - Derecho a la vida, 16º período de sesiones, U.N. Doc. </w:t>
      </w:r>
      <w:r w:rsidRPr="00597337">
        <w:rPr>
          <w:lang w:val="en-US"/>
        </w:rPr>
        <w:t>HRI/GEN/1/Rev.7 at 143 (1982).</w:t>
      </w:r>
    </w:p>
  </w:footnote>
  <w:footnote w:id="352">
    <w:p w:rsidR="00887731" w:rsidRPr="00562DB8" w:rsidRDefault="00887731" w:rsidP="004551E9">
      <w:pPr>
        <w:pStyle w:val="Pie"/>
        <w:rPr>
          <w:lang w:val="en-US"/>
        </w:rPr>
      </w:pPr>
      <w:r w:rsidRPr="00597337">
        <w:rPr>
          <w:rStyle w:val="Refdenotaalpie"/>
        </w:rPr>
        <w:footnoteRef/>
      </w:r>
      <w:r w:rsidRPr="00562DB8">
        <w:rPr>
          <w:lang w:val="en-US"/>
        </w:rPr>
        <w:t xml:space="preserve"> Por un </w:t>
      </w:r>
      <w:proofErr w:type="spellStart"/>
      <w:r w:rsidRPr="00562DB8">
        <w:rPr>
          <w:lang w:val="en-US"/>
        </w:rPr>
        <w:t>análisis</w:t>
      </w:r>
      <w:proofErr w:type="spellEnd"/>
      <w:r w:rsidRPr="00562DB8">
        <w:rPr>
          <w:lang w:val="en-US"/>
        </w:rPr>
        <w:t xml:space="preserve"> </w:t>
      </w:r>
      <w:proofErr w:type="spellStart"/>
      <w:r w:rsidRPr="00562DB8">
        <w:rPr>
          <w:lang w:val="en-US"/>
        </w:rPr>
        <w:t>riguroso</w:t>
      </w:r>
      <w:proofErr w:type="spellEnd"/>
      <w:r w:rsidRPr="00562DB8">
        <w:rPr>
          <w:lang w:val="en-US"/>
        </w:rPr>
        <w:t xml:space="preserve"> del </w:t>
      </w:r>
      <w:proofErr w:type="spellStart"/>
      <w:r w:rsidRPr="00562DB8">
        <w:rPr>
          <w:lang w:val="en-US"/>
        </w:rPr>
        <w:t>derecho</w:t>
      </w:r>
      <w:proofErr w:type="spellEnd"/>
      <w:r w:rsidRPr="00562DB8">
        <w:rPr>
          <w:lang w:val="en-US"/>
        </w:rPr>
        <w:t xml:space="preserve"> a la </w:t>
      </w:r>
      <w:proofErr w:type="spellStart"/>
      <w:r w:rsidRPr="00562DB8">
        <w:rPr>
          <w:lang w:val="en-US"/>
        </w:rPr>
        <w:t>vida</w:t>
      </w:r>
      <w:proofErr w:type="spellEnd"/>
      <w:r w:rsidRPr="00562DB8">
        <w:rPr>
          <w:lang w:val="en-US"/>
        </w:rPr>
        <w:t xml:space="preserve"> </w:t>
      </w:r>
      <w:proofErr w:type="spellStart"/>
      <w:r w:rsidRPr="00562DB8">
        <w:rPr>
          <w:lang w:val="en-US"/>
        </w:rPr>
        <w:t>desde</w:t>
      </w:r>
      <w:proofErr w:type="spellEnd"/>
      <w:r w:rsidRPr="00562DB8">
        <w:rPr>
          <w:lang w:val="en-US"/>
        </w:rPr>
        <w:t xml:space="preserve"> la </w:t>
      </w:r>
      <w:proofErr w:type="spellStart"/>
      <w:r w:rsidRPr="00562DB8">
        <w:rPr>
          <w:lang w:val="en-US"/>
        </w:rPr>
        <w:t>visión</w:t>
      </w:r>
      <w:proofErr w:type="spellEnd"/>
      <w:r w:rsidRPr="00562DB8">
        <w:rPr>
          <w:lang w:val="en-US"/>
        </w:rPr>
        <w:t xml:space="preserve"> del </w:t>
      </w:r>
      <w:proofErr w:type="spellStart"/>
      <w:r w:rsidRPr="00562DB8">
        <w:rPr>
          <w:lang w:val="en-US"/>
        </w:rPr>
        <w:t>modelo</w:t>
      </w:r>
      <w:proofErr w:type="spellEnd"/>
      <w:r w:rsidRPr="00562DB8">
        <w:rPr>
          <w:lang w:val="en-US"/>
        </w:rPr>
        <w:t xml:space="preserve"> social de </w:t>
      </w:r>
      <w:proofErr w:type="spellStart"/>
      <w:r w:rsidRPr="00562DB8">
        <w:rPr>
          <w:lang w:val="en-US"/>
        </w:rPr>
        <w:t>discapacidad</w:t>
      </w:r>
      <w:proofErr w:type="spellEnd"/>
      <w:r w:rsidRPr="00562DB8">
        <w:rPr>
          <w:lang w:val="en-US"/>
        </w:rPr>
        <w:t xml:space="preserve">, </w:t>
      </w:r>
      <w:proofErr w:type="spellStart"/>
      <w:r w:rsidRPr="00562DB8">
        <w:rPr>
          <w:lang w:val="en-US"/>
        </w:rPr>
        <w:t>véase</w:t>
      </w:r>
      <w:proofErr w:type="spellEnd"/>
      <w:r w:rsidRPr="00562DB8">
        <w:rPr>
          <w:lang w:val="en-US"/>
        </w:rPr>
        <w:t xml:space="preserve">: READ, J., &amp; CLEMENTS, L., (Ed.), (2008) </w:t>
      </w:r>
      <w:r w:rsidRPr="00562DB8">
        <w:rPr>
          <w:i/>
          <w:lang w:val="en-US"/>
        </w:rPr>
        <w:t>Disabled People and the Right to Life: The Protection and Violation of Disabled People’s Most Basic Human Right</w:t>
      </w:r>
      <w:r w:rsidRPr="00562DB8">
        <w:rPr>
          <w:lang w:val="en-US"/>
        </w:rPr>
        <w:t xml:space="preserve">, </w:t>
      </w:r>
      <w:proofErr w:type="spellStart"/>
      <w:r w:rsidRPr="00562DB8">
        <w:rPr>
          <w:lang w:val="en-US"/>
        </w:rPr>
        <w:t>Routledge</w:t>
      </w:r>
      <w:proofErr w:type="spellEnd"/>
      <w:r w:rsidRPr="00562DB8">
        <w:rPr>
          <w:lang w:val="en-US"/>
        </w:rPr>
        <w:t xml:space="preserve">, New York. </w:t>
      </w:r>
    </w:p>
  </w:footnote>
  <w:footnote w:id="353">
    <w:p w:rsidR="00887731" w:rsidRPr="00597337" w:rsidRDefault="00887731" w:rsidP="004551E9">
      <w:pPr>
        <w:pStyle w:val="Pie"/>
      </w:pPr>
      <w:r w:rsidRPr="00597337">
        <w:rPr>
          <w:rStyle w:val="Refdenotaalpie"/>
        </w:rPr>
        <w:footnoteRef/>
      </w:r>
      <w:r w:rsidRPr="00597337">
        <w:t xml:space="preserve"> De hecho los registros de las negociaciones demuestran que algunas delegaciones con el apoyo mayoritario de la sociedad civil buscaron incluir en la regulación del derecho a la vida una mención expresa a la protección de este derecho “en las diversas etapas de la vida”. Véase PALACIOS, A., (2008), op. cit. p. 337. </w:t>
      </w:r>
    </w:p>
  </w:footnote>
  <w:footnote w:id="354">
    <w:p w:rsidR="00887731" w:rsidRPr="00597337" w:rsidRDefault="00887731" w:rsidP="004551E9">
      <w:pPr>
        <w:pStyle w:val="Pie"/>
      </w:pPr>
      <w:r w:rsidRPr="00597337">
        <w:rPr>
          <w:rStyle w:val="Refdenotaalpie"/>
        </w:rPr>
        <w:footnoteRef/>
      </w:r>
      <w:r w:rsidRPr="00597337">
        <w:t xml:space="preserve"> Por ejemplo el Comité de la CDPD ha observado al Estado Español que: […suprima la distinción hecha en la Ley Nº 2/2010 en cuanto al plazo dentro del cual la ley permite que se interrumpa un embarazo por motivos de discapacidad exclusivamente..], Observaciones del Comité de la ONU sobre Discapacidad respecto del informe remitido por el Estado Español en cumplimiento de lo establecido en el artículo 35 de la CDPD, </w:t>
      </w:r>
      <w:r w:rsidRPr="00597337">
        <w:rPr>
          <w:lang w:val="es-ES_tradnl"/>
        </w:rPr>
        <w:t xml:space="preserve">CRPD/C/ESP/CO/1, 19 de octubre de 2011, párrafo 18. </w:t>
      </w:r>
    </w:p>
  </w:footnote>
  <w:footnote w:id="355">
    <w:p w:rsidR="00887731" w:rsidRPr="00597337" w:rsidRDefault="00887731" w:rsidP="004551E9">
      <w:pPr>
        <w:pStyle w:val="Pie"/>
      </w:pPr>
      <w:r w:rsidRPr="00597337">
        <w:rPr>
          <w:rStyle w:val="Refdenotaalpie"/>
        </w:rPr>
        <w:footnoteRef/>
      </w:r>
      <w:r w:rsidRPr="00597337">
        <w:t xml:space="preserve"> Según Biel Portero, quien analiza el marco universal y regional de derecho humanos, incluido jurisprudencia y doctrina de los órganos de tratados, […el aborto eugenésico, esto es, aquel fundamentado en una deficiencia en el feto, no podrá considerarse discriminatorio de acuerdo a la normativa internacional, pues dependerá de cada Estado e incluso de cada tribunal determinar si dicho feto es o no titular de derechos…] BIEL PORTERO, I., (2011), </w:t>
      </w:r>
      <w:r w:rsidRPr="00597337">
        <w:rPr>
          <w:i/>
        </w:rPr>
        <w:t>Los derechos humanos de las personas con discapacidad,</w:t>
      </w:r>
      <w:r w:rsidRPr="00597337">
        <w:t xml:space="preserve"> Triant Lo Blanc, Valencia, p. 307. En disidencia (posición con la cual se adhiere) el CERMI (Informe Alternativo España 2010, presentado ante el Comité de la CDPD) PALACIOS, A., (2010</w:t>
      </w:r>
      <w:r>
        <w:t>a</w:t>
      </w:r>
      <w:r w:rsidRPr="00597337">
        <w:t xml:space="preserve">), “¿Por qué el aborto eugenésico basado en discapacidad es contrario a la Convención Internacional sobre los Derechos de las Personas con Discapacidad?, </w:t>
      </w:r>
      <w:r w:rsidRPr="00597337">
        <w:rPr>
          <w:i/>
        </w:rPr>
        <w:t>Revista Síndrome de Down: Revista española de investigación e información sobre el Síndrome de Down</w:t>
      </w:r>
      <w:r w:rsidRPr="00597337">
        <w:t xml:space="preserve">, Nº 105, pp. 50-58. </w:t>
      </w:r>
    </w:p>
  </w:footnote>
  <w:footnote w:id="356">
    <w:p w:rsidR="00887731" w:rsidRPr="00597337" w:rsidRDefault="00887731" w:rsidP="004551E9">
      <w:pPr>
        <w:pStyle w:val="Pie"/>
      </w:pPr>
      <w:r w:rsidRPr="00597337">
        <w:rPr>
          <w:rStyle w:val="Refdenotaalpie"/>
        </w:rPr>
        <w:footnoteRef/>
      </w:r>
      <w:r w:rsidRPr="00597337">
        <w:t xml:space="preserve"> Véase en este sentido lo señalado en el Capítulo 5 del presente trabajo. </w:t>
      </w:r>
    </w:p>
  </w:footnote>
  <w:footnote w:id="357">
    <w:p w:rsidR="00887731" w:rsidRPr="00597337" w:rsidRDefault="00887731" w:rsidP="004551E9">
      <w:pPr>
        <w:pStyle w:val="Pie"/>
      </w:pPr>
      <w:r w:rsidRPr="00597337">
        <w:rPr>
          <w:rStyle w:val="Refdenotaalpie"/>
        </w:rPr>
        <w:footnoteRef/>
      </w:r>
      <w:r w:rsidRPr="00597337">
        <w:t xml:space="preserve"> Algunos ejemplos de estas prácticas han sido documentadas por </w:t>
      </w:r>
      <w:proofErr w:type="spellStart"/>
      <w:r w:rsidRPr="00597337">
        <w:t>Disability</w:t>
      </w:r>
      <w:proofErr w:type="spellEnd"/>
      <w:r w:rsidRPr="00597337">
        <w:t xml:space="preserve"> </w:t>
      </w:r>
      <w:proofErr w:type="spellStart"/>
      <w:r w:rsidRPr="00597337">
        <w:t>Rights</w:t>
      </w:r>
      <w:proofErr w:type="spellEnd"/>
      <w:r w:rsidRPr="00597337">
        <w:t xml:space="preserve"> Internacional en varios informes. Véase: </w:t>
      </w:r>
      <w:hyperlink r:id="rId21" w:history="1">
        <w:r w:rsidRPr="00597337">
          <w:rPr>
            <w:rStyle w:val="Hipervnculo"/>
          </w:rPr>
          <w:t>http://www.disabilityrightsintl.org/media-gallery/our-reports-publications/</w:t>
        </w:r>
      </w:hyperlink>
      <w:r w:rsidRPr="00597337">
        <w:t xml:space="preserve"> </w:t>
      </w:r>
    </w:p>
  </w:footnote>
  <w:footnote w:id="358">
    <w:p w:rsidR="00887731" w:rsidRPr="00597337" w:rsidRDefault="00887731" w:rsidP="004551E9">
      <w:pPr>
        <w:pStyle w:val="Pie"/>
      </w:pPr>
      <w:r w:rsidRPr="00597337">
        <w:rPr>
          <w:rStyle w:val="Refdenotaalpie"/>
        </w:rPr>
        <w:footnoteRef/>
      </w:r>
      <w:r w:rsidRPr="00597337">
        <w:t xml:space="preserve"> Véase en este sentido lo señalado por el Comité de la CDPD respecto del Informe presentado por España, El Comité “…deplora que los tutores que representan a personas con discapacidad consideradas "legalmente incapacitadas" puedan legalmente consentir en que se terminen o se suspendan el tratamiento médico, la nutrición u otros medios de sustentación de la vida de esas personas. El Comité desea recordar al Estado Parte que el derecho a la vida es absoluto y que la sustitución en la adopción de decisiones en lo que atañe a la terminación o el retiro de medios de sustentación de la vida es incompatible con ese derecho…” </w:t>
      </w:r>
      <w:r w:rsidRPr="00597337">
        <w:rPr>
          <w:lang w:val="es-ES_tradnl"/>
        </w:rPr>
        <w:t xml:space="preserve">CRPD/C/ESP/CO/1, 19 de octubre de 2011, párrafo 29. </w:t>
      </w:r>
    </w:p>
  </w:footnote>
  <w:footnote w:id="359">
    <w:p w:rsidR="00887731" w:rsidRPr="00597337" w:rsidRDefault="00887731" w:rsidP="004551E9">
      <w:pPr>
        <w:pStyle w:val="Pie"/>
      </w:pPr>
      <w:r w:rsidRPr="00597337">
        <w:rPr>
          <w:rStyle w:val="Refdenotaalpie"/>
        </w:rPr>
        <w:footnoteRef/>
      </w:r>
      <w:r w:rsidRPr="00597337">
        <w:t xml:space="preserve"> Véase en este sentido la organización denominada “</w:t>
      </w:r>
      <w:proofErr w:type="spellStart"/>
      <w:r w:rsidRPr="00597337">
        <w:t>Not</w:t>
      </w:r>
      <w:proofErr w:type="spellEnd"/>
      <w:r w:rsidRPr="00597337">
        <w:t xml:space="preserve"> </w:t>
      </w:r>
      <w:proofErr w:type="spellStart"/>
      <w:r w:rsidRPr="00597337">
        <w:t>Dead</w:t>
      </w:r>
      <w:proofErr w:type="spellEnd"/>
      <w:r w:rsidRPr="00597337">
        <w:t xml:space="preserve"> </w:t>
      </w:r>
      <w:proofErr w:type="spellStart"/>
      <w:r w:rsidRPr="00597337">
        <w:t>Yet</w:t>
      </w:r>
      <w:proofErr w:type="spellEnd"/>
      <w:r w:rsidRPr="00597337">
        <w:t xml:space="preserve">”, en: </w:t>
      </w:r>
      <w:hyperlink r:id="rId22" w:history="1">
        <w:r w:rsidRPr="00597337">
          <w:rPr>
            <w:rStyle w:val="Hipervnculo"/>
          </w:rPr>
          <w:t>www.notdeadyet.org</w:t>
        </w:r>
      </w:hyperlink>
      <w:r w:rsidRPr="00597337">
        <w:t xml:space="preserve"> </w:t>
      </w:r>
    </w:p>
  </w:footnote>
  <w:footnote w:id="360">
    <w:p w:rsidR="00887731" w:rsidRPr="00597337" w:rsidRDefault="00887731" w:rsidP="004551E9">
      <w:pPr>
        <w:pStyle w:val="Pie"/>
      </w:pPr>
      <w:r w:rsidRPr="00597337">
        <w:rPr>
          <w:rStyle w:val="Refdenotaalpie"/>
        </w:rPr>
        <w:footnoteRef/>
      </w:r>
      <w:r w:rsidRPr="00597337">
        <w:rPr>
          <w:lang w:val="en-US"/>
        </w:rPr>
        <w:t xml:space="preserve"> READ, J., &amp; CLEMENTS, L., (Ed.), (2008), op. cit., pp. 1-29. </w:t>
      </w:r>
      <w:r w:rsidRPr="00597337">
        <w:t xml:space="preserve">Sobre la cuestión general de la eutanasia véase: </w:t>
      </w:r>
      <w:r w:rsidRPr="00597337">
        <w:rPr>
          <w:caps/>
        </w:rPr>
        <w:t>Ansuátegui Roig, F. J.,</w:t>
      </w:r>
      <w:r w:rsidRPr="00597337">
        <w:t xml:space="preserve"> (1999), “Eutanasia: dilemas relevantes”, en </w:t>
      </w:r>
      <w:r w:rsidRPr="00597337">
        <w:rPr>
          <w:i/>
        </w:rPr>
        <w:t>Problemas de la Eutanasia</w:t>
      </w:r>
      <w:r w:rsidRPr="00597337">
        <w:t xml:space="preserve">, </w:t>
      </w:r>
      <w:r w:rsidRPr="00597337">
        <w:rPr>
          <w:caps/>
        </w:rPr>
        <w:t>Ansuátegui Roig, F. J.,</w:t>
      </w:r>
      <w:r w:rsidRPr="00597337">
        <w:t xml:space="preserve"> (Coord.), Dykinson, Madrid. </w:t>
      </w:r>
    </w:p>
  </w:footnote>
  <w:footnote w:id="361">
    <w:p w:rsidR="00887731" w:rsidRPr="00597337" w:rsidRDefault="00887731" w:rsidP="004551E9">
      <w:pPr>
        <w:pStyle w:val="Pie"/>
      </w:pPr>
      <w:r w:rsidRPr="00597337">
        <w:rPr>
          <w:rStyle w:val="Refdenotaalpie"/>
        </w:rPr>
        <w:footnoteRef/>
      </w:r>
      <w:r w:rsidRPr="00597337">
        <w:t xml:space="preserve"> En este sentido el Comité de CDPD ha señalado en las Directrices relativas al documento específico sobre la Convención que deben presentar los Estados partes con arreglo al párrafo 1 del artículo 35, que en relación con el artículo 10 que: […Los Estados partes informarán sobre: • Si la legislación reconoce y protege el derecho a la vida y a la supervivencia de las personas con discapacidad en igualdad de condiciones con las demás;• Si las personas con discapacidad son objeto de privación arbitraria de la vida….], CRPD/C/2/3, 18 de noviembre de 2009</w:t>
      </w:r>
    </w:p>
  </w:footnote>
  <w:footnote w:id="362">
    <w:p w:rsidR="00887731" w:rsidRPr="00597337" w:rsidRDefault="00887731" w:rsidP="004551E9">
      <w:pPr>
        <w:pStyle w:val="Pie"/>
      </w:pPr>
      <w:r w:rsidRPr="00597337">
        <w:rPr>
          <w:rStyle w:val="Refdenotaalpie"/>
        </w:rPr>
        <w:footnoteRef/>
      </w:r>
      <w:r w:rsidRPr="00597337">
        <w:t xml:space="preserve"> Opinión Consultiva de la Corte Internacional de Justicia sobre las consecuencias jurídicas de la construcción de un muro en el territorio palestino ocupado, 10 de Diciembre de 2003, A/ES-10/273, 13 de julio de 2004, párrafo 106. </w:t>
      </w:r>
    </w:p>
  </w:footnote>
  <w:footnote w:id="363">
    <w:p w:rsidR="00887731" w:rsidRPr="004551E9" w:rsidRDefault="00887731" w:rsidP="004551E9">
      <w:pPr>
        <w:pStyle w:val="Pie"/>
        <w:rPr>
          <w:lang w:val="en-US"/>
        </w:rPr>
      </w:pPr>
      <w:r w:rsidRPr="00597337">
        <w:rPr>
          <w:rStyle w:val="Refdenotaalpie"/>
        </w:rPr>
        <w:footnoteRef/>
      </w:r>
      <w:r w:rsidRPr="004551E9">
        <w:rPr>
          <w:lang w:val="en-US"/>
        </w:rPr>
        <w:t xml:space="preserve"> International Disability Rights Monitor, </w:t>
      </w:r>
      <w:r w:rsidRPr="004551E9">
        <w:rPr>
          <w:i/>
          <w:lang w:val="en-US"/>
        </w:rPr>
        <w:t>Disability and Tsunami Relief Efforts in India, Indonesia and Thailand,</w:t>
      </w:r>
      <w:r w:rsidRPr="004551E9">
        <w:rPr>
          <w:lang w:val="en-US"/>
        </w:rPr>
        <w:t xml:space="preserve"> Center for International Rehabilitation (September 2005): </w:t>
      </w:r>
      <w:r w:rsidR="00BB3E10">
        <w:fldChar w:fldCharType="begin"/>
      </w:r>
      <w:r w:rsidR="00BB3E10" w:rsidRPr="00F71B0D">
        <w:rPr>
          <w:lang w:val="en-US"/>
        </w:rPr>
        <w:instrText>HYPERLINK "http://www.handicap-international.fr/bibliographie-handicap/7Donnees/RapportEtude/IDRM_Tsunami.pdf"</w:instrText>
      </w:r>
      <w:r w:rsidR="00BB3E10">
        <w:fldChar w:fldCharType="separate"/>
      </w:r>
      <w:r w:rsidRPr="00597337">
        <w:rPr>
          <w:rStyle w:val="Hipervnculo"/>
          <w:lang w:val="en-US"/>
        </w:rPr>
        <w:t>http://www.handicap-international.fr/bibliographie-handicap/7Donnees/RapportEtude/IDRM_Tsunami.pdf</w:t>
      </w:r>
      <w:r w:rsidR="00BB3E10">
        <w:fldChar w:fldCharType="end"/>
      </w:r>
      <w:r w:rsidRPr="004551E9">
        <w:rPr>
          <w:lang w:val="en-US"/>
        </w:rPr>
        <w:t xml:space="preserve">. </w:t>
      </w:r>
    </w:p>
  </w:footnote>
  <w:footnote w:id="364">
    <w:p w:rsidR="00887731" w:rsidRPr="00562DB8" w:rsidRDefault="00887731" w:rsidP="004551E9">
      <w:pPr>
        <w:pStyle w:val="Pie"/>
        <w:rPr>
          <w:lang w:val="en-US"/>
        </w:rPr>
      </w:pPr>
      <w:r w:rsidRPr="00597337">
        <w:rPr>
          <w:rStyle w:val="Refdenotaalpie"/>
        </w:rPr>
        <w:footnoteRef/>
      </w:r>
      <w:r w:rsidRPr="00562DB8">
        <w:rPr>
          <w:lang w:val="en-US"/>
        </w:rPr>
        <w:t xml:space="preserve"> LORD, J. E., &amp; STEIN, M. A., (2010) “Ensuring Respect for the Rights of People with Disabilities,” in </w:t>
      </w:r>
      <w:r w:rsidRPr="00562DB8">
        <w:rPr>
          <w:i/>
          <w:lang w:val="en-US"/>
        </w:rPr>
        <w:t>The Human Impact of Natural Disasters: Issues for the Inquiry-Based Classroom,</w:t>
      </w:r>
      <w:r w:rsidRPr="00562DB8">
        <w:rPr>
          <w:lang w:val="en-US"/>
        </w:rPr>
        <w:t xml:space="preserve"> </w:t>
      </w:r>
      <w:r w:rsidRPr="00562DB8">
        <w:rPr>
          <w:caps/>
          <w:lang w:val="en-US"/>
        </w:rPr>
        <w:t>Ooka Pang V., Fernekes W. F. &amp; Nelson J. L.,</w:t>
      </w:r>
      <w:r w:rsidRPr="00562DB8">
        <w:rPr>
          <w:lang w:val="en-US"/>
        </w:rPr>
        <w:t xml:space="preserve"> (</w:t>
      </w:r>
      <w:proofErr w:type="spellStart"/>
      <w:r w:rsidRPr="00562DB8">
        <w:rPr>
          <w:lang w:val="en-US"/>
        </w:rPr>
        <w:t>eds</w:t>
      </w:r>
      <w:proofErr w:type="spellEnd"/>
      <w:r w:rsidRPr="00562DB8">
        <w:rPr>
          <w:lang w:val="en-US"/>
        </w:rPr>
        <w:t>)</w:t>
      </w:r>
      <w:proofErr w:type="gramStart"/>
      <w:r w:rsidRPr="00562DB8">
        <w:rPr>
          <w:lang w:val="en-US"/>
        </w:rPr>
        <w:t>,,</w:t>
      </w:r>
      <w:proofErr w:type="gramEnd"/>
      <w:r w:rsidRPr="00562DB8">
        <w:rPr>
          <w:lang w:val="en-US"/>
        </w:rPr>
        <w:t xml:space="preserve"> National Council for the Social Studies.</w:t>
      </w:r>
    </w:p>
  </w:footnote>
  <w:footnote w:id="365">
    <w:p w:rsidR="00887731" w:rsidRPr="00562DB8" w:rsidRDefault="00887731" w:rsidP="004551E9">
      <w:pPr>
        <w:pStyle w:val="Pie"/>
        <w:rPr>
          <w:lang w:val="en-US"/>
        </w:rPr>
      </w:pPr>
      <w:r w:rsidRPr="00597337">
        <w:rPr>
          <w:rStyle w:val="Refdenotaalpie"/>
        </w:rPr>
        <w:footnoteRef/>
      </w:r>
      <w:r w:rsidRPr="00562DB8">
        <w:rPr>
          <w:lang w:val="en-US"/>
        </w:rPr>
        <w:t xml:space="preserve"> FOX, M.H., et al., (2007) “Final Report of the Nobody Left Behind: Preparedness for Persons with Mobility Impairments Research Project,” Research and Training Center on Independent Living University of Kansas, </w:t>
      </w:r>
      <w:proofErr w:type="spellStart"/>
      <w:r w:rsidRPr="00562DB8">
        <w:rPr>
          <w:lang w:val="en-US"/>
        </w:rPr>
        <w:t>disponible</w:t>
      </w:r>
      <w:proofErr w:type="spellEnd"/>
      <w:r w:rsidRPr="00562DB8">
        <w:rPr>
          <w:lang w:val="en-US"/>
        </w:rPr>
        <w:t xml:space="preserve"> en: </w:t>
      </w:r>
      <w:r w:rsidR="00BB3E10">
        <w:fldChar w:fldCharType="begin"/>
      </w:r>
      <w:r w:rsidR="00BB3E10" w:rsidRPr="00F71B0D">
        <w:rPr>
          <w:lang w:val="en-US"/>
        </w:rPr>
        <w:instrText>HYPERLINK "http://www.nobodyleftbehind2.org/findings/Final%20Report%20NLB%20July%202007.pdf"</w:instrText>
      </w:r>
      <w:r w:rsidR="00BB3E10">
        <w:fldChar w:fldCharType="separate"/>
      </w:r>
      <w:r w:rsidRPr="00597337">
        <w:rPr>
          <w:rStyle w:val="Hipervnculo"/>
          <w:lang w:val="en-US"/>
        </w:rPr>
        <w:t>http://www.nobodyleftbehind2.org/findings/Final%20Report%20NLB%20July%202007.pdf</w:t>
      </w:r>
      <w:r w:rsidR="00BB3E10">
        <w:fldChar w:fldCharType="end"/>
      </w:r>
      <w:r w:rsidRPr="00562DB8">
        <w:rPr>
          <w:lang w:val="en-US"/>
        </w:rPr>
        <w:t xml:space="preserve"> </w:t>
      </w:r>
    </w:p>
  </w:footnote>
  <w:footnote w:id="366">
    <w:p w:rsidR="00887731" w:rsidRPr="00DB735C" w:rsidRDefault="00887731" w:rsidP="004551E9">
      <w:pPr>
        <w:pStyle w:val="Textonotapie"/>
      </w:pPr>
      <w:r>
        <w:rPr>
          <w:rStyle w:val="Refdenotaalpie"/>
        </w:rPr>
        <w:footnoteRef/>
      </w:r>
      <w:r w:rsidRPr="00DB735C">
        <w:t xml:space="preserve"> </w:t>
      </w:r>
      <w:r w:rsidRPr="00DB735C">
        <w:rPr>
          <w:caps/>
        </w:rPr>
        <w:t xml:space="preserve">Salmon, E. S. </w:t>
      </w:r>
      <w:r>
        <w:t>(2012)</w:t>
      </w:r>
      <w:r w:rsidRPr="00DB735C">
        <w:t xml:space="preserve"> </w:t>
      </w:r>
      <w:r w:rsidRPr="00DB735C">
        <w:rPr>
          <w:i/>
        </w:rPr>
        <w:t>Introducción al Derecho Internacional Humanitario</w:t>
      </w:r>
      <w:r w:rsidRPr="00DB735C">
        <w:t xml:space="preserve"> (3a Edición)</w:t>
      </w:r>
      <w:r>
        <w:t>,</w:t>
      </w:r>
      <w:r w:rsidRPr="00DB735C">
        <w:t xml:space="preserve"> Comité Internacional de la Cruz Roja</w:t>
      </w:r>
      <w:r>
        <w:t xml:space="preserve">, Lima. </w:t>
      </w:r>
    </w:p>
  </w:footnote>
  <w:footnote w:id="367">
    <w:p w:rsidR="00887731" w:rsidRPr="00597337" w:rsidRDefault="00887731" w:rsidP="004551E9">
      <w:pPr>
        <w:pStyle w:val="Pie"/>
      </w:pPr>
      <w:r w:rsidRPr="00597337">
        <w:rPr>
          <w:rStyle w:val="Refdenotaalpie"/>
        </w:rPr>
        <w:footnoteRef/>
      </w:r>
      <w:r w:rsidRPr="00597337">
        <w:t xml:space="preserve"> Por un análisis específico véase </w:t>
      </w:r>
      <w:r w:rsidRPr="00597337">
        <w:rPr>
          <w:caps/>
        </w:rPr>
        <w:t>Suárez del Toro Rivero JM</w:t>
      </w:r>
      <w:r w:rsidRPr="00597337">
        <w:t xml:space="preserve">, (2009) “La protección especial de las personas con discapacidad por el Derecho Internacional Humanitario”, en </w:t>
      </w:r>
      <w:r w:rsidRPr="00597337">
        <w:rPr>
          <w:i/>
        </w:rPr>
        <w:t>Hacia un derecho de la discapacidad: estudios en homenaje al profesor Rafael de Lorenzo</w:t>
      </w:r>
      <w:r w:rsidRPr="00597337">
        <w:t xml:space="preserve">, </w:t>
      </w:r>
      <w:r w:rsidRPr="00597337">
        <w:rPr>
          <w:caps/>
        </w:rPr>
        <w:t>Cayo Pérez Bueno</w:t>
      </w:r>
      <w:r w:rsidRPr="00597337">
        <w:t xml:space="preserve"> L, (dir); </w:t>
      </w:r>
      <w:r w:rsidRPr="00597337">
        <w:rPr>
          <w:caps/>
        </w:rPr>
        <w:t>Sastre A</w:t>
      </w:r>
      <w:r w:rsidRPr="00597337">
        <w:t xml:space="preserve"> (ed), Aranzadi Thomson Reuters, Navarra,, pp. 1029-1057.</w:t>
      </w:r>
    </w:p>
  </w:footnote>
  <w:footnote w:id="368">
    <w:p w:rsidR="00887731" w:rsidRPr="00597337" w:rsidRDefault="00887731" w:rsidP="004551E9">
      <w:pPr>
        <w:pStyle w:val="Pie"/>
      </w:pPr>
      <w:r w:rsidRPr="00597337">
        <w:rPr>
          <w:rStyle w:val="Refdenotaalpie"/>
        </w:rPr>
        <w:footnoteRef/>
      </w:r>
      <w:r w:rsidRPr="00597337">
        <w:t xml:space="preserve"> CABRA DE LUNA, M. A. &amp; BARIFFI, F., (2012) “Discapacidad, seguridad humana y fuerzas armadas” en </w:t>
      </w:r>
      <w:r w:rsidRPr="00597337">
        <w:rPr>
          <w:i/>
        </w:rPr>
        <w:t>Instituto Español de Estudios Estratégicos</w:t>
      </w:r>
      <w:r w:rsidRPr="00597337">
        <w:t xml:space="preserve">, DIEEEO76-2012. </w:t>
      </w:r>
    </w:p>
  </w:footnote>
  <w:footnote w:id="369">
    <w:p w:rsidR="00887731" w:rsidRPr="00597337" w:rsidRDefault="00887731" w:rsidP="004551E9">
      <w:pPr>
        <w:pStyle w:val="Pie"/>
      </w:pPr>
      <w:r w:rsidRPr="00597337">
        <w:rPr>
          <w:rStyle w:val="Refdenotaalpie"/>
        </w:rPr>
        <w:footnoteRef/>
      </w:r>
      <w:r w:rsidRPr="00597337">
        <w:t xml:space="preserve"> Véase en este sentido lo señalado por el Comité de la CDPD respecto del Informe presentado por España, cuando afirma que “…Inquieta al Comité la insuficiencia de protocolos específicos para las personas con discapacidad en situaciones de </w:t>
      </w:r>
      <w:proofErr w:type="gramStart"/>
      <w:r w:rsidRPr="00597337">
        <w:t>emergencia …</w:t>
      </w:r>
      <w:proofErr w:type="gramEnd"/>
      <w:r w:rsidRPr="00597337">
        <w:t xml:space="preserve">” </w:t>
      </w:r>
      <w:r w:rsidRPr="00597337">
        <w:rPr>
          <w:lang w:val="es-ES_tradnl"/>
        </w:rPr>
        <w:t>CRPD/C/ESP/CO/1, 19 de octubre de 2011, párrafo 31.</w:t>
      </w:r>
    </w:p>
  </w:footnote>
  <w:footnote w:id="370">
    <w:p w:rsidR="00887731" w:rsidRPr="00597337" w:rsidRDefault="00887731" w:rsidP="004551E9">
      <w:pPr>
        <w:pStyle w:val="Pie"/>
      </w:pPr>
      <w:r w:rsidRPr="00597337">
        <w:rPr>
          <w:rStyle w:val="Refdenotaalpie"/>
        </w:rPr>
        <w:footnoteRef/>
      </w:r>
      <w:r w:rsidRPr="00597337">
        <w:t xml:space="preserve"> BARIFFI, F. &amp; PALACIOS, A., (2012) “Acceso a la Justicia y Discapacidad”, en </w:t>
      </w:r>
      <w:r w:rsidRPr="00597337">
        <w:rPr>
          <w:i/>
        </w:rPr>
        <w:t>Acceso a la justicia y grupos vulnerables</w:t>
      </w:r>
      <w:r w:rsidRPr="00597337">
        <w:t xml:space="preserve"> (</w:t>
      </w:r>
      <w:r w:rsidRPr="00597337">
        <w:rPr>
          <w:caps/>
        </w:rPr>
        <w:t>Nogueira &amp; Schapiro</w:t>
      </w:r>
      <w:r w:rsidRPr="00597337">
        <w:t xml:space="preserve"> Coord.), Librearía Editora Platense, La Plata. </w:t>
      </w:r>
    </w:p>
  </w:footnote>
  <w:footnote w:id="371">
    <w:p w:rsidR="00887731" w:rsidRPr="004551E9" w:rsidRDefault="00887731" w:rsidP="004551E9">
      <w:pPr>
        <w:pStyle w:val="Pie"/>
        <w:rPr>
          <w:lang w:val="en-US"/>
        </w:rPr>
      </w:pPr>
      <w:r w:rsidRPr="00597337">
        <w:rPr>
          <w:rStyle w:val="Refdenotaalpie"/>
        </w:rPr>
        <w:footnoteRef/>
      </w:r>
      <w:r w:rsidRPr="004551E9">
        <w:rPr>
          <w:lang w:val="en-US"/>
        </w:rPr>
        <w:t xml:space="preserve"> </w:t>
      </w:r>
      <w:proofErr w:type="gramStart"/>
      <w:r w:rsidRPr="004551E9">
        <w:rPr>
          <w:lang w:val="en-US"/>
        </w:rPr>
        <w:t>LAWSON, A., (2006-2007) op. cit, p. 563.</w:t>
      </w:r>
      <w:proofErr w:type="gramEnd"/>
    </w:p>
  </w:footnote>
  <w:footnote w:id="372">
    <w:p w:rsidR="00887731" w:rsidRPr="004551E9" w:rsidRDefault="00887731" w:rsidP="004551E9">
      <w:pPr>
        <w:pStyle w:val="Pie"/>
        <w:rPr>
          <w:lang w:val="en-US"/>
        </w:rPr>
      </w:pPr>
      <w:r w:rsidRPr="00597337">
        <w:rPr>
          <w:rStyle w:val="Refdenotaalpie"/>
        </w:rPr>
        <w:footnoteRef/>
      </w:r>
      <w:r w:rsidRPr="004551E9">
        <w:rPr>
          <w:lang w:val="en-US"/>
        </w:rPr>
        <w:t xml:space="preserve"> ORTOLEVA, S., (2011) “Inaccessible justice: Human Rights, Persons with disabilities and the legal system”, </w:t>
      </w:r>
      <w:r w:rsidRPr="004551E9">
        <w:rPr>
          <w:i/>
          <w:lang w:val="en-US"/>
        </w:rPr>
        <w:t>ILSA Journal of International &amp; Comparative Law</w:t>
      </w:r>
      <w:r w:rsidRPr="004551E9">
        <w:rPr>
          <w:lang w:val="en-US"/>
        </w:rPr>
        <w:t xml:space="preserve"> Vol. 17(2).</w:t>
      </w:r>
    </w:p>
  </w:footnote>
  <w:footnote w:id="373">
    <w:p w:rsidR="00887731" w:rsidRPr="00597337" w:rsidRDefault="00887731" w:rsidP="004551E9">
      <w:pPr>
        <w:pStyle w:val="Pie"/>
      </w:pPr>
      <w:r w:rsidRPr="00597337">
        <w:rPr>
          <w:rStyle w:val="Refdenotaalpie"/>
        </w:rPr>
        <w:footnoteRef/>
      </w:r>
      <w:r w:rsidRPr="00597337">
        <w:t xml:space="preserve"> CISTERNAS S., (2012) “Las obligaciones internacionales para los Estados Partes en virtud del artículo 12 de la CDPD, vínculos con el artículo 13 e impacto en el derecho interno”, en BARIFFI F. &amp; PALACIOS A., (coord.), op. cit.</w:t>
      </w:r>
      <w:r w:rsidRPr="00597337">
        <w:rPr>
          <w:b/>
        </w:rPr>
        <w:t xml:space="preserve"> </w:t>
      </w:r>
    </w:p>
  </w:footnote>
  <w:footnote w:id="374">
    <w:p w:rsidR="00887731" w:rsidRPr="004551E9" w:rsidRDefault="00887731" w:rsidP="004551E9">
      <w:pPr>
        <w:pStyle w:val="Pie"/>
        <w:rPr>
          <w:lang w:val="en-US"/>
        </w:rPr>
      </w:pPr>
      <w:r w:rsidRPr="00597337">
        <w:rPr>
          <w:rStyle w:val="Refdenotaalpie"/>
        </w:rPr>
        <w:footnoteRef/>
      </w:r>
      <w:r w:rsidRPr="004551E9">
        <w:rPr>
          <w:lang w:val="en-US"/>
        </w:rPr>
        <w:t xml:space="preserve"> </w:t>
      </w:r>
      <w:proofErr w:type="gramStart"/>
      <w:r w:rsidRPr="004551E9">
        <w:rPr>
          <w:lang w:val="en-US"/>
        </w:rPr>
        <w:t xml:space="preserve">BARIFFI F., (2011a) Implementing the UN Convention on Disability in the European Union and Member States: A review of Substantive Obligations and Examples of Good Practices, accessible en; </w:t>
      </w:r>
      <w:hyperlink r:id="rId23" w:history="1">
        <w:r w:rsidRPr="00597337">
          <w:rPr>
            <w:rStyle w:val="Hipervnculo"/>
            <w:lang w:val="en-US"/>
          </w:rPr>
          <w:t>http://www.era-comm.eu/dalaw/uncrpd.html</w:t>
        </w:r>
      </w:hyperlink>
      <w:r w:rsidRPr="004551E9">
        <w:rPr>
          <w:lang w:val="en-US"/>
        </w:rPr>
        <w:t>.</w:t>
      </w:r>
      <w:proofErr w:type="gramEnd"/>
      <w:r w:rsidRPr="004551E9">
        <w:rPr>
          <w:lang w:val="en-US"/>
        </w:rPr>
        <w:t xml:space="preserve"> </w:t>
      </w:r>
    </w:p>
  </w:footnote>
  <w:footnote w:id="375">
    <w:p w:rsidR="00887731" w:rsidRPr="00597337" w:rsidRDefault="00887731" w:rsidP="004551E9">
      <w:pPr>
        <w:pStyle w:val="Pie"/>
      </w:pPr>
      <w:r w:rsidRPr="00597337">
        <w:rPr>
          <w:rStyle w:val="Refdenotaalpie"/>
        </w:rPr>
        <w:footnoteRef/>
      </w:r>
      <w:r w:rsidRPr="00597337">
        <w:t xml:space="preserve"> En este sentido cabe mencionar lo observado por el Comité de la CDPD respecto del Informe de China “…Si bien el Comité valora la creación de centros de prestación de servicios de asistencia jurídica para personas con discapacidad, observa que estos centros suelen carecer de los recursos necesarios y no funcionan de manera independiente. El Comité está preocupado por que las leyes de procedimiento penal y civil de China no tratan a las personas con discapacidad en pie de igualdad con las demás y, al contrario, prevén medidas condescendientes, como la designación de abogados de oficio que tratan a estas personas como si carecieran de capacidad de obrar…”, </w:t>
      </w:r>
      <w:r w:rsidRPr="00597337">
        <w:rPr>
          <w:lang w:val="es-ES_tradnl"/>
        </w:rPr>
        <w:t>CRPD/C/CHN/CO/1, 15 de octubre de 2012, párrafo 23.</w:t>
      </w:r>
    </w:p>
  </w:footnote>
  <w:footnote w:id="376">
    <w:p w:rsidR="00887731" w:rsidRPr="00597337" w:rsidRDefault="00887731" w:rsidP="004551E9">
      <w:pPr>
        <w:pStyle w:val="Pie"/>
      </w:pPr>
      <w:r w:rsidRPr="00597337">
        <w:rPr>
          <w:rStyle w:val="Refdenotaalpie"/>
        </w:rPr>
        <w:footnoteRef/>
      </w:r>
      <w:r w:rsidRPr="00597337">
        <w:t xml:space="preserve"> BARIFFI, F. J., (2009) “Capacidad jurídica y capacidad de obrar de las personas con discapacidad a la luz de la Convención de la ONU”, en </w:t>
      </w:r>
      <w:r w:rsidRPr="00597337">
        <w:rPr>
          <w:i/>
        </w:rPr>
        <w:t>Hacia un Derecho de la Discapacidad. Estudios en homenaje al Profesor Rafael de Lorenzo</w:t>
      </w:r>
      <w:r w:rsidRPr="00597337">
        <w:t xml:space="preserve">, en </w:t>
      </w:r>
      <w:r w:rsidRPr="00597337">
        <w:rPr>
          <w:caps/>
        </w:rPr>
        <w:t>Cayo Pérez Bueno</w:t>
      </w:r>
      <w:r w:rsidRPr="00597337">
        <w:t xml:space="preserve"> L, (dir); </w:t>
      </w:r>
      <w:r w:rsidRPr="00597337">
        <w:rPr>
          <w:caps/>
        </w:rPr>
        <w:t>Sastre A</w:t>
      </w:r>
      <w:r w:rsidRPr="00597337">
        <w:t xml:space="preserve"> (ed), op. cit.</w:t>
      </w:r>
      <w:r w:rsidRPr="00597337">
        <w:rPr>
          <w:b/>
        </w:rPr>
        <w:t xml:space="preserve"> </w:t>
      </w:r>
      <w:r w:rsidRPr="00597337">
        <w:t xml:space="preserve"> </w:t>
      </w:r>
    </w:p>
  </w:footnote>
  <w:footnote w:id="377">
    <w:p w:rsidR="00887731" w:rsidRPr="00597337" w:rsidRDefault="00887731" w:rsidP="004551E9">
      <w:pPr>
        <w:pStyle w:val="Pie"/>
      </w:pPr>
      <w:r w:rsidRPr="00597337">
        <w:rPr>
          <w:rStyle w:val="Refdenotaalpie"/>
        </w:rPr>
        <w:footnoteRef/>
      </w:r>
      <w:r w:rsidRPr="00597337">
        <w:t xml:space="preserve"> BARIFFI, F., BARRANCO, M., MORENO, L., PALACIOS, A., UTRAY, F., VIDA, J., (2008) op. cit.  </w:t>
      </w:r>
    </w:p>
  </w:footnote>
  <w:footnote w:id="378">
    <w:p w:rsidR="00887731" w:rsidRPr="00597337" w:rsidRDefault="00887731" w:rsidP="004551E9">
      <w:pPr>
        <w:pStyle w:val="Pie"/>
      </w:pPr>
      <w:r w:rsidRPr="00597337">
        <w:rPr>
          <w:rStyle w:val="Refdenotaalpie"/>
        </w:rPr>
        <w:footnoteRef/>
      </w:r>
      <w:r w:rsidRPr="00597337">
        <w:t xml:space="preserve"> CISTERNAS S., (2012) op. cit.</w:t>
      </w:r>
    </w:p>
  </w:footnote>
  <w:footnote w:id="379">
    <w:p w:rsidR="00887731" w:rsidRPr="00597337" w:rsidRDefault="00887731" w:rsidP="004551E9">
      <w:pPr>
        <w:pStyle w:val="Pie"/>
      </w:pPr>
      <w:r w:rsidRPr="00597337">
        <w:rPr>
          <w:rStyle w:val="Refdenotaalpie"/>
        </w:rPr>
        <w:footnoteRef/>
      </w:r>
      <w:r w:rsidRPr="00597337">
        <w:t xml:space="preserve"> Véase en este sentido la Observación General nº 8, (Artículo 9 - Derecho a la libertad y a la seguridad personales) Comité de Derechos Humanos, (HRI/GEN/1/Rev.9 (</w:t>
      </w:r>
      <w:proofErr w:type="spellStart"/>
      <w:r w:rsidRPr="00597337">
        <w:t>Vol.I</w:t>
      </w:r>
      <w:proofErr w:type="spellEnd"/>
      <w:r w:rsidRPr="00597337">
        <w:t xml:space="preserve">)). </w:t>
      </w:r>
    </w:p>
  </w:footnote>
  <w:footnote w:id="380">
    <w:p w:rsidR="00887731" w:rsidRPr="00597337" w:rsidRDefault="00887731" w:rsidP="004551E9">
      <w:pPr>
        <w:pStyle w:val="Pie"/>
        <w:rPr>
          <w:lang w:val="en-US"/>
        </w:rPr>
      </w:pPr>
      <w:r w:rsidRPr="00597337">
        <w:rPr>
          <w:rStyle w:val="Refdenotaalpie"/>
        </w:rPr>
        <w:footnoteRef/>
      </w:r>
      <w:r w:rsidRPr="00597337">
        <w:t xml:space="preserve"> La posición clara de las organizaciones defensoras de los derechos de las personas con discapacidad es que el artículo 14 de la CDPD no sólo entra en contradicción con la mayoría de las legislaciones nacionales existentes, sino también respecto de las normas y principios de DIDH vigentes al momento de entrada en vigor de la CDPD. </w:t>
      </w:r>
      <w:r w:rsidRPr="00597337">
        <w:rPr>
          <w:lang w:val="en-US"/>
        </w:rPr>
        <w:t xml:space="preserve">Véase International Disability Alliance, </w:t>
      </w:r>
      <w:r w:rsidRPr="00597337">
        <w:rPr>
          <w:i/>
          <w:lang w:val="en-US"/>
        </w:rPr>
        <w:t>Position Paper on the Convention on the Rights of Persons with Disabilities (CRPD) and Other Instruments</w:t>
      </w:r>
      <w:r w:rsidRPr="00597337">
        <w:rPr>
          <w:lang w:val="en-US"/>
        </w:rPr>
        <w:t xml:space="preserve">, April 25, 2008; </w:t>
      </w:r>
    </w:p>
  </w:footnote>
  <w:footnote w:id="381">
    <w:p w:rsidR="00887731" w:rsidRPr="00597337" w:rsidRDefault="00887731" w:rsidP="004551E9">
      <w:pPr>
        <w:pStyle w:val="Pie"/>
        <w:rPr>
          <w:lang w:val="es-AR"/>
        </w:rPr>
      </w:pPr>
      <w:r w:rsidRPr="00597337">
        <w:rPr>
          <w:rStyle w:val="Refdenotaalpie"/>
        </w:rPr>
        <w:footnoteRef/>
      </w:r>
      <w:r w:rsidRPr="00597337">
        <w:t xml:space="preserve"> Véase por ejemplo: CIADH. Caso Ximenes Lopes Vs. Brasil. Fondo, Reparaciones y Costas. Sentencia de 4 de julio de 2006. Serie C No. 149; CIADH. Caso Furlan y Familiares Vs. </w:t>
      </w:r>
      <w:r w:rsidRPr="00597337">
        <w:rPr>
          <w:lang w:val="es-AR"/>
        </w:rPr>
        <w:t xml:space="preserve">Argentina. Excepciones Preliminares, Fondo, Reparaciones y Costas. Sentencia de 31 de agosto de 2012 Serie C No. 246. </w:t>
      </w:r>
    </w:p>
  </w:footnote>
  <w:footnote w:id="382">
    <w:p w:rsidR="00887731" w:rsidRPr="00597337" w:rsidRDefault="00887731" w:rsidP="004551E9">
      <w:pPr>
        <w:pStyle w:val="Pie"/>
        <w:rPr>
          <w:lang w:val="en-US"/>
        </w:rPr>
      </w:pPr>
      <w:r w:rsidRPr="00597337">
        <w:rPr>
          <w:rStyle w:val="Refdenotaalpie"/>
        </w:rPr>
        <w:footnoteRef/>
      </w:r>
      <w:r w:rsidRPr="00597337">
        <w:t xml:space="preserve"> Véase por ejemplo: TEDH. Stanev v. Bulgaria. Sentencia de 17 de enero de 2012. </w:t>
      </w:r>
      <w:r w:rsidRPr="00597337">
        <w:rPr>
          <w:lang w:val="en-US"/>
        </w:rPr>
        <w:t xml:space="preserve">Aplicación no. 36760/06. </w:t>
      </w:r>
    </w:p>
  </w:footnote>
  <w:footnote w:id="383">
    <w:p w:rsidR="00887731" w:rsidRPr="00562DB8" w:rsidRDefault="00887731" w:rsidP="004551E9">
      <w:pPr>
        <w:pStyle w:val="Pie"/>
        <w:rPr>
          <w:lang w:val="en-US"/>
        </w:rPr>
      </w:pPr>
      <w:r w:rsidRPr="00597337">
        <w:rPr>
          <w:rStyle w:val="Refdenotaalpie"/>
        </w:rPr>
        <w:footnoteRef/>
      </w:r>
      <w:r w:rsidRPr="004551E9">
        <w:rPr>
          <w:lang w:val="en-US"/>
        </w:rPr>
        <w:t xml:space="preserve"> </w:t>
      </w:r>
      <w:proofErr w:type="gramStart"/>
      <w:r w:rsidRPr="004551E9">
        <w:rPr>
          <w:caps/>
          <w:lang w:val="en-US"/>
        </w:rPr>
        <w:t>Minkowitz, T.,</w:t>
      </w:r>
      <w:r w:rsidRPr="004551E9">
        <w:rPr>
          <w:lang w:val="en-US"/>
        </w:rPr>
        <w:t xml:space="preserve"> (2011) Why Mental Health Laws Contravene the CRPD – An Application of Article 14 with Implications for the Obligations of States Parties (September 16, 2011).</w:t>
      </w:r>
      <w:proofErr w:type="gramEnd"/>
      <w:r w:rsidRPr="004551E9">
        <w:rPr>
          <w:lang w:val="en-US"/>
        </w:rPr>
        <w:t xml:space="preserve"> </w:t>
      </w:r>
      <w:r w:rsidRPr="00562DB8">
        <w:rPr>
          <w:lang w:val="en-US"/>
        </w:rPr>
        <w:t>Available at SSRN: http://ssrn.com/abstract=1928600 or http://dx.doi.org/10.2139/ssrn.1928600</w:t>
      </w:r>
    </w:p>
  </w:footnote>
  <w:footnote w:id="384">
    <w:p w:rsidR="00887731" w:rsidRPr="00597337" w:rsidRDefault="00887731" w:rsidP="004551E9">
      <w:pPr>
        <w:pStyle w:val="Pie"/>
      </w:pPr>
      <w:r w:rsidRPr="00597337">
        <w:rPr>
          <w:rStyle w:val="Refdenotaalpie"/>
        </w:rPr>
        <w:footnoteRef/>
      </w:r>
      <w:r w:rsidRPr="00597337">
        <w:t xml:space="preserve"> El estudio temático del ACNUDH señala que “constituye detención ilegal la privación de libertad fundada en la combinación de una discapacidad mental o intelectual y otros elementos como la peligrosidad o la atención y el tratamiento.  Dado que esas medidas se justifican en parte por la discapacidad de la persona, deben considerarse discriminatorias y contrarias a la prohibición de privación de libertad por motivos de discapacidad y del derecho a la libertad en igualdad de condiciones con los demás previstos en el artículo 14” </w:t>
      </w:r>
      <w:r w:rsidRPr="00597337">
        <w:rPr>
          <w:i/>
        </w:rPr>
        <w:t>Estudio temático preparado por la Oficina del Alto Comisionado de las Naciones Unidas para los Derechos Humanos sobre la función de la cooperación internacional en apoyo de la labor de ámbito nacional para hacer efectivos los derechos de las personas con discapacidad</w:t>
      </w:r>
      <w:r w:rsidRPr="00597337">
        <w:t>, A/HRC/16/38, 20 de diciembre de 2010.</w:t>
      </w:r>
    </w:p>
  </w:footnote>
  <w:footnote w:id="385">
    <w:p w:rsidR="00887731" w:rsidRPr="00597337" w:rsidRDefault="00887731" w:rsidP="004551E9">
      <w:pPr>
        <w:pStyle w:val="Pie"/>
        <w:rPr>
          <w:lang w:val="es-AR"/>
        </w:rPr>
      </w:pPr>
      <w:r w:rsidRPr="00597337">
        <w:rPr>
          <w:rStyle w:val="Refdenotaalpie"/>
        </w:rPr>
        <w:footnoteRef/>
      </w:r>
      <w:r w:rsidRPr="00597337">
        <w:t xml:space="preserve"> Aunque el Comité de al CDPD ha formulado sus observaciones respecto de todos los informes de Estado en relación con el artículo 14, no ha proporcionado detalle sobre qué debe considerarse una privación de libertad por motivo de discapacidad. Por ejempl</w:t>
      </w:r>
      <w:r>
        <w:t>o</w:t>
      </w:r>
      <w:r w:rsidRPr="00597337">
        <w:t xml:space="preserve"> respecto de Túnez recomendó que “que el Estado Parte derogue las disposiciones legislativas que autorizan la privación de la libertad en razón de la discapacidad, incluso de carácter psicosocial o intelectual” </w:t>
      </w:r>
      <w:r w:rsidRPr="00597337">
        <w:rPr>
          <w:lang w:val="es-AR"/>
        </w:rPr>
        <w:t xml:space="preserve">CRPD/C/TUN/CO/1, 13 de mayo de 2011, párrafo 25; en relación con España recomendó “al Estado Parte que revise sus disposiciones legislativas que autorizan la privación de libertad por motivos de discapacidad, incluidas las discapacidades mentales, psicológicas o intelectuales; que derogue las disposiciones que autorizan el internamiento forzoso a causa de una incapacidad manifiesta o diagnosticada, y que adopte medidas para que los servicios médicos, incluyendo todos los servicios relacionados con la salud mental, se basen en el consentimiento otorgado con conocimiento de causa por el interesado” </w:t>
      </w:r>
      <w:r w:rsidRPr="00597337">
        <w:rPr>
          <w:lang w:val="es-ES_tradnl"/>
        </w:rPr>
        <w:t xml:space="preserve">CRPD/C/ESP/CO/1, 19 de octubre de 2011, párrafo 36; en relación con Perú exhortó al “Estado Parte a que derogue la Ley Nº 29737 por la que se modifica el artículo 11 de la Ley general de salud con el fin de prohibir la privación de libertad de una persona en razón de su discapacidad, incluida la discapacidad psicosocial, intelectual o percibida” </w:t>
      </w:r>
      <w:r w:rsidRPr="00597337">
        <w:rPr>
          <w:lang w:val="es-AR"/>
        </w:rPr>
        <w:t>CDPD,</w:t>
      </w:r>
      <w:r w:rsidRPr="00597337">
        <w:rPr>
          <w:lang w:val="es-ES_tradnl"/>
        </w:rPr>
        <w:t>CRPD/C/PER/CO/1, 16 de mayo de 2012, párrafo 29.</w:t>
      </w:r>
    </w:p>
  </w:footnote>
  <w:footnote w:id="386">
    <w:p w:rsidR="00887731" w:rsidRPr="00597337" w:rsidRDefault="00887731" w:rsidP="004551E9">
      <w:pPr>
        <w:pStyle w:val="Pie"/>
      </w:pPr>
      <w:r w:rsidRPr="00597337">
        <w:rPr>
          <w:rStyle w:val="Refdenotaalpie"/>
        </w:rPr>
        <w:footnoteRef/>
      </w:r>
      <w:r w:rsidRPr="00597337">
        <w:t xml:space="preserve"> Por ejemplo Biel Portero afirma que estas legislaciones no son contrarias al artículo 14 de la CDPD, BIEL PORTERO, I., (2011), op. cit. p. 335; también adhiere a esta postura </w:t>
      </w:r>
      <w:r w:rsidRPr="00597337">
        <w:rPr>
          <w:caps/>
        </w:rPr>
        <w:t>Blázquez Martín, D.,</w:t>
      </w:r>
      <w:r w:rsidRPr="00597337">
        <w:t xml:space="preserve"> (2010) “La garantía en igualdad de la libertad y seguridad de las personas con discapacidad tras la ratificación de la convención” </w:t>
      </w:r>
      <w:r w:rsidRPr="00597337">
        <w:rPr>
          <w:lang w:val="es-AR"/>
        </w:rPr>
        <w:t xml:space="preserve">en </w:t>
      </w:r>
      <w:r w:rsidRPr="00597337">
        <w:rPr>
          <w:caps/>
          <w:lang w:val="es-AR"/>
        </w:rPr>
        <w:t>Cuenca Gómez, P.,</w:t>
      </w:r>
      <w:r w:rsidRPr="00597337">
        <w:rPr>
          <w:lang w:val="es-AR"/>
        </w:rPr>
        <w:t xml:space="preserve"> (ed.), op. cit. En contrario (posición con la cual se adhiere) VILLAVERDE, M. S., (2012) “Artículo 14” en </w:t>
      </w:r>
      <w:r w:rsidRPr="00597337">
        <w:t xml:space="preserve">ROSALES P. (Coord.), </w:t>
      </w:r>
      <w:r w:rsidRPr="00597337">
        <w:rPr>
          <w:i/>
        </w:rPr>
        <w:t>Convención sobre los Derechos de las Personas con Discapacidad (Ley 26.378) Comentada</w:t>
      </w:r>
      <w:r w:rsidRPr="00597337">
        <w:t>, Abeledo Perrot, Buenos Aires, pp. 211-223.</w:t>
      </w:r>
    </w:p>
  </w:footnote>
  <w:footnote w:id="387">
    <w:p w:rsidR="00887731" w:rsidRPr="00597337" w:rsidRDefault="00887731" w:rsidP="004551E9">
      <w:pPr>
        <w:pStyle w:val="Pie"/>
      </w:pPr>
      <w:r w:rsidRPr="00597337">
        <w:rPr>
          <w:rStyle w:val="Refdenotaalpie"/>
        </w:rPr>
        <w:footnoteRef/>
      </w:r>
      <w:r w:rsidRPr="00597337">
        <w:t xml:space="preserve"> En este sentido el DIDH recoge una serie de documento de derecho blando que proporcionan lineamientos o directrices sobre el modo en el cual los Estados deben adaptar sus leyes y prácticas a la luz del derecho vinculante aplicable. Véase por ejemplo: </w:t>
      </w:r>
      <w:r w:rsidRPr="00597337">
        <w:rPr>
          <w:i/>
        </w:rPr>
        <w:t>Reglas mínimas para el tratamiento de los reclusos</w:t>
      </w:r>
      <w:r w:rsidRPr="00597337">
        <w:t xml:space="preserve">, aprobadas por el Consejo Económico y Social en sus resoluciones 663C (XXIV) de 31 de julio de 1957 y 2076 (LXII) de 13 de mayo de 1977; </w:t>
      </w:r>
      <w:r w:rsidRPr="00597337">
        <w:rPr>
          <w:i/>
        </w:rPr>
        <w:t>Principios básicos para el tratamiento de los reclusos</w:t>
      </w:r>
      <w:r w:rsidRPr="00597337">
        <w:t xml:space="preserve">, Adoptados y proclamados por la Asamblea General en su resolución 45/111, de 14 de diciembre de 1990; </w:t>
      </w:r>
      <w:r w:rsidRPr="00597337">
        <w:rPr>
          <w:i/>
        </w:rPr>
        <w:t>Conjunto de Principios para la protección de todas las personas sometidas a cualquier forma de detención o prisión</w:t>
      </w:r>
      <w:r w:rsidRPr="00597337">
        <w:t>, Adoptado por la Asamblea General en su resolución 43/173, de 9 de diciembre de 1988.</w:t>
      </w:r>
    </w:p>
  </w:footnote>
  <w:footnote w:id="388">
    <w:p w:rsidR="00887731" w:rsidRPr="00597337" w:rsidRDefault="00887731" w:rsidP="004551E9">
      <w:pPr>
        <w:pStyle w:val="Pie"/>
      </w:pPr>
      <w:r w:rsidRPr="00597337">
        <w:rPr>
          <w:rStyle w:val="Refdenotaalpie"/>
        </w:rPr>
        <w:footnoteRef/>
      </w:r>
      <w:r w:rsidRPr="00597337">
        <w:t xml:space="preserve"> Véase por ejemplo, CIADH. Caso Ximenes Lopes Vs. Brasil. Fondo, Reparaciones y Costas. Sentencia de 4 de julio de 2006. Serie C No. 149; TEDH, Price v. Reino Unido, Sentencia de 10 de julio de 2001, Aplicación No. 5493/72; Hamilton c. Jamaica Comunicación Nro. 616/1995, Dictamen aprobado por el Comité de Derechos Humanos el 28 de julio de 1999 (CCPR/C/66/D/616/1995).</w:t>
      </w:r>
    </w:p>
  </w:footnote>
  <w:footnote w:id="389">
    <w:p w:rsidR="00887731" w:rsidRPr="00597337" w:rsidRDefault="00887731" w:rsidP="004551E9">
      <w:pPr>
        <w:pStyle w:val="Pie"/>
      </w:pPr>
      <w:r w:rsidRPr="00597337">
        <w:rPr>
          <w:rStyle w:val="Refdenotaalpie"/>
        </w:rPr>
        <w:footnoteRef/>
      </w:r>
      <w:r w:rsidRPr="00597337">
        <w:t xml:space="preserve"> El Art. 7 de la CDN reconoce este derecho. Asimismo ha sido desarrollado por el CteDN en su Observación general Nº 17 (Artículo 24 - Derechos del niño) Comité sobre los Derechos del Niño, 35º período de sesiones (1989), (HRI/GEN/1/Rev.9 (Vol.I)).</w:t>
      </w:r>
    </w:p>
  </w:footnote>
  <w:footnote w:id="390">
    <w:p w:rsidR="00887731" w:rsidRPr="00597337" w:rsidRDefault="00887731" w:rsidP="004551E9">
      <w:pPr>
        <w:pStyle w:val="Pie"/>
      </w:pPr>
      <w:r w:rsidRPr="00597337">
        <w:rPr>
          <w:rStyle w:val="Refdenotaalpie"/>
        </w:rPr>
        <w:footnoteRef/>
      </w:r>
      <w:r w:rsidRPr="00597337">
        <w:t xml:space="preserve"> Véase al respecto </w:t>
      </w:r>
      <w:r w:rsidRPr="00597337">
        <w:rPr>
          <w:caps/>
        </w:rPr>
        <w:t>Pérez de la Fuente, O.,</w:t>
      </w:r>
      <w:r w:rsidRPr="00597337">
        <w:t xml:space="preserve"> (2010) “Discapacidad e inmigración. Análisis de una minoría de doble vulnerabilidad”, en </w:t>
      </w:r>
      <w:r w:rsidRPr="00597337">
        <w:rPr>
          <w:caps/>
        </w:rPr>
        <w:t>Cuenca Gómez, P.,</w:t>
      </w:r>
      <w:r w:rsidRPr="00597337">
        <w:t xml:space="preserve"> (ed.), op. cit. </w:t>
      </w:r>
    </w:p>
  </w:footnote>
  <w:footnote w:id="391">
    <w:p w:rsidR="00887731" w:rsidRPr="00597337" w:rsidRDefault="00887731" w:rsidP="004551E9">
      <w:pPr>
        <w:pStyle w:val="Pie"/>
      </w:pPr>
      <w:r w:rsidRPr="00597337">
        <w:rPr>
          <w:rStyle w:val="Refdenotaalpie"/>
        </w:rPr>
        <w:footnoteRef/>
      </w:r>
      <w:r w:rsidRPr="00597337">
        <w:t xml:space="preserve"> En este sentido en Comité de la CDPD ha mostrado su preocupación en relación con el informe de España respecto de que “…la elección de residencia de las personas con discapacidad se vea limitada por la disponibilidad de los servicios necesarios, así como el hecho de que, según se informa, quienes viven en establecimientos residenciales no tienen otra alternativa que ese internamiento…”, </w:t>
      </w:r>
      <w:r w:rsidRPr="00597337">
        <w:rPr>
          <w:lang w:val="es-ES_tradnl"/>
        </w:rPr>
        <w:t xml:space="preserve">CRPD/C/ESP/CO/1, 19 de octubre de 2011, párrafo 39. </w:t>
      </w:r>
    </w:p>
  </w:footnote>
  <w:footnote w:id="392">
    <w:p w:rsidR="00887731" w:rsidRPr="00597337" w:rsidRDefault="00887731" w:rsidP="004551E9">
      <w:pPr>
        <w:pStyle w:val="Pie"/>
      </w:pPr>
      <w:r w:rsidRPr="00597337">
        <w:rPr>
          <w:rStyle w:val="Refdenotaalpie"/>
        </w:rPr>
        <w:footnoteRef/>
      </w:r>
      <w:r w:rsidRPr="00597337">
        <w:t xml:space="preserve"> Son usuales en las legislaciones nacionales las normas que prohíben a las personas con discapacidad salir de las residencias o abandonar la residencia parental (incluso cuando son mayores de edad) sin autorización del responsable de la institución o de su familia. Incluso en caso de interdicción o incapacidad, el domicilio y residencia de la persona con discapacidad es fijada por el tutor o curador. </w:t>
      </w:r>
    </w:p>
  </w:footnote>
  <w:footnote w:id="393">
    <w:p w:rsidR="00887731" w:rsidRPr="00562DB8" w:rsidRDefault="00887731" w:rsidP="004551E9">
      <w:pPr>
        <w:pStyle w:val="Pie"/>
        <w:rPr>
          <w:lang w:val="en-US"/>
        </w:rPr>
      </w:pPr>
      <w:r w:rsidRPr="00597337">
        <w:rPr>
          <w:rStyle w:val="Refdenotaalpie"/>
        </w:rPr>
        <w:footnoteRef/>
      </w:r>
      <w:r w:rsidRPr="004551E9">
        <w:rPr>
          <w:lang w:val="en-US"/>
        </w:rPr>
        <w:t xml:space="preserve"> </w:t>
      </w:r>
      <w:r w:rsidRPr="004551E9">
        <w:rPr>
          <w:caps/>
          <w:lang w:val="en-US"/>
        </w:rPr>
        <w:t>Lord, J. E.,</w:t>
      </w:r>
      <w:r w:rsidRPr="004551E9">
        <w:rPr>
          <w:lang w:val="en-US"/>
        </w:rPr>
        <w:t xml:space="preserve"> (2011) “Shared Understanding or Consensus-Masked Disagreement? </w:t>
      </w:r>
      <w:proofErr w:type="gramStart"/>
      <w:r w:rsidRPr="00562DB8">
        <w:rPr>
          <w:lang w:val="en-US"/>
        </w:rPr>
        <w:t xml:space="preserve">The Anti-Torture Framework in the Convention on the Rights of Persons with Disabilities,” </w:t>
      </w:r>
      <w:r w:rsidRPr="00562DB8">
        <w:rPr>
          <w:i/>
          <w:lang w:val="en-US"/>
        </w:rPr>
        <w:t>Loyola Journal of International &amp; Comparative Law</w:t>
      </w:r>
      <w:r w:rsidRPr="00562DB8">
        <w:rPr>
          <w:lang w:val="en-US"/>
        </w:rPr>
        <w:t xml:space="preserve"> Vol. 11.</w:t>
      </w:r>
      <w:proofErr w:type="gramEnd"/>
    </w:p>
  </w:footnote>
  <w:footnote w:id="394">
    <w:p w:rsidR="00887731" w:rsidRPr="004551E9" w:rsidRDefault="00887731" w:rsidP="004551E9">
      <w:pPr>
        <w:pStyle w:val="Pie"/>
        <w:rPr>
          <w:lang w:val="en-US"/>
        </w:rPr>
      </w:pPr>
      <w:r w:rsidRPr="00597337">
        <w:rPr>
          <w:rStyle w:val="Refdenotaalpie"/>
        </w:rPr>
        <w:footnoteRef/>
      </w:r>
      <w:r w:rsidRPr="004551E9">
        <w:rPr>
          <w:lang w:val="en-US"/>
        </w:rPr>
        <w:t xml:space="preserve"> </w:t>
      </w:r>
      <w:proofErr w:type="spellStart"/>
      <w:r w:rsidRPr="004551E9">
        <w:rPr>
          <w:lang w:val="en-US"/>
        </w:rPr>
        <w:t>Véase</w:t>
      </w:r>
      <w:proofErr w:type="spellEnd"/>
      <w:r w:rsidRPr="004551E9">
        <w:rPr>
          <w:lang w:val="en-US"/>
        </w:rPr>
        <w:t xml:space="preserve"> por </w:t>
      </w:r>
      <w:proofErr w:type="spellStart"/>
      <w:r w:rsidRPr="004551E9">
        <w:rPr>
          <w:lang w:val="en-US"/>
        </w:rPr>
        <w:t>ejemplo</w:t>
      </w:r>
      <w:proofErr w:type="spellEnd"/>
      <w:r w:rsidRPr="004551E9">
        <w:rPr>
          <w:lang w:val="en-US"/>
        </w:rPr>
        <w:t xml:space="preserve"> la World Network of Users and Survivors of Psychiatry en: </w:t>
      </w:r>
      <w:r w:rsidR="00BB3E10">
        <w:fldChar w:fldCharType="begin"/>
      </w:r>
      <w:r w:rsidR="00BB3E10" w:rsidRPr="00F71B0D">
        <w:rPr>
          <w:lang w:val="en-US"/>
        </w:rPr>
        <w:instrText>HYPERLINK "http://www.wnusp.net/"</w:instrText>
      </w:r>
      <w:r w:rsidR="00BB3E10">
        <w:fldChar w:fldCharType="separate"/>
      </w:r>
      <w:r w:rsidRPr="00597337">
        <w:rPr>
          <w:rStyle w:val="Hipervnculo"/>
          <w:lang w:val="en-US"/>
        </w:rPr>
        <w:t>http://www.wnusp.net/</w:t>
      </w:r>
      <w:r w:rsidR="00BB3E10">
        <w:fldChar w:fldCharType="end"/>
      </w:r>
      <w:r w:rsidRPr="004551E9">
        <w:rPr>
          <w:lang w:val="en-US"/>
        </w:rPr>
        <w:t xml:space="preserve"> </w:t>
      </w:r>
    </w:p>
  </w:footnote>
  <w:footnote w:id="395">
    <w:p w:rsidR="00887731" w:rsidRPr="00562DB8" w:rsidRDefault="00887731" w:rsidP="004551E9">
      <w:pPr>
        <w:pStyle w:val="Pie"/>
        <w:rPr>
          <w:lang w:val="en-US"/>
        </w:rPr>
      </w:pPr>
      <w:r w:rsidRPr="00597337">
        <w:rPr>
          <w:rStyle w:val="Refdenotaalpie"/>
        </w:rPr>
        <w:footnoteRef/>
      </w:r>
      <w:r w:rsidRPr="00562DB8">
        <w:rPr>
          <w:lang w:val="en-US"/>
        </w:rPr>
        <w:t xml:space="preserve"> </w:t>
      </w:r>
      <w:proofErr w:type="spellStart"/>
      <w:r w:rsidRPr="00562DB8">
        <w:rPr>
          <w:lang w:val="en-US"/>
        </w:rPr>
        <w:t>Véase</w:t>
      </w:r>
      <w:proofErr w:type="spellEnd"/>
      <w:r w:rsidRPr="00562DB8">
        <w:rPr>
          <w:lang w:val="en-US"/>
        </w:rPr>
        <w:t xml:space="preserve"> por </w:t>
      </w:r>
      <w:proofErr w:type="spellStart"/>
      <w:r w:rsidRPr="00562DB8">
        <w:rPr>
          <w:lang w:val="en-US"/>
        </w:rPr>
        <w:t>ejemplo</w:t>
      </w:r>
      <w:proofErr w:type="spellEnd"/>
      <w:r w:rsidRPr="00562DB8">
        <w:rPr>
          <w:lang w:val="en-US"/>
        </w:rPr>
        <w:t xml:space="preserve">: Mental Disability Advocacy Center: </w:t>
      </w:r>
      <w:r w:rsidR="00BB3E10">
        <w:fldChar w:fldCharType="begin"/>
      </w:r>
      <w:r w:rsidR="00BB3E10" w:rsidRPr="00F71B0D">
        <w:rPr>
          <w:lang w:val="en-US"/>
        </w:rPr>
        <w:instrText>HYPERLINK "http://www.mdac.info"</w:instrText>
      </w:r>
      <w:r w:rsidR="00BB3E10">
        <w:fldChar w:fldCharType="separate"/>
      </w:r>
      <w:r w:rsidRPr="00597337">
        <w:rPr>
          <w:rStyle w:val="Hipervnculo"/>
          <w:lang w:val="en-US"/>
        </w:rPr>
        <w:t>http://www.mdac.info</w:t>
      </w:r>
      <w:r w:rsidR="00BB3E10">
        <w:fldChar w:fldCharType="end"/>
      </w:r>
      <w:r w:rsidRPr="00562DB8">
        <w:rPr>
          <w:lang w:val="en-US"/>
        </w:rPr>
        <w:t xml:space="preserve">; </w:t>
      </w:r>
      <w:r w:rsidRPr="00597337">
        <w:rPr>
          <w:lang w:val="en-GB"/>
        </w:rPr>
        <w:t xml:space="preserve">Disability Rights International: </w:t>
      </w:r>
      <w:r w:rsidR="00BB3E10">
        <w:fldChar w:fldCharType="begin"/>
      </w:r>
      <w:r w:rsidR="00BB3E10" w:rsidRPr="00F71B0D">
        <w:rPr>
          <w:lang w:val="en-US"/>
        </w:rPr>
        <w:instrText>HYPERLINK "http://www.mdri.org"</w:instrText>
      </w:r>
      <w:r w:rsidR="00BB3E10">
        <w:fldChar w:fldCharType="separate"/>
      </w:r>
      <w:r w:rsidRPr="00597337">
        <w:rPr>
          <w:rStyle w:val="Hipervnculo"/>
          <w:lang w:val="en-GB"/>
        </w:rPr>
        <w:t>http://www.mdri.org</w:t>
      </w:r>
      <w:r w:rsidR="00BB3E10">
        <w:fldChar w:fldCharType="end"/>
      </w:r>
      <w:r w:rsidRPr="00562DB8">
        <w:rPr>
          <w:lang w:val="en-US"/>
        </w:rPr>
        <w:t xml:space="preserve">; Human Rights Watch: </w:t>
      </w:r>
      <w:r w:rsidR="00BB3E10">
        <w:fldChar w:fldCharType="begin"/>
      </w:r>
      <w:r w:rsidR="00BB3E10" w:rsidRPr="00F71B0D">
        <w:rPr>
          <w:lang w:val="en-US"/>
        </w:rPr>
        <w:instrText>HYPERLINK "http://www.hrw.org/es"</w:instrText>
      </w:r>
      <w:r w:rsidR="00BB3E10">
        <w:fldChar w:fldCharType="separate"/>
      </w:r>
      <w:r w:rsidRPr="00597337">
        <w:rPr>
          <w:rStyle w:val="Hipervnculo"/>
          <w:lang w:val="en-US"/>
        </w:rPr>
        <w:t>http://www.hrw.org/es</w:t>
      </w:r>
      <w:r w:rsidR="00BB3E10">
        <w:fldChar w:fldCharType="end"/>
      </w:r>
      <w:r w:rsidRPr="00562DB8">
        <w:rPr>
          <w:lang w:val="en-US"/>
        </w:rPr>
        <w:t xml:space="preserve"> </w:t>
      </w:r>
    </w:p>
  </w:footnote>
  <w:footnote w:id="396">
    <w:p w:rsidR="00887731" w:rsidRPr="00597337" w:rsidRDefault="00887731" w:rsidP="004551E9">
      <w:pPr>
        <w:pStyle w:val="Pie"/>
      </w:pPr>
      <w:r w:rsidRPr="00597337">
        <w:rPr>
          <w:rStyle w:val="Refdenotaalpie"/>
        </w:rPr>
        <w:footnoteRef/>
      </w:r>
      <w:r w:rsidRPr="00597337">
        <w:t xml:space="preserve"> Véase por ejemplo: </w:t>
      </w:r>
      <w:r w:rsidRPr="00597337">
        <w:rPr>
          <w:i/>
        </w:rPr>
        <w:t>Abandonados y Desaparecidos: Segregación y Abuso de Niños y Adultos con Discapacidad en México</w:t>
      </w:r>
      <w:r w:rsidRPr="00597337">
        <w:t xml:space="preserve"> (2010), Disability Rights International y Comisión Méxicana de Defensa y Promoción de los Derechos Humanos. Disponible en: </w:t>
      </w:r>
      <w:hyperlink r:id="rId24" w:history="1">
        <w:r w:rsidRPr="00597337">
          <w:rPr>
            <w:rStyle w:val="Hipervnculo"/>
            <w:lang w:val="es-AR"/>
          </w:rPr>
          <w:t>http://www.disabilityrightsintl.org/wordpress/wp-content/uploads/Mex-Spanish-FinalPrinterVer-pdf-small.pdf</w:t>
        </w:r>
      </w:hyperlink>
      <w:r w:rsidRPr="00597337">
        <w:t xml:space="preserve"> </w:t>
      </w:r>
    </w:p>
  </w:footnote>
  <w:footnote w:id="397">
    <w:p w:rsidR="00887731" w:rsidRPr="004551E9" w:rsidRDefault="00887731" w:rsidP="004551E9">
      <w:pPr>
        <w:pStyle w:val="Pie"/>
        <w:rPr>
          <w:lang w:val="en-US"/>
        </w:rPr>
      </w:pPr>
      <w:r w:rsidRPr="00597337">
        <w:rPr>
          <w:rStyle w:val="Refdenotaalpie"/>
        </w:rPr>
        <w:footnoteRef/>
      </w:r>
      <w:r w:rsidRPr="004551E9">
        <w:rPr>
          <w:lang w:val="en-US"/>
        </w:rPr>
        <w:t xml:space="preserve"> </w:t>
      </w:r>
      <w:proofErr w:type="spellStart"/>
      <w:r w:rsidRPr="004551E9">
        <w:rPr>
          <w:lang w:val="en-US"/>
        </w:rPr>
        <w:t>Véase</w:t>
      </w:r>
      <w:proofErr w:type="spellEnd"/>
      <w:r w:rsidRPr="004551E9">
        <w:rPr>
          <w:lang w:val="en-US"/>
        </w:rPr>
        <w:t xml:space="preserve"> por </w:t>
      </w:r>
      <w:proofErr w:type="spellStart"/>
      <w:r w:rsidRPr="004551E9">
        <w:rPr>
          <w:lang w:val="en-US"/>
        </w:rPr>
        <w:t>ejemplo</w:t>
      </w:r>
      <w:proofErr w:type="spellEnd"/>
      <w:r w:rsidRPr="004551E9">
        <w:rPr>
          <w:lang w:val="en-US"/>
        </w:rPr>
        <w:t xml:space="preserve">: Torture not Treatment: Electric Shock and Long-Term Restraint in the United States on Children and Adults with Disabilities at the Judge Rotenberg Center, (2010), Mental Disability Rights International, </w:t>
      </w:r>
      <w:proofErr w:type="spellStart"/>
      <w:r w:rsidRPr="004551E9">
        <w:rPr>
          <w:lang w:val="en-US"/>
        </w:rPr>
        <w:t>disponible</w:t>
      </w:r>
      <w:proofErr w:type="spellEnd"/>
      <w:r w:rsidRPr="004551E9">
        <w:rPr>
          <w:lang w:val="en-US"/>
        </w:rPr>
        <w:t xml:space="preserve"> en: </w:t>
      </w:r>
      <w:r w:rsidR="00BB3E10">
        <w:fldChar w:fldCharType="begin"/>
      </w:r>
      <w:r w:rsidR="00BB3E10" w:rsidRPr="00F71B0D">
        <w:rPr>
          <w:lang w:val="en-US"/>
        </w:rPr>
        <w:instrText>HYPERLINK "http://www.disabilityrightsintl.org/wordpress/wp-content/uploads/USReportandUrgentAppeal.pdf"</w:instrText>
      </w:r>
      <w:r w:rsidR="00BB3E10">
        <w:fldChar w:fldCharType="separate"/>
      </w:r>
      <w:r w:rsidRPr="00597337">
        <w:rPr>
          <w:rStyle w:val="Hipervnculo"/>
          <w:lang w:val="en-US"/>
        </w:rPr>
        <w:t>http://www.disabilityrightsintl.org/wordpress/wp-content/uploads/USReportandUrgentAppeal.pdf</w:t>
      </w:r>
      <w:r w:rsidR="00BB3E10">
        <w:fldChar w:fldCharType="end"/>
      </w:r>
      <w:r w:rsidRPr="004551E9">
        <w:rPr>
          <w:lang w:val="en-US"/>
        </w:rPr>
        <w:t xml:space="preserve"> </w:t>
      </w:r>
    </w:p>
  </w:footnote>
  <w:footnote w:id="398">
    <w:p w:rsidR="00887731" w:rsidRPr="00597337" w:rsidRDefault="00887731" w:rsidP="004551E9">
      <w:pPr>
        <w:pStyle w:val="Pie"/>
        <w:rPr>
          <w:lang w:val="es-AR"/>
        </w:rPr>
      </w:pPr>
      <w:r w:rsidRPr="00597337">
        <w:rPr>
          <w:rStyle w:val="Refdenotaalpie"/>
        </w:rPr>
        <w:footnoteRef/>
      </w:r>
      <w:r w:rsidRPr="00597337">
        <w:rPr>
          <w:lang w:val="es-AR"/>
        </w:rPr>
        <w:t xml:space="preserve"> </w:t>
      </w:r>
      <w:r w:rsidRPr="00597337">
        <w:t xml:space="preserve">Véase por ejemplo lo observado por el Comité de la CDPD respecto del Informe del Estado Chino en relación con el Artículo 15, “…Por lo que se refiere a las personas con una discapacidad intelectual y psicosocial real o percibida internadas involuntariamente en instituciones, preocupa al Comité que la "terapia correctiva" impartida en las instituciones psiquiátricas constituya un trato inhumano y degradante…” </w:t>
      </w:r>
      <w:r w:rsidRPr="00597337">
        <w:rPr>
          <w:lang w:val="es-ES_tradnl"/>
        </w:rPr>
        <w:t>CRPD/C/CHN/CO/1, 15 de octubre de 2012, párrafo 27; o lo observado respecto del Informe de Perú, “…</w:t>
      </w:r>
      <w:r w:rsidRPr="00597337">
        <w:rPr>
          <w:lang w:val="es-AR"/>
        </w:rPr>
        <w:t xml:space="preserve">El Comité expresa su preocupación por las numerosas informaciones sobre el recurso continuado a la ingesta forzada de medicamentos, incluidos los neurolépticos, y las precarias condiciones materiales de las instituciones psiquiátricas…” </w:t>
      </w:r>
      <w:r w:rsidRPr="00597337">
        <w:rPr>
          <w:lang w:val="es-ES_tradnl"/>
        </w:rPr>
        <w:t>CRPD/C/PER/CO/1, 16 de mayo de 2012, párrafo 30.</w:t>
      </w:r>
    </w:p>
  </w:footnote>
  <w:footnote w:id="399">
    <w:p w:rsidR="00887731" w:rsidRPr="00597337" w:rsidRDefault="00887731" w:rsidP="004551E9">
      <w:pPr>
        <w:pStyle w:val="Pie"/>
      </w:pPr>
      <w:r w:rsidRPr="00597337">
        <w:rPr>
          <w:rStyle w:val="Refdenotaalpie"/>
          <w:lang w:val="es-AR"/>
        </w:rPr>
        <w:footnoteRef/>
      </w:r>
      <w:r w:rsidRPr="00597337">
        <w:t xml:space="preserve"> Véase Capítulo 2 punto 2.4.3.1 </w:t>
      </w:r>
    </w:p>
  </w:footnote>
  <w:footnote w:id="400">
    <w:p w:rsidR="00887731" w:rsidRPr="00597337" w:rsidRDefault="00887731" w:rsidP="004551E9">
      <w:pPr>
        <w:pStyle w:val="Pie"/>
      </w:pPr>
      <w:r w:rsidRPr="00597337">
        <w:rPr>
          <w:rStyle w:val="Refdenotaalpie"/>
        </w:rPr>
        <w:footnoteRef/>
      </w:r>
      <w:r w:rsidRPr="00597337">
        <w:rPr>
          <w:lang w:val="pt-BR"/>
        </w:rPr>
        <w:t xml:space="preserve"> CIADH. Caso Ximenes Lopes Vs. Brasil. </w:t>
      </w:r>
      <w:r w:rsidRPr="00597337">
        <w:t>Fondo, Reparaciones y Costas. Sentencia de 4 de julio de 2006. Serie C No. 149; CIADH, Caso Furlan y Familiares Vs. Argentina. Excepciones Preliminares, Fondo, Reparaciones y Costas. Sentencia de 31 de agosto de 2012 Serie C No. 246</w:t>
      </w:r>
      <w:r w:rsidRPr="00597337">
        <w:rPr>
          <w:lang w:val="es-AR"/>
        </w:rPr>
        <w:t xml:space="preserve"> TEDH. </w:t>
      </w:r>
      <w:r w:rsidRPr="00597337">
        <w:t xml:space="preserve">Stanev v. Bulgaria. Sentencia de 17 de enero de 2012. </w:t>
      </w:r>
      <w:r w:rsidRPr="00597337">
        <w:rPr>
          <w:lang w:val="es-AR"/>
        </w:rPr>
        <w:t>Aplicación no. 36760/06</w:t>
      </w:r>
      <w:r w:rsidRPr="00597337">
        <w:t xml:space="preserve">. </w:t>
      </w:r>
    </w:p>
  </w:footnote>
  <w:footnote w:id="401">
    <w:p w:rsidR="00887731" w:rsidRPr="00597337" w:rsidRDefault="00887731" w:rsidP="004551E9">
      <w:pPr>
        <w:pStyle w:val="Pie"/>
      </w:pPr>
      <w:r w:rsidRPr="00597337">
        <w:rPr>
          <w:rStyle w:val="Refdenotaalpie"/>
        </w:rPr>
        <w:footnoteRef/>
      </w:r>
      <w:r w:rsidRPr="00597337">
        <w:t xml:space="preserve"> Esto ha sido observado por el Comité en relación con el Informe de Hungría “…Preocupa al Comité que la Ley Nº CLIV de atención de la salud, de 1997, establezca un marco jurídico que permite someter a las personas con discapacidad cuya capacidad jurídica esté limitada a experimentos médicos sin su consentimiento libre e informado, dado que pueden autorizarlo sus tutores legales…” CRPD/C/HUN/CO/1, 22 de octubre de 2012, párrafo 29. </w:t>
      </w:r>
    </w:p>
  </w:footnote>
  <w:footnote w:id="402">
    <w:p w:rsidR="00887731" w:rsidRPr="00597337" w:rsidRDefault="00887731" w:rsidP="004551E9">
      <w:pPr>
        <w:pStyle w:val="Pie"/>
      </w:pPr>
      <w:r w:rsidRPr="00597337">
        <w:rPr>
          <w:rStyle w:val="Refdenotaalpie"/>
        </w:rPr>
        <w:footnoteRef/>
      </w:r>
      <w:r w:rsidRPr="00597337">
        <w:t xml:space="preserve"> Por ejemplo el Informe Mundial sobre Discapacidad señala que: Las personas con discapacidad tiene mayor riesgo de estar expuestas a la violencia. • Las personas con discapacidad están más expuestas al riesgo de sufrir violencia que las demás. • En los Estados Unidos se ha informado que la violencia contra las personas con discapacidad es entre 4 y 10 veces mayor que contra aquellas sin discapacidad. • La prevalencia de abuso sexual contra las personas con discapacidad es más alta que dicho abuso contras las personas sin discapacidad. •La violencia sexual prevalece particularmente para las personas que están institucionalizadas y las personas con discapacidad intelectual. Organización Mundial de la Salud y Grupo del Banco Mundial, Informe mundial sobre la discapacidad (2011): </w:t>
      </w:r>
      <w:hyperlink r:id="rId25" w:history="1">
        <w:r w:rsidRPr="00597337">
          <w:rPr>
            <w:rStyle w:val="Hipervnculo"/>
          </w:rPr>
          <w:t>http://www.who.int/disabilities/world_report/2011/es/index.html</w:t>
        </w:r>
      </w:hyperlink>
      <w:r w:rsidRPr="00597337">
        <w:t xml:space="preserve"> </w:t>
      </w:r>
    </w:p>
  </w:footnote>
  <w:footnote w:id="403">
    <w:p w:rsidR="00887731" w:rsidRPr="00562DB8" w:rsidRDefault="00887731" w:rsidP="004551E9">
      <w:pPr>
        <w:pStyle w:val="Pie"/>
        <w:rPr>
          <w:lang w:val="en-US"/>
        </w:rPr>
      </w:pPr>
      <w:r w:rsidRPr="00597337">
        <w:rPr>
          <w:rStyle w:val="Refdenotaalpie"/>
        </w:rPr>
        <w:footnoteRef/>
      </w:r>
      <w:r w:rsidRPr="00562DB8">
        <w:rPr>
          <w:lang w:val="en-US"/>
        </w:rPr>
        <w:t xml:space="preserve"> </w:t>
      </w:r>
      <w:proofErr w:type="spellStart"/>
      <w:r w:rsidRPr="00562DB8">
        <w:rPr>
          <w:lang w:val="en-US"/>
        </w:rPr>
        <w:t>Véase</w:t>
      </w:r>
      <w:proofErr w:type="spellEnd"/>
      <w:r w:rsidRPr="00562DB8">
        <w:rPr>
          <w:lang w:val="en-US"/>
        </w:rPr>
        <w:t xml:space="preserve"> </w:t>
      </w:r>
      <w:r w:rsidRPr="00562DB8">
        <w:rPr>
          <w:i/>
          <w:lang w:val="en-US"/>
        </w:rPr>
        <w:t>Human Rights YES!,</w:t>
      </w:r>
      <w:r w:rsidRPr="00562DB8">
        <w:rPr>
          <w:lang w:val="en-US"/>
        </w:rPr>
        <w:t xml:space="preserve"> (2007) op. cit, </w:t>
      </w:r>
      <w:proofErr w:type="spellStart"/>
      <w:r w:rsidRPr="00562DB8">
        <w:rPr>
          <w:lang w:val="en-US"/>
        </w:rPr>
        <w:t>Capítulo</w:t>
      </w:r>
      <w:proofErr w:type="spellEnd"/>
      <w:r w:rsidRPr="00562DB8">
        <w:rPr>
          <w:lang w:val="en-US"/>
        </w:rPr>
        <w:t xml:space="preserve"> 6. </w:t>
      </w:r>
    </w:p>
  </w:footnote>
  <w:footnote w:id="404">
    <w:p w:rsidR="00887731" w:rsidRPr="004551E9" w:rsidRDefault="00887731" w:rsidP="004551E9">
      <w:pPr>
        <w:pStyle w:val="Pie"/>
        <w:rPr>
          <w:lang w:val="en-US"/>
        </w:rPr>
      </w:pPr>
      <w:r w:rsidRPr="00597337">
        <w:rPr>
          <w:rStyle w:val="Refdenotaalpie"/>
        </w:rPr>
        <w:footnoteRef/>
      </w:r>
      <w:r w:rsidRPr="004551E9">
        <w:rPr>
          <w:lang w:val="en-US"/>
        </w:rPr>
        <w:t xml:space="preserve"> </w:t>
      </w:r>
      <w:r w:rsidRPr="004551E9">
        <w:rPr>
          <w:i/>
          <w:lang w:val="en-US"/>
        </w:rPr>
        <w:t>Human Rights YES</w:t>
      </w:r>
      <w:proofErr w:type="gramStart"/>
      <w:r w:rsidRPr="004551E9">
        <w:rPr>
          <w:i/>
          <w:lang w:val="en-US"/>
        </w:rPr>
        <w:t>!,</w:t>
      </w:r>
      <w:proofErr w:type="gramEnd"/>
      <w:r w:rsidRPr="004551E9">
        <w:rPr>
          <w:lang w:val="en-US"/>
        </w:rPr>
        <w:t xml:space="preserve"> (2007) op. cit, </w:t>
      </w:r>
      <w:proofErr w:type="spellStart"/>
      <w:r w:rsidRPr="004551E9">
        <w:rPr>
          <w:lang w:val="en-US"/>
        </w:rPr>
        <w:t>capítulo</w:t>
      </w:r>
      <w:proofErr w:type="spellEnd"/>
      <w:r w:rsidRPr="004551E9">
        <w:rPr>
          <w:lang w:val="en-US"/>
        </w:rPr>
        <w:t xml:space="preserve"> 7. </w:t>
      </w:r>
    </w:p>
  </w:footnote>
  <w:footnote w:id="405">
    <w:p w:rsidR="00887731" w:rsidRPr="00597337" w:rsidRDefault="00887731" w:rsidP="004551E9">
      <w:pPr>
        <w:pStyle w:val="Pie"/>
      </w:pPr>
      <w:r w:rsidRPr="00597337">
        <w:rPr>
          <w:rStyle w:val="Refdenotaalpie"/>
        </w:rPr>
        <w:footnoteRef/>
      </w:r>
      <w:r w:rsidRPr="00597337">
        <w:t xml:space="preserve"> Cfr. Observación General No 16 (Artículo 17 – Derecho a la intimidad) Comité de Derechos Humanos, (1988),  HRI/GEN/1/Rev.7, párrafo 11.</w:t>
      </w:r>
    </w:p>
  </w:footnote>
  <w:footnote w:id="406">
    <w:p w:rsidR="00887731" w:rsidRPr="00597337" w:rsidRDefault="00887731" w:rsidP="004551E9">
      <w:pPr>
        <w:pStyle w:val="Pie"/>
      </w:pPr>
      <w:r w:rsidRPr="00597337">
        <w:rPr>
          <w:rStyle w:val="Refdenotaalpie"/>
        </w:rPr>
        <w:footnoteRef/>
      </w:r>
      <w:r w:rsidRPr="00597337">
        <w:t xml:space="preserve"> Véase en este sentido lo señalado por el Comité de la CDPD respecto del Informe de Argentina, “…El Comité lamenta que el representante legal de una mujer con discapacidad bajo tutela pueda otorgar el consentimiento a un aborto no punible en nombre de la mujer con discapacidad. Del mismo modo, expresa su preocupación por la existencia de prácticas de esterilización de personas con discapacidad sin su consentimiento libre e informado…” CRPD/C/ARG/CO/1, 19 de octubre de 2012, párrafo 31; o lo señalado respecto del Informe de China, “…</w:t>
      </w:r>
      <w:r w:rsidRPr="00597337">
        <w:rPr>
          <w:lang w:val="es-ES_tradnl"/>
        </w:rPr>
        <w:t xml:space="preserve">Preocupa profundamente al Comité que tanto la legislación del Estado Parte como su sociedad acepten la práctica de someter a las mujeres con discapacidad a la esterilización y el aborto forzados sin su consentimiento libre e informado…” CRPD/C/CHN/CO/1, 15 de octubre de 2012, párrafo 33. </w:t>
      </w:r>
    </w:p>
  </w:footnote>
  <w:footnote w:id="407">
    <w:p w:rsidR="00887731" w:rsidRPr="00597337" w:rsidRDefault="00887731" w:rsidP="004551E9">
      <w:pPr>
        <w:pStyle w:val="Pie"/>
      </w:pPr>
      <w:r w:rsidRPr="00597337">
        <w:rPr>
          <w:rStyle w:val="Refdenotaalpie"/>
        </w:rPr>
        <w:footnoteRef/>
      </w:r>
      <w:r w:rsidRPr="00597337">
        <w:t xml:space="preserve"> Véase en este sentido lo señalado por el Comité de la CDPD respecto del Informe de Hungría, “…El Comité observa con preocupación que las personas con discapacidad siguen teniendo que hacer frente a diversas barreras económicas, físicas y psicológicas para fundar una familia, y que la escasez de servicios de apoyo que les permitan llevar una vida independiente (véanse los párrafos 34 y 35 </w:t>
      </w:r>
      <w:r w:rsidRPr="00597337">
        <w:rPr>
          <w:i/>
        </w:rPr>
        <w:t>supra</w:t>
      </w:r>
      <w:r w:rsidRPr="00597337">
        <w:t>) constituye una barrera de hecho para el disfrute pleno y efectivo de los derechos enunciados en el artículo 23 de la Convención…” CRPD/C/HUN/CO/1, 22 de octubre de 2012, párrafo 36.</w:t>
      </w:r>
    </w:p>
  </w:footnote>
  <w:footnote w:id="408">
    <w:p w:rsidR="00887731" w:rsidRPr="004551E9" w:rsidRDefault="00887731" w:rsidP="004551E9">
      <w:pPr>
        <w:pStyle w:val="Pie"/>
        <w:rPr>
          <w:lang w:val="en-US"/>
        </w:rPr>
      </w:pPr>
      <w:r w:rsidRPr="00597337">
        <w:rPr>
          <w:rStyle w:val="Refdenotaalpie"/>
        </w:rPr>
        <w:footnoteRef/>
      </w:r>
      <w:r w:rsidRPr="004551E9">
        <w:rPr>
          <w:lang w:val="en-US"/>
        </w:rPr>
        <w:t xml:space="preserve"> </w:t>
      </w:r>
      <w:r w:rsidRPr="004551E9">
        <w:rPr>
          <w:i/>
          <w:lang w:val="en-US"/>
        </w:rPr>
        <w:t>Human Rights YES</w:t>
      </w:r>
      <w:proofErr w:type="gramStart"/>
      <w:r w:rsidRPr="004551E9">
        <w:rPr>
          <w:i/>
          <w:lang w:val="en-US"/>
        </w:rPr>
        <w:t>!,</w:t>
      </w:r>
      <w:proofErr w:type="gramEnd"/>
      <w:r w:rsidRPr="004551E9">
        <w:rPr>
          <w:lang w:val="en-US"/>
        </w:rPr>
        <w:t xml:space="preserve"> (2007) op. cit, </w:t>
      </w:r>
      <w:proofErr w:type="spellStart"/>
      <w:r w:rsidRPr="004551E9">
        <w:rPr>
          <w:lang w:val="en-US"/>
        </w:rPr>
        <w:t>capítulo</w:t>
      </w:r>
      <w:proofErr w:type="spellEnd"/>
      <w:r w:rsidRPr="004551E9">
        <w:rPr>
          <w:lang w:val="en-US"/>
        </w:rPr>
        <w:t xml:space="preserve"> 7. </w:t>
      </w:r>
    </w:p>
  </w:footnote>
  <w:footnote w:id="409">
    <w:p w:rsidR="00887731" w:rsidRPr="00597337" w:rsidRDefault="00887731" w:rsidP="004551E9">
      <w:pPr>
        <w:pStyle w:val="Pie"/>
      </w:pPr>
      <w:r w:rsidRPr="00597337">
        <w:rPr>
          <w:rStyle w:val="Refdenotaalpie"/>
        </w:rPr>
        <w:footnoteRef/>
      </w:r>
      <w:r w:rsidRPr="00597337">
        <w:t xml:space="preserve"> Observación General nº 10 (Artículo 19 libertad de opinión), Comité de Derechos Humanos (1983), HRI/GEN/1/Rev.7, párrafo 2. </w:t>
      </w:r>
    </w:p>
  </w:footnote>
  <w:footnote w:id="410">
    <w:p w:rsidR="00887731" w:rsidRPr="004551E9" w:rsidRDefault="00887731" w:rsidP="004551E9">
      <w:pPr>
        <w:pStyle w:val="Pie"/>
        <w:rPr>
          <w:lang w:val="en-US"/>
        </w:rPr>
      </w:pPr>
      <w:r w:rsidRPr="00597337">
        <w:rPr>
          <w:rStyle w:val="Refdenotaalpie"/>
        </w:rPr>
        <w:footnoteRef/>
      </w:r>
      <w:r w:rsidRPr="004551E9">
        <w:rPr>
          <w:lang w:val="en-US"/>
        </w:rPr>
        <w:t xml:space="preserve"> </w:t>
      </w:r>
      <w:r w:rsidRPr="004551E9">
        <w:rPr>
          <w:i/>
          <w:lang w:val="en-US"/>
        </w:rPr>
        <w:t>Human Rights YES</w:t>
      </w:r>
      <w:proofErr w:type="gramStart"/>
      <w:r w:rsidRPr="004551E9">
        <w:rPr>
          <w:i/>
          <w:lang w:val="en-US"/>
        </w:rPr>
        <w:t>!,</w:t>
      </w:r>
      <w:proofErr w:type="gramEnd"/>
      <w:r w:rsidRPr="004551E9">
        <w:rPr>
          <w:lang w:val="en-US"/>
        </w:rPr>
        <w:t xml:space="preserve"> (2007) op. cit, </w:t>
      </w:r>
      <w:proofErr w:type="spellStart"/>
      <w:r w:rsidRPr="004551E9">
        <w:rPr>
          <w:lang w:val="en-US"/>
        </w:rPr>
        <w:t>capítulo</w:t>
      </w:r>
      <w:proofErr w:type="spellEnd"/>
      <w:r w:rsidRPr="004551E9">
        <w:rPr>
          <w:lang w:val="en-US"/>
        </w:rPr>
        <w:t xml:space="preserve"> 3. </w:t>
      </w:r>
    </w:p>
  </w:footnote>
  <w:footnote w:id="411">
    <w:p w:rsidR="00887731" w:rsidRPr="00597337" w:rsidRDefault="00887731" w:rsidP="004551E9">
      <w:pPr>
        <w:pStyle w:val="Pie"/>
      </w:pPr>
      <w:r w:rsidRPr="00597337">
        <w:rPr>
          <w:rStyle w:val="Refdenotaalpie"/>
        </w:rPr>
        <w:footnoteRef/>
      </w:r>
      <w:r w:rsidRPr="00597337">
        <w:t xml:space="preserve"> Este tipo de barreras han sido enfáticamente observadas por el Comité de la CDPD en relación con todos los Informes presentados hasta el momento: Respecto de Túnez, CRPD/C/TUN/CO/1, 13 de mayo de 2011, párrafo 35; Respecto de España, CRPD/C/ESP/CO/1, 19 de octubre de 2011, párrafo 47; Respecto de Perú, CDPD,CRPD/C/PER/CO/1, 16 de mayo de 2012, párrafo 44; Respecto de Argentina, CRPD/C/ARG/CO/1, 19 de octubre de 2012, párrafo 47; Respecto de China, CRPD/C/CHN/CO/1, 15 de octubre de 2012, párrafo 45; Respecto de Hungría, </w:t>
      </w:r>
      <w:r w:rsidRPr="00597337">
        <w:rPr>
          <w:lang w:val="es-ES_tradnl"/>
        </w:rPr>
        <w:t xml:space="preserve">CRPD/C/HUN/CO/1, </w:t>
      </w:r>
      <w:r w:rsidRPr="00597337">
        <w:t xml:space="preserve">22 de octubre de 2012, párrafo 45. </w:t>
      </w:r>
    </w:p>
  </w:footnote>
  <w:footnote w:id="412">
    <w:p w:rsidR="00887731" w:rsidRPr="004551E9" w:rsidRDefault="00887731" w:rsidP="004551E9">
      <w:pPr>
        <w:pStyle w:val="Pie"/>
        <w:rPr>
          <w:lang w:val="en-US"/>
        </w:rPr>
      </w:pPr>
      <w:r w:rsidRPr="00597337">
        <w:rPr>
          <w:rStyle w:val="Refdenotaalpie"/>
        </w:rPr>
        <w:footnoteRef/>
      </w:r>
      <w:r w:rsidRPr="004551E9">
        <w:rPr>
          <w:lang w:val="en-US"/>
        </w:rPr>
        <w:t xml:space="preserve"> </w:t>
      </w:r>
      <w:r w:rsidRPr="004551E9">
        <w:rPr>
          <w:caps/>
          <w:lang w:val="en-US"/>
        </w:rPr>
        <w:t>Lord, J. E. &amp; Stein, M. A.,</w:t>
      </w:r>
      <w:r w:rsidRPr="004551E9">
        <w:rPr>
          <w:lang w:val="en-US"/>
        </w:rPr>
        <w:t xml:space="preserve"> (2009) “Social Rights and The Relational Value of the Rights to Participate in Sport, Recreation and Play,” </w:t>
      </w:r>
      <w:r w:rsidRPr="004551E9">
        <w:rPr>
          <w:i/>
          <w:lang w:val="en-US"/>
        </w:rPr>
        <w:t>Boston University Journal of International Law</w:t>
      </w:r>
      <w:r w:rsidRPr="004551E9">
        <w:rPr>
          <w:lang w:val="en-US"/>
        </w:rPr>
        <w:t xml:space="preserve"> Vol. 27.</w:t>
      </w:r>
    </w:p>
  </w:footnote>
  <w:footnote w:id="413">
    <w:p w:rsidR="00887731" w:rsidRPr="004551E9" w:rsidRDefault="00887731" w:rsidP="004551E9">
      <w:pPr>
        <w:pStyle w:val="Pie"/>
        <w:rPr>
          <w:lang w:val="en-US"/>
        </w:rPr>
      </w:pPr>
      <w:r w:rsidRPr="00597337">
        <w:rPr>
          <w:rStyle w:val="Refdenotaalpie"/>
        </w:rPr>
        <w:footnoteRef/>
      </w:r>
      <w:r w:rsidRPr="004551E9">
        <w:rPr>
          <w:lang w:val="en-US"/>
        </w:rPr>
        <w:t xml:space="preserve"> </w:t>
      </w:r>
      <w:r w:rsidRPr="004551E9">
        <w:rPr>
          <w:i/>
          <w:lang w:val="en-US"/>
        </w:rPr>
        <w:t>Human Rights YES</w:t>
      </w:r>
      <w:proofErr w:type="gramStart"/>
      <w:r w:rsidRPr="004551E9">
        <w:rPr>
          <w:i/>
          <w:lang w:val="en-US"/>
        </w:rPr>
        <w:t>!,</w:t>
      </w:r>
      <w:proofErr w:type="gramEnd"/>
      <w:r w:rsidRPr="004551E9">
        <w:rPr>
          <w:lang w:val="en-US"/>
        </w:rPr>
        <w:t xml:space="preserve"> (2007) op. cit., </w:t>
      </w:r>
      <w:proofErr w:type="spellStart"/>
      <w:r w:rsidRPr="004551E9">
        <w:rPr>
          <w:lang w:val="en-US"/>
        </w:rPr>
        <w:t>capítulo</w:t>
      </w:r>
      <w:proofErr w:type="spellEnd"/>
      <w:r w:rsidRPr="004551E9">
        <w:rPr>
          <w:lang w:val="en-US"/>
        </w:rPr>
        <w:t xml:space="preserve"> 14.</w:t>
      </w:r>
    </w:p>
  </w:footnote>
  <w:footnote w:id="414">
    <w:p w:rsidR="00887731" w:rsidRPr="00597337" w:rsidRDefault="00887731" w:rsidP="004551E9">
      <w:pPr>
        <w:pStyle w:val="Pie"/>
      </w:pPr>
      <w:r w:rsidRPr="00597337">
        <w:rPr>
          <w:rStyle w:val="Refdenotaalpie"/>
        </w:rPr>
        <w:footnoteRef/>
      </w:r>
      <w:r w:rsidRPr="00597337">
        <w:t xml:space="preserve"> Véase, Estudio temático preparado por la Oficina del Alto Comisionado de las Naciones Unidas para los Derechos Humanos para mejorar el conocimiento y la comprensión de la Convención sobre los derechos de las personas con discapacidad, A/HRC/10/48, 26 de enero de 2009, párrafos 50 y 51.</w:t>
      </w:r>
    </w:p>
  </w:footnote>
  <w:footnote w:id="415">
    <w:p w:rsidR="00887731" w:rsidRPr="00597337" w:rsidRDefault="00887731" w:rsidP="004551E9">
      <w:pPr>
        <w:pStyle w:val="Pie"/>
      </w:pPr>
      <w:r w:rsidRPr="00597337">
        <w:rPr>
          <w:rStyle w:val="Refdenotaalpie"/>
        </w:rPr>
        <w:footnoteRef/>
      </w:r>
      <w:r w:rsidRPr="00597337">
        <w:t xml:space="preserve"> Véase en este sentido lo señalado por el Comité de la CDPD respecto del Informe de Hungría “…El Comité toma nota de que el Estado Parte ha reconocido la necesidad de sustituir las grandes instituciones sociales para personas con discapacidad por centros comunitarios (desinstitucionalización). Sin embargo, observa con preocupación que el Estado Parte ha establecido un plazo de 30 años para culminar ese proceso. Le preocupa además que, en comparación con la cantidad destinada a crear redes comunitarias de servicios de apoyo, el Estado Parte haya dedicado una cantidad desproporcionada de recursos (incluidos recursos de fondos regionales de la Unión Europea) a reconstruir grandes instituciones, lo que dará lugar a que se mantenga la segregación. Le inquieta que el Estado Parte no proporcione servicios de apoyo suficientes y adecuados en las comunidades locales para que las personas con discapacidad puedan vivir de forma independiente fuera de las instituciones residenciales…”, </w:t>
      </w:r>
      <w:r w:rsidRPr="00597337">
        <w:rPr>
          <w:lang w:val="es-ES_tradnl"/>
        </w:rPr>
        <w:t xml:space="preserve">CRPD/C/HUN/CO/1, </w:t>
      </w:r>
      <w:r w:rsidRPr="00597337">
        <w:t>22 de octubre de 2012, párrafo 33.</w:t>
      </w:r>
    </w:p>
  </w:footnote>
  <w:footnote w:id="416">
    <w:p w:rsidR="00887731" w:rsidRPr="004551E9" w:rsidRDefault="00887731" w:rsidP="004551E9">
      <w:pPr>
        <w:pStyle w:val="Pie"/>
        <w:rPr>
          <w:lang w:val="en-US"/>
        </w:rPr>
      </w:pPr>
      <w:r w:rsidRPr="00597337">
        <w:rPr>
          <w:rStyle w:val="Refdenotaalpie"/>
        </w:rPr>
        <w:footnoteRef/>
      </w:r>
      <w:r w:rsidRPr="004551E9">
        <w:rPr>
          <w:lang w:val="en-US"/>
        </w:rPr>
        <w:t xml:space="preserve"> </w:t>
      </w:r>
      <w:r w:rsidRPr="004551E9">
        <w:rPr>
          <w:i/>
          <w:lang w:val="en-US"/>
        </w:rPr>
        <w:t>Human Rights YES</w:t>
      </w:r>
      <w:proofErr w:type="gramStart"/>
      <w:r w:rsidRPr="004551E9">
        <w:rPr>
          <w:i/>
          <w:lang w:val="en-US"/>
        </w:rPr>
        <w:t>!,</w:t>
      </w:r>
      <w:proofErr w:type="gramEnd"/>
      <w:r w:rsidRPr="004551E9">
        <w:rPr>
          <w:lang w:val="en-US"/>
        </w:rPr>
        <w:t xml:space="preserve"> (2007) op. cit., </w:t>
      </w:r>
      <w:proofErr w:type="spellStart"/>
      <w:r w:rsidRPr="004551E9">
        <w:rPr>
          <w:lang w:val="en-US"/>
        </w:rPr>
        <w:t>capítulo</w:t>
      </w:r>
      <w:proofErr w:type="spellEnd"/>
      <w:r w:rsidRPr="004551E9">
        <w:rPr>
          <w:lang w:val="en-US"/>
        </w:rPr>
        <w:t xml:space="preserve"> 9.</w:t>
      </w:r>
    </w:p>
  </w:footnote>
  <w:footnote w:id="417">
    <w:p w:rsidR="00887731" w:rsidRPr="00597337" w:rsidRDefault="00887731" w:rsidP="004551E9">
      <w:pPr>
        <w:pStyle w:val="Pie"/>
      </w:pPr>
      <w:r w:rsidRPr="00597337">
        <w:rPr>
          <w:rStyle w:val="Refdenotaalpie"/>
        </w:rPr>
        <w:footnoteRef/>
      </w:r>
      <w:r w:rsidRPr="00597337">
        <w:rPr>
          <w:lang w:val="es-AR"/>
        </w:rPr>
        <w:t xml:space="preserve"> </w:t>
      </w:r>
      <w:r w:rsidRPr="00597337">
        <w:t>Véase en este sentido lo señalado por el Comité de la CDPD respecto del Informe de China “…</w:t>
      </w:r>
      <w:r w:rsidRPr="00597337">
        <w:rPr>
          <w:lang w:val="es-ES_tradnl"/>
        </w:rPr>
        <w:t>El Comité está preocupado por la imposición de medidas de rehabilitación y habilitación a las personas con discapacidad, especialmente las personas con discapacidad psicosocial o intelectual, sin su consentimiento informado…”, CRPD/C/CHN/CO/1, 15 de octubre de 2012, párrafo 39.</w:t>
      </w:r>
    </w:p>
  </w:footnote>
  <w:footnote w:id="418">
    <w:p w:rsidR="00887731" w:rsidRPr="00597337" w:rsidRDefault="00887731" w:rsidP="004551E9">
      <w:pPr>
        <w:pStyle w:val="Pie"/>
      </w:pPr>
      <w:r w:rsidRPr="00597337">
        <w:rPr>
          <w:rStyle w:val="Refdenotaalpie"/>
        </w:rPr>
        <w:footnoteRef/>
      </w:r>
      <w:r w:rsidRPr="00597337">
        <w:t xml:space="preserve"> Véase. Organización Mundial de la Salud y Grupo del Banco Mundial, Informe mundial sobre la discapacidad (2011): </w:t>
      </w:r>
      <w:hyperlink r:id="rId26" w:history="1">
        <w:r w:rsidRPr="00597337">
          <w:rPr>
            <w:rStyle w:val="Hipervnculo"/>
          </w:rPr>
          <w:t>http://www.who.int/disabilities/world_report/2011/es/index.html</w:t>
        </w:r>
      </w:hyperlink>
      <w:r w:rsidRPr="00597337">
        <w:t xml:space="preserve">, pp. 42 y ss.    </w:t>
      </w:r>
    </w:p>
  </w:footnote>
  <w:footnote w:id="419">
    <w:p w:rsidR="00887731" w:rsidRPr="00597337" w:rsidRDefault="00887731" w:rsidP="004551E9">
      <w:pPr>
        <w:pStyle w:val="Pie"/>
      </w:pPr>
      <w:r w:rsidRPr="00597337">
        <w:rPr>
          <w:rStyle w:val="Refdenotaalpie"/>
        </w:rPr>
        <w:footnoteRef/>
      </w:r>
      <w:r w:rsidRPr="00597337">
        <w:t xml:space="preserve"> Véase por ejemplo lo señalado por el Comité de al CDPD respecto del Informe de Argentina, “…El Comité observa con preocupación disposiciones en la normativa del Estado Parte sobre el acceso a pensiones no contributivas que discriminan directa o indirectamente a las personas con discapacidad, entre ellas, el requisito exigido por el Decreto Reglamentario 432/1997 y  el criterio de elegibilidad para acceder a una pensión asistencial por motivos de incapacidad establecido en la Ley N</w:t>
      </w:r>
      <w:proofErr w:type="gramStart"/>
      <w:r w:rsidRPr="00597337">
        <w:t>.º</w:t>
      </w:r>
      <w:proofErr w:type="gramEnd"/>
      <w:r w:rsidRPr="00597337">
        <w:t xml:space="preserve"> 18910…” CRPD/C/ARG/CO/1, 19 de octubre de 2012, párrafo 45.</w:t>
      </w:r>
    </w:p>
  </w:footnote>
  <w:footnote w:id="420">
    <w:p w:rsidR="00887731" w:rsidRPr="00597337" w:rsidRDefault="00887731" w:rsidP="004551E9">
      <w:pPr>
        <w:pStyle w:val="Pie"/>
      </w:pPr>
      <w:r w:rsidRPr="00597337">
        <w:rPr>
          <w:rStyle w:val="Refdenotaalpie"/>
        </w:rPr>
        <w:footnoteRef/>
      </w:r>
      <w:r w:rsidRPr="00597337">
        <w:t xml:space="preserve"> Véase en este sentido lo señalado por el Comité de la CDPD respecto del Informe de China, “…</w:t>
      </w:r>
      <w:r w:rsidRPr="00597337">
        <w:rPr>
          <w:lang w:val="es-ES_tradnl"/>
        </w:rPr>
        <w:t>Si bien el Comité valora la existencia de una política de reducción de la pobreza y prestaciones sociales y subsidios, expresa su preocupación por la disparidad entre las zonas rurales y las urbanas por lo que se refiere a las prestaciones de este tipo que reciben las personas con discapacidad…”, CRPD/C/CHN/CO/1, 15 de octubre de 2012, párrafo 43.</w:t>
      </w:r>
    </w:p>
  </w:footnote>
  <w:footnote w:id="421">
    <w:p w:rsidR="00887731" w:rsidRPr="00597337" w:rsidRDefault="00887731" w:rsidP="004551E9">
      <w:pPr>
        <w:pStyle w:val="Pie"/>
      </w:pPr>
      <w:r w:rsidRPr="00597337">
        <w:rPr>
          <w:rStyle w:val="Refdenotaalpie"/>
        </w:rPr>
        <w:footnoteRef/>
      </w:r>
      <w:r w:rsidRPr="00597337">
        <w:t xml:space="preserve"> Por una visión del desarrollo normativo del principio de educación inclusiva en el derecho internacional y en las legislaciones nacionales véase </w:t>
      </w:r>
      <w:r w:rsidRPr="00597337">
        <w:rPr>
          <w:caps/>
        </w:rPr>
        <w:t>Bersanelli S. L.,</w:t>
      </w:r>
      <w:r w:rsidRPr="00597337">
        <w:t xml:space="preserve"> (2012) “Comentario al art.24” en ROSALES P. (Coord.), op. cit.</w:t>
      </w:r>
    </w:p>
  </w:footnote>
  <w:footnote w:id="422">
    <w:p w:rsidR="00887731" w:rsidRPr="00597337" w:rsidRDefault="00887731" w:rsidP="004551E9">
      <w:pPr>
        <w:pStyle w:val="Pie"/>
      </w:pPr>
      <w:r w:rsidRPr="00597337">
        <w:rPr>
          <w:rStyle w:val="Refdenotaalpie"/>
        </w:rPr>
        <w:footnoteRef/>
      </w:r>
      <w:r w:rsidRPr="00597337">
        <w:t xml:space="preserve"> Organización Mundial de la Salud y Grupo del Banco Mundial, Informe mundial sobre la discapacidad (2011): </w:t>
      </w:r>
      <w:hyperlink r:id="rId27" w:history="1">
        <w:r w:rsidRPr="00597337">
          <w:rPr>
            <w:rStyle w:val="Hipervnculo"/>
          </w:rPr>
          <w:t>http://www.who.int/disabilities/world_report/2011/es/index.html</w:t>
        </w:r>
      </w:hyperlink>
      <w:r w:rsidRPr="00597337">
        <w:t xml:space="preserve"> </w:t>
      </w:r>
    </w:p>
  </w:footnote>
  <w:footnote w:id="423">
    <w:p w:rsidR="00887731" w:rsidRPr="00562DB8" w:rsidRDefault="00887731" w:rsidP="004551E9">
      <w:pPr>
        <w:pStyle w:val="Pie"/>
        <w:rPr>
          <w:lang w:val="en-US"/>
        </w:rPr>
      </w:pPr>
      <w:r w:rsidRPr="00597337">
        <w:rPr>
          <w:rStyle w:val="Refdenotaalpie"/>
        </w:rPr>
        <w:footnoteRef/>
      </w:r>
      <w:r w:rsidRPr="00562DB8">
        <w:rPr>
          <w:lang w:val="en-US"/>
        </w:rPr>
        <w:t xml:space="preserve"> </w:t>
      </w:r>
      <w:r w:rsidRPr="00562DB8">
        <w:rPr>
          <w:i/>
          <w:lang w:val="en-US"/>
        </w:rPr>
        <w:t>Human Rights YES</w:t>
      </w:r>
      <w:proofErr w:type="gramStart"/>
      <w:r w:rsidRPr="00562DB8">
        <w:rPr>
          <w:i/>
          <w:lang w:val="en-US"/>
        </w:rPr>
        <w:t>!,</w:t>
      </w:r>
      <w:proofErr w:type="gramEnd"/>
      <w:r w:rsidRPr="00562DB8">
        <w:rPr>
          <w:lang w:val="en-US"/>
        </w:rPr>
        <w:t xml:space="preserve"> (2007) op. cit., </w:t>
      </w:r>
      <w:proofErr w:type="spellStart"/>
      <w:r w:rsidRPr="00562DB8">
        <w:rPr>
          <w:lang w:val="en-US"/>
        </w:rPr>
        <w:t>capítulo</w:t>
      </w:r>
      <w:proofErr w:type="spellEnd"/>
      <w:r w:rsidRPr="00562DB8">
        <w:rPr>
          <w:lang w:val="en-US"/>
        </w:rPr>
        <w:t xml:space="preserve"> 13. </w:t>
      </w:r>
    </w:p>
  </w:footnote>
  <w:footnote w:id="424">
    <w:p w:rsidR="00887731" w:rsidRPr="00597337" w:rsidRDefault="00887731" w:rsidP="004551E9">
      <w:pPr>
        <w:pStyle w:val="Pie"/>
      </w:pPr>
      <w:r w:rsidRPr="00597337">
        <w:rPr>
          <w:rStyle w:val="Refdenotaalpie"/>
        </w:rPr>
        <w:footnoteRef/>
      </w:r>
      <w:r w:rsidRPr="00597337">
        <w:t xml:space="preserve"> Las Observaciones Finales del Comité de la CDPD respecto de los Informes de los Estados reflejan un patrón similar en todos ellos. Sin bien existen niveles diferentes de realización y cumplimiento de los Estados respecto de las obligaciones recogidas en el Artículo 24, el Comité observa que los Estados en su mayoría han implementado algún tipo de sistema de inclusión escolar pero que dicha integración no resulta efectiva atento a la falta de recursos, ajustes razonables, y capacitación de los profesores y maestros. Véase por ejemplo Observaciones respecto de Respecto de Túnez, CRPD/C/TUN/CO/1, 13 de mayo de 2011, párrafos 30-31; Respecto de España, CRPD/C/ESP/CO/1, 19 de octubre de 2011, párrafos 43-44; Respecto de Perú, CDPD,CRPD/C/PER/CO/1, 16 de mayo de 2012, párrafos 36-37; Respecto de Argentina, CRPD/C/ARG/CO/1, 19 de octubre de 2012, párrafos 37-38; Respecto de China, CRPD/C/CHN/CO/1, 15 de octubre de 2012, párrafos 35-36; Respecto de Hungría, </w:t>
      </w:r>
      <w:r w:rsidRPr="00597337">
        <w:rPr>
          <w:lang w:val="es-ES_tradnl"/>
        </w:rPr>
        <w:t xml:space="preserve">CRPD/C/HUN/CO/1, </w:t>
      </w:r>
      <w:r w:rsidRPr="00597337">
        <w:t>22 de octubre de 2012, párrafos 39-42.</w:t>
      </w:r>
    </w:p>
  </w:footnote>
  <w:footnote w:id="425">
    <w:p w:rsidR="00887731" w:rsidRPr="00597337" w:rsidRDefault="00887731" w:rsidP="004551E9">
      <w:pPr>
        <w:pStyle w:val="Pie"/>
      </w:pPr>
      <w:r w:rsidRPr="00597337">
        <w:rPr>
          <w:rStyle w:val="Refdenotaalpie"/>
        </w:rPr>
        <w:footnoteRef/>
      </w:r>
      <w:r w:rsidRPr="00597337">
        <w:t xml:space="preserve"> El Comité de la CDPD ha señalado expresamente que “…la denegación de un acomodo razonable de los alumnos constituye discriminación y que la obligación de proporcionar un acomodo razonable a los alumnos es de aplicación inmediata y no está sujeta a la realización progresiva…”, </w:t>
      </w:r>
      <w:r w:rsidRPr="00597337">
        <w:rPr>
          <w:lang w:val="es-ES_tradnl"/>
        </w:rPr>
        <w:t xml:space="preserve">CRPD/C/ESP/CO/1, 19 de octubre de 2011, párrafo 44. </w:t>
      </w:r>
    </w:p>
  </w:footnote>
  <w:footnote w:id="426">
    <w:p w:rsidR="00887731" w:rsidRPr="00597337" w:rsidRDefault="00887731" w:rsidP="004551E9">
      <w:pPr>
        <w:pStyle w:val="Pie"/>
      </w:pPr>
      <w:r w:rsidRPr="00597337">
        <w:rPr>
          <w:rStyle w:val="Refdenotaalpie"/>
        </w:rPr>
        <w:footnoteRef/>
      </w:r>
      <w:r w:rsidRPr="00597337">
        <w:t xml:space="preserve"> Véase Observación General nº 14 El derecho al disfrute del más alto nivel posible de salud (artículo 12 del Pacto Internacional de Derechos Económicos, Sociales y Culturales), Comité de Derechos Económicos, Sociales y Culturales (2000),  E/C.12/2000/4, 11 de agosto de 2000.</w:t>
      </w:r>
    </w:p>
  </w:footnote>
  <w:footnote w:id="427">
    <w:p w:rsidR="00887731" w:rsidRPr="00597337" w:rsidRDefault="00887731" w:rsidP="004551E9">
      <w:pPr>
        <w:pStyle w:val="Pie"/>
      </w:pPr>
      <w:r w:rsidRPr="00597337">
        <w:rPr>
          <w:rStyle w:val="Refdenotaalpie"/>
        </w:rPr>
        <w:footnoteRef/>
      </w:r>
      <w:r w:rsidRPr="00597337">
        <w:t xml:space="preserve"> Véase en este sentido lo señalado por el Comité de la CDPD respecto del Informe de Perú, “…El Comité insta al Estado Parte a que elabore programas integrales de salud a fin de que las personas con discapacidad estén específicamente recogidas en ellos y que se garantice el acceso de estas a servicios de rehabilitación y de salud en general. El Comité recomienda además al Estado Parte que: a) </w:t>
      </w:r>
      <w:r w:rsidRPr="00597337">
        <w:tab/>
        <w:t xml:space="preserve">Revise su ordenamiento jurídico para garantizar que las compañías de seguros y otros proveedores privados no discriminen a las personas con discapacidad; b) Asigne recursos presupuestarios e imparta formación al personal sanitario para dar cumplimiento efectivo al derecho a la salud de las personas con discapacidad, velando al mismo tiempo por que los hospitales y los centros de salud resulten accesibles a las personas con discapacidad; </w:t>
      </w:r>
      <w:r w:rsidRPr="00597337">
        <w:tab/>
        <w:t xml:space="preserve">c) Proporcione servicios de detección precoz de las discapacidades, en particular de la sordera, particularmente en niños, con el fin de reducir al mínimo sus consecuencias y prevenir la aparición de otras formas de discapacidad…” </w:t>
      </w:r>
      <w:r w:rsidRPr="00597337">
        <w:rPr>
          <w:lang w:val="es-ES_tradnl"/>
        </w:rPr>
        <w:t xml:space="preserve">CRPD/C/PER/CO/1, 16 de mayo de 2012, párrafo 39. </w:t>
      </w:r>
    </w:p>
  </w:footnote>
  <w:footnote w:id="428">
    <w:p w:rsidR="00887731" w:rsidRPr="00597337" w:rsidRDefault="00887731" w:rsidP="004551E9">
      <w:pPr>
        <w:pStyle w:val="Pie"/>
      </w:pPr>
      <w:r w:rsidRPr="00597337">
        <w:rPr>
          <w:rStyle w:val="Refdenotaalpie"/>
        </w:rPr>
        <w:footnoteRef/>
      </w:r>
      <w:r w:rsidRPr="00597337">
        <w:t xml:space="preserve"> Véase en este sentido lo señalado por el Comité de la CDPD respecto del Informe de China, “…El Comité recomienda al Estado Parte que adopte medidas para que todos los cuidados y los servicios de salud prestados a las personas con discapacidad, incluidos los de salud mental, se basen en el consentimiento libre e informado de la persona afectada y que se deroguen las leyes que permitan el tratamiento y el internamiento involuntarios, incluso con la autorización de un tercero, como un familiar o un tutor…” </w:t>
      </w:r>
      <w:r w:rsidRPr="00597337">
        <w:rPr>
          <w:lang w:val="es-ES_tradnl"/>
        </w:rPr>
        <w:t xml:space="preserve">CRPD/C/CHN/CO/1, 15 de octubre de 2012, párrafo 38. </w:t>
      </w:r>
    </w:p>
  </w:footnote>
  <w:footnote w:id="429">
    <w:p w:rsidR="00887731" w:rsidRPr="00597337" w:rsidRDefault="00887731" w:rsidP="004551E9">
      <w:pPr>
        <w:pStyle w:val="Pie"/>
      </w:pPr>
      <w:r w:rsidRPr="00597337">
        <w:rPr>
          <w:rStyle w:val="Refdenotaalpie"/>
        </w:rPr>
        <w:footnoteRef/>
      </w:r>
      <w:r w:rsidRPr="00597337">
        <w:t xml:space="preserve"> Véase en este sentido lo señalado por el Comité de la CDPD respecto del Informe de Argentina, “…El Comité expresa su preocupación sobre los obstáculos en el sistema de salud del Estado Parte que imposibilitan el acceso a servicios de salud de las personas con discapacidad, tales como barreras físicas, escasez de materiales accesibles, falta de profesionales sanitarios capacitados en el modelo de derechos humanos de discapacidad y restricciones en el ejercicio de la capacidad jurídica de las personas con discapacidad para tomar decisiones sobre sus propios tratamientos…” </w:t>
      </w:r>
      <w:r w:rsidRPr="00597337">
        <w:rPr>
          <w:lang w:val="es-ES_tradnl"/>
        </w:rPr>
        <w:t xml:space="preserve">CRPD/C/ARG/CO/1, </w:t>
      </w:r>
      <w:r w:rsidRPr="00597337">
        <w:t xml:space="preserve">19 de octubre de 2012, párrafo 39. </w:t>
      </w:r>
    </w:p>
  </w:footnote>
  <w:footnote w:id="430">
    <w:p w:rsidR="00887731" w:rsidRPr="00597337" w:rsidRDefault="00887731" w:rsidP="004551E9">
      <w:pPr>
        <w:pStyle w:val="Pie"/>
      </w:pPr>
      <w:r w:rsidRPr="00597337">
        <w:rPr>
          <w:rStyle w:val="Refdenotaalpie"/>
        </w:rPr>
        <w:footnoteRef/>
      </w:r>
      <w:r w:rsidRPr="00597337">
        <w:t xml:space="preserve"> Véase en este sentido lo señalado por el Comité de la CDPD respecto del Informe de Argentina, “…El Comité también expresa su preocupación ante las barreras culturales y prejuicios que obstaculizan el acceso de las personas con discapacidad al mercado laboral, en particular en el sector privado, a pesar de la existencia de incentivos fiscales para los empleadores y expresa asimismo su inquietud ante la discriminación laboral respecto de las mujeres con discapacidad…”, CRPD/C/ARG/CO/1, 19 de octubre de 2012, párrafo 43. </w:t>
      </w:r>
    </w:p>
  </w:footnote>
  <w:footnote w:id="431">
    <w:p w:rsidR="00887731" w:rsidRPr="004551E9" w:rsidRDefault="00887731" w:rsidP="004551E9">
      <w:pPr>
        <w:pStyle w:val="Pie"/>
        <w:rPr>
          <w:lang w:val="en-US"/>
        </w:rPr>
      </w:pPr>
      <w:r w:rsidRPr="00597337">
        <w:rPr>
          <w:rStyle w:val="Refdenotaalpie"/>
        </w:rPr>
        <w:footnoteRef/>
      </w:r>
      <w:r w:rsidRPr="004551E9">
        <w:rPr>
          <w:lang w:val="en-US"/>
        </w:rPr>
        <w:t xml:space="preserve"> </w:t>
      </w:r>
      <w:r w:rsidRPr="004551E9">
        <w:rPr>
          <w:i/>
          <w:lang w:val="en-US"/>
        </w:rPr>
        <w:t>Human Rights YES</w:t>
      </w:r>
      <w:proofErr w:type="gramStart"/>
      <w:r w:rsidRPr="004551E9">
        <w:rPr>
          <w:i/>
          <w:lang w:val="en-US"/>
        </w:rPr>
        <w:t>!,</w:t>
      </w:r>
      <w:proofErr w:type="gramEnd"/>
      <w:r w:rsidRPr="004551E9">
        <w:rPr>
          <w:lang w:val="en-US"/>
        </w:rPr>
        <w:t xml:space="preserve"> (2007) op. cit, </w:t>
      </w:r>
      <w:proofErr w:type="spellStart"/>
      <w:r w:rsidRPr="004551E9">
        <w:rPr>
          <w:lang w:val="en-US"/>
        </w:rPr>
        <w:t>capítulo</w:t>
      </w:r>
      <w:proofErr w:type="spellEnd"/>
      <w:r w:rsidRPr="004551E9">
        <w:rPr>
          <w:lang w:val="en-US"/>
        </w:rPr>
        <w:t xml:space="preserve"> 10. </w:t>
      </w:r>
    </w:p>
  </w:footnote>
  <w:footnote w:id="432">
    <w:p w:rsidR="00887731" w:rsidRPr="00597337" w:rsidRDefault="00887731" w:rsidP="004551E9">
      <w:pPr>
        <w:pStyle w:val="Pie"/>
      </w:pPr>
      <w:r w:rsidRPr="00597337">
        <w:rPr>
          <w:rStyle w:val="Refdenotaalpie"/>
        </w:rPr>
        <w:footnoteRef/>
      </w:r>
      <w:r w:rsidRPr="00597337">
        <w:t xml:space="preserve"> BARIFFI, F., (2010b) “El triángulo de garantía en la aplicación de la convención internacional sobre los derechos de las personas con discapacidad: recopilación de datos y estadísticas, aplicación y seguimiento a nivel nacional y cooperación internacional”, </w:t>
      </w:r>
      <w:r w:rsidRPr="00597337">
        <w:rPr>
          <w:lang w:val="es-AR"/>
        </w:rPr>
        <w:t>en</w:t>
      </w:r>
      <w:r w:rsidRPr="00597337">
        <w:t xml:space="preserve"> </w:t>
      </w:r>
      <w:r w:rsidRPr="00597337">
        <w:rPr>
          <w:caps/>
          <w:lang w:val="es-AR"/>
        </w:rPr>
        <w:t>Cuenca Gómez, P.,</w:t>
      </w:r>
      <w:r w:rsidRPr="00597337">
        <w:rPr>
          <w:lang w:val="es-AR"/>
        </w:rPr>
        <w:t xml:space="preserve"> (ed.), op. cit.</w:t>
      </w:r>
    </w:p>
  </w:footnote>
  <w:footnote w:id="433">
    <w:p w:rsidR="00887731" w:rsidRPr="00597337" w:rsidRDefault="00887731" w:rsidP="004551E9">
      <w:pPr>
        <w:pStyle w:val="Pie"/>
      </w:pPr>
      <w:r w:rsidRPr="00597337">
        <w:rPr>
          <w:rStyle w:val="Refdenotaalpie"/>
        </w:rPr>
        <w:footnoteRef/>
      </w:r>
      <w:r w:rsidRPr="00597337">
        <w:t xml:space="preserve"> Para mayor información véase, BARIFFI, F., (2012a) “Recopilación de datos y estadísticas sobre discapacidad a la luz del artículo 31 de la CDPD” en ROSALES P. (Coord.), op. cit., pp. 445-461.</w:t>
      </w:r>
    </w:p>
  </w:footnote>
  <w:footnote w:id="434">
    <w:p w:rsidR="00887731" w:rsidRPr="00597337" w:rsidRDefault="00887731" w:rsidP="004551E9">
      <w:pPr>
        <w:pStyle w:val="Pie"/>
        <w:rPr>
          <w:lang w:val="en-GB"/>
        </w:rPr>
      </w:pPr>
      <w:r w:rsidRPr="00597337">
        <w:rPr>
          <w:rStyle w:val="Refdenotaalpie"/>
        </w:rPr>
        <w:footnoteRef/>
      </w:r>
      <w:r w:rsidRPr="00597337">
        <w:t xml:space="preserve"> Sin perjuicio de lo indicado, es importante destacar que la información sobre las condiciones sanitarias de las personas con discapacidad pueden resultar en algunos casos de vital importancia, sobre todo como lo afirmó la Organización Mundial de la Salud (OMS) cuando se dirigió al Comité Especial en la tercera sesión, cuando se trata de garantizar el acceso de las personas con discapacidad a la salud y a la rehabilitación. </w:t>
      </w:r>
      <w:r w:rsidRPr="00597337">
        <w:rPr>
          <w:lang w:val="en-GB"/>
        </w:rPr>
        <w:t>[…WHO recognizes that in many low-income and middle-income countries there is a shortage of data on the health and rehabilitation needs of persons with disabilities. Such data would not only highlight the needs of persons with disabilities, but would ensure equity in allocation of available resources in addressing their needs. In this context, WHO is committed to provide technical assistance and expertise within its mandate and looks forward to contribute towards issues related to statistics and data collection within the framework of International Classification of Functioning, Disability and Health (WHA54.21) for national and international use…] Ad Hoc Committee on a Comprehensive and Integral International Convention on the Protection and Promotion of the Rights and Dignity of Persons with Disabilities, Background Documents, Third Session, statement submitted electronically by the World Health Organization, (</w:t>
      </w:r>
      <w:r w:rsidR="00BB3E10">
        <w:fldChar w:fldCharType="begin"/>
      </w:r>
      <w:r w:rsidR="00BB3E10" w:rsidRPr="00F71B0D">
        <w:rPr>
          <w:lang w:val="en-US"/>
        </w:rPr>
        <w:instrText>HYPERLINK "http://www.un.org/esa/socdev/enable/rights/ahcstata31tscomments.htm"</w:instrText>
      </w:r>
      <w:r w:rsidR="00BB3E10">
        <w:fldChar w:fldCharType="separate"/>
      </w:r>
      <w:r w:rsidRPr="00597337">
        <w:rPr>
          <w:rStyle w:val="Hipervnculo"/>
          <w:lang w:val="en-GB"/>
        </w:rPr>
        <w:t>http://www.un.org/esa/socdev/enable/rights/ahcstata31tscomments.htm</w:t>
      </w:r>
      <w:r w:rsidR="00BB3E10">
        <w:fldChar w:fldCharType="end"/>
      </w:r>
      <w:r w:rsidRPr="00597337">
        <w:rPr>
          <w:lang w:val="en-GB"/>
        </w:rPr>
        <w:t xml:space="preserve">)   </w:t>
      </w:r>
    </w:p>
  </w:footnote>
  <w:footnote w:id="435">
    <w:p w:rsidR="00887731" w:rsidRPr="00597337" w:rsidRDefault="00887731" w:rsidP="004551E9">
      <w:pPr>
        <w:pStyle w:val="Pie"/>
        <w:rPr>
          <w:lang w:val="en-US"/>
        </w:rPr>
      </w:pPr>
      <w:r w:rsidRPr="00597337">
        <w:rPr>
          <w:rStyle w:val="Refdenotaalpie"/>
        </w:rPr>
        <w:footnoteRef/>
      </w:r>
      <w:r w:rsidRPr="004551E9">
        <w:rPr>
          <w:lang w:val="en-US"/>
        </w:rPr>
        <w:t xml:space="preserve"> […We strongly support the content and intent of draft article 6. </w:t>
      </w:r>
      <w:r w:rsidRPr="00562DB8">
        <w:rPr>
          <w:lang w:val="en-US"/>
        </w:rPr>
        <w:t xml:space="preserve">However, statistics and data collection are not appropriately </w:t>
      </w:r>
      <w:proofErr w:type="spellStart"/>
      <w:r w:rsidRPr="00562DB8">
        <w:rPr>
          <w:lang w:val="en-US"/>
        </w:rPr>
        <w:t>characterised</w:t>
      </w:r>
      <w:proofErr w:type="spellEnd"/>
      <w:r w:rsidRPr="00562DB8">
        <w:rPr>
          <w:lang w:val="en-US"/>
        </w:rPr>
        <w:t xml:space="preserve"> as a human right. In our view, they represent operational activities that should be included with other operative provisions at the end of the convention…] </w:t>
      </w:r>
      <w:r w:rsidRPr="00562DB8">
        <w:rPr>
          <w:i/>
          <w:lang w:val="en-US"/>
        </w:rPr>
        <w:t xml:space="preserve">Intervention by (Australian) National Association of Community Legal </w:t>
      </w:r>
      <w:proofErr w:type="spellStart"/>
      <w:r w:rsidRPr="00562DB8">
        <w:rPr>
          <w:i/>
          <w:lang w:val="en-US"/>
        </w:rPr>
        <w:t>Centres</w:t>
      </w:r>
      <w:proofErr w:type="spellEnd"/>
      <w:r w:rsidRPr="00562DB8">
        <w:rPr>
          <w:i/>
          <w:lang w:val="en-US"/>
        </w:rPr>
        <w:t xml:space="preserve">, People with Disability Australia Incorporated, Australian Federation of Disability </w:t>
      </w:r>
      <w:proofErr w:type="spellStart"/>
      <w:r w:rsidRPr="00562DB8">
        <w:rPr>
          <w:i/>
          <w:lang w:val="en-US"/>
        </w:rPr>
        <w:t>Organisations</w:t>
      </w:r>
      <w:proofErr w:type="spellEnd"/>
      <w:r w:rsidRPr="00562DB8">
        <w:rPr>
          <w:lang w:val="en-US"/>
        </w:rPr>
        <w:t>, Third Session; (</w:t>
      </w:r>
      <w:r w:rsidR="00BB3E10">
        <w:fldChar w:fldCharType="begin"/>
      </w:r>
      <w:r w:rsidR="00BB3E10" w:rsidRPr="00F71B0D">
        <w:rPr>
          <w:lang w:val="en-US"/>
        </w:rPr>
        <w:instrText>HYPERLINK "http://www.un.org/esa/socdev/enable/rights/ahc3ngoa6.htm"</w:instrText>
      </w:r>
      <w:r w:rsidR="00BB3E10">
        <w:fldChar w:fldCharType="separate"/>
      </w:r>
      <w:r w:rsidRPr="00597337">
        <w:rPr>
          <w:rStyle w:val="Hipervnculo"/>
          <w:lang w:val="en-GB"/>
        </w:rPr>
        <w:t>http://www.un.org/esa/socdev/enable/rights/ahc3ngoa6.htm</w:t>
      </w:r>
      <w:r w:rsidR="00BB3E10">
        <w:fldChar w:fldCharType="end"/>
      </w:r>
      <w:r w:rsidRPr="00562DB8">
        <w:rPr>
          <w:lang w:val="en-US"/>
        </w:rPr>
        <w:t xml:space="preserve">); […Collection of data – a tool in the promotion of rights, not a right in itself. We acknowledge the importance of statistics and data collection in determining the means for combating discrimination and providing an appropriate response to the needs of people with disabilities. However such activity is only a tool to achieving equality. It is not a fundamental right in the same way as the rights stated at the beginning of the Convention: Equality and Non-Discrimination, Equality Before the Law, Individual Autonomy, etc…] </w:t>
      </w:r>
      <w:proofErr w:type="spellStart"/>
      <w:r w:rsidRPr="00597337">
        <w:rPr>
          <w:i/>
          <w:lang w:val="en-US"/>
        </w:rPr>
        <w:t>Bizchut</w:t>
      </w:r>
      <w:proofErr w:type="spellEnd"/>
      <w:r w:rsidRPr="00597337">
        <w:rPr>
          <w:i/>
          <w:lang w:val="en-US"/>
        </w:rPr>
        <w:t xml:space="preserve"> – The Israel Human Rights Center for People with Disabilities</w:t>
      </w:r>
      <w:r w:rsidRPr="00597337">
        <w:rPr>
          <w:lang w:val="en-US"/>
        </w:rPr>
        <w:t>, Comments on the Draft Comprehensive and Integral International Convention on the Protection and Promotion of the Rights and Dignity of Persons with Disabilities, May 2004, (</w:t>
      </w:r>
      <w:r w:rsidR="00BB3E10">
        <w:fldChar w:fldCharType="begin"/>
      </w:r>
      <w:r w:rsidR="00BB3E10" w:rsidRPr="00F71B0D">
        <w:rPr>
          <w:lang w:val="en-US"/>
        </w:rPr>
        <w:instrText>HYPERLINK "http://www.bizchut.org.il/eng/upload/.more/commentsenglish.doc"</w:instrText>
      </w:r>
      <w:r w:rsidR="00BB3E10">
        <w:fldChar w:fldCharType="separate"/>
      </w:r>
      <w:r w:rsidRPr="00597337">
        <w:rPr>
          <w:rStyle w:val="Hipervnculo"/>
          <w:lang w:val="en-US"/>
        </w:rPr>
        <w:t>http://www.bizchut.org.il/eng/upload/.more/commentsenglish.doc</w:t>
      </w:r>
      <w:r w:rsidR="00BB3E10">
        <w:fldChar w:fldCharType="end"/>
      </w:r>
      <w:r w:rsidRPr="00597337">
        <w:rPr>
          <w:lang w:val="en-US"/>
        </w:rPr>
        <w:t xml:space="preserve">)  </w:t>
      </w:r>
    </w:p>
  </w:footnote>
  <w:footnote w:id="436">
    <w:p w:rsidR="00887731" w:rsidRPr="00597337" w:rsidRDefault="00887731" w:rsidP="004551E9">
      <w:pPr>
        <w:pStyle w:val="Pie"/>
      </w:pPr>
      <w:r w:rsidRPr="00597337">
        <w:rPr>
          <w:rStyle w:val="Refdenotaalpie"/>
        </w:rPr>
        <w:footnoteRef/>
      </w:r>
      <w:r w:rsidRPr="00597337">
        <w:t xml:space="preserve"> Comité sobre los Derechos de las Personas con Discapacidad. Vid: Primer período de sesiones, Ginebra, 23 a 27 de febrero de 2009, CRPD/C/1/1, 20 de enero de 2009, (</w:t>
      </w:r>
      <w:hyperlink r:id="rId28" w:history="1">
        <w:r w:rsidRPr="00597337">
          <w:rPr>
            <w:rStyle w:val="Hipervnculo"/>
          </w:rPr>
          <w:t>http://www.ohchr.org/EN/HRBodies/CRPD/Pages/CRPDIndex.aspx</w:t>
        </w:r>
      </w:hyperlink>
      <w:r w:rsidRPr="00597337">
        <w:t xml:space="preserve">) </w:t>
      </w:r>
    </w:p>
  </w:footnote>
  <w:footnote w:id="437">
    <w:p w:rsidR="00887731" w:rsidRPr="00597337" w:rsidRDefault="00887731" w:rsidP="004551E9">
      <w:pPr>
        <w:pStyle w:val="Pie"/>
        <w:rPr>
          <w:lang w:val="es-AR"/>
        </w:rPr>
      </w:pPr>
      <w:r w:rsidRPr="00597337">
        <w:rPr>
          <w:rStyle w:val="Refdenotaalpie"/>
        </w:rPr>
        <w:footnoteRef/>
      </w:r>
      <w:r w:rsidRPr="00597337">
        <w:t xml:space="preserve"> En Comité de la CDPD en sus Directrices relativas al documento específico sobre la Convención que deben presentar los Estados partes con arreglo al párrafo 1 del artículo 35 de la Convención sobre los derechos de las personas con discapacidad, ha señalado que en relación con el artículo 31: </w:t>
      </w:r>
      <w:r w:rsidRPr="00597337">
        <w:rPr>
          <w:lang w:val="es-AR"/>
        </w:rPr>
        <w:t xml:space="preserve">[…Este artículo rige el proceso de recopilación de datos por el Estado Parte. Los Estados partes informarán sobre: • Las medidas adoptadas para recopilar información apropiada en forma desglosada, incluidos datos estadísticos y de investigación, que les permitan formular y aplicar políticas para dar efecto a la Convención respetando los derechos humanos y libertades fundamentales, los principios éticos, las salvaguardias jurídicas, la protección de los datos, la confidencialidad y la privacidad; • La difusión de estas estadísticas y las medidas adoptadas con objeto de que sean accesibles para las personas con discapacidad; • Las medidas adoptadas para asegurar la plena participación de las personas con discapacidad en el proceso de recopilación de datos e investigación;…] Cfr. Sección E, del documento CRPD/C/2/3 de 18 de noviembre de 2009. </w:t>
      </w:r>
    </w:p>
  </w:footnote>
  <w:footnote w:id="438">
    <w:p w:rsidR="00887731" w:rsidRPr="00597337" w:rsidRDefault="00887731" w:rsidP="004551E9">
      <w:pPr>
        <w:pStyle w:val="Pie"/>
      </w:pPr>
      <w:r w:rsidRPr="00597337">
        <w:rPr>
          <w:rStyle w:val="Refdenotaalpie"/>
        </w:rPr>
        <w:footnoteRef/>
      </w:r>
      <w:r w:rsidRPr="00597337">
        <w:t xml:space="preserve"> Para mayor información véase BARIFFI; F., (2010) “La Perspectiva de la Discapacidad en las Relaciones de Cooperación entre la Unión Europa – América Latina – Caribe” en </w:t>
      </w:r>
      <w:r w:rsidRPr="00597337">
        <w:rPr>
          <w:i/>
        </w:rPr>
        <w:t>Revista Nueva Mundo</w:t>
      </w:r>
      <w:r w:rsidRPr="00597337">
        <w:t>, Año I, Nº 2. Nueva Época, Caracas.</w:t>
      </w:r>
    </w:p>
  </w:footnote>
  <w:footnote w:id="439">
    <w:p w:rsidR="00887731" w:rsidRPr="00597337" w:rsidRDefault="00887731" w:rsidP="004551E9">
      <w:pPr>
        <w:pStyle w:val="Pie"/>
      </w:pPr>
      <w:r w:rsidRPr="00597337">
        <w:rPr>
          <w:rStyle w:val="Refdenotaalpie"/>
        </w:rPr>
        <w:footnoteRef/>
      </w:r>
      <w:r w:rsidRPr="00597337">
        <w:t xml:space="preserve"> Cfr. Manual para Parlamentarios sobre la Convención sobre los derechos de las personas con discapacidad y su Protocolo Facultativo, Naciones Unidas, Ginebra 2007.</w:t>
      </w:r>
    </w:p>
  </w:footnote>
  <w:footnote w:id="440">
    <w:p w:rsidR="00887731" w:rsidRPr="00597337" w:rsidRDefault="00887731" w:rsidP="004551E9">
      <w:pPr>
        <w:pStyle w:val="Pie"/>
      </w:pPr>
      <w:r w:rsidRPr="00597337">
        <w:rPr>
          <w:rStyle w:val="Refdenotaalpie"/>
        </w:rPr>
        <w:footnoteRef/>
      </w:r>
      <w:r w:rsidRPr="00597337">
        <w:t xml:space="preserve"> Informe del Grupo de Trabajo al Comité Especial, Resumen de los debates celebrados sobre la cuestión de la cooperación internacional que ha de examinar el Comité Especial, Anexo II, A/AC.265/2004/WG/1.</w:t>
      </w:r>
    </w:p>
  </w:footnote>
  <w:footnote w:id="441">
    <w:p w:rsidR="00887731" w:rsidRPr="00597337" w:rsidRDefault="00887731" w:rsidP="004551E9">
      <w:pPr>
        <w:pStyle w:val="Pie"/>
      </w:pPr>
      <w:r w:rsidRPr="00597337">
        <w:rPr>
          <w:rStyle w:val="Refdenotaalpie"/>
        </w:rPr>
        <w:footnoteRef/>
      </w:r>
      <w:r w:rsidRPr="00597337">
        <w:t xml:space="preserve"> Recopilación de propuestas de revisión y modificación formuladas por los miembros del Comité Especial al proyecto de Convención presentado por el Grupo de Trabajo como base de las negociaciones entre los Estados Miembros y los Observadores en el Comité Especial, Anexo II, Informe del tercer período de sesiones del Comité Especial encargado de preparar una Convención internacional amplia e integral para proteger y promover los derechos y la dignidad de las personas con discapacidad, A/AC.265/2004/5, 9 de junio de 2004. </w:t>
      </w:r>
    </w:p>
  </w:footnote>
  <w:footnote w:id="442">
    <w:p w:rsidR="00887731" w:rsidRPr="00597337" w:rsidRDefault="00887731" w:rsidP="004551E9">
      <w:pPr>
        <w:pStyle w:val="Pie"/>
      </w:pPr>
      <w:r w:rsidRPr="00597337">
        <w:rPr>
          <w:rStyle w:val="Refdenotaalpie"/>
        </w:rPr>
        <w:footnoteRef/>
      </w:r>
      <w:r w:rsidRPr="00597337">
        <w:t xml:space="preserve"> Informe del Comité Especial encargado de preparar una Convención internacional amplia e integral para proteger y promover los derechos y la dignidad de las personas con discapacidad sobre su sexto período de sesiones, Anexo II  Resumen del debate sobre la estructura del proyecto de Convención, A/60/266, 17 de agosto de 2005.</w:t>
      </w:r>
    </w:p>
  </w:footnote>
  <w:footnote w:id="443">
    <w:p w:rsidR="00887731" w:rsidRPr="00597337" w:rsidRDefault="00887731" w:rsidP="004551E9">
      <w:pPr>
        <w:pStyle w:val="Pie"/>
      </w:pPr>
      <w:r w:rsidRPr="00597337">
        <w:rPr>
          <w:rStyle w:val="Refdenotaalpie"/>
        </w:rPr>
        <w:footnoteRef/>
      </w:r>
      <w:r w:rsidRPr="00597337">
        <w:t xml:space="preserve"> Carta de fecha 7 de octubre de 2005 del Presidente del Comité Especial dirigida a todos los miembros del Comité, A/AC.265/2006/1 de 14 de octubre de 2005.</w:t>
      </w:r>
    </w:p>
  </w:footnote>
  <w:footnote w:id="444">
    <w:p w:rsidR="00887731" w:rsidRPr="00597337" w:rsidRDefault="00887731" w:rsidP="004551E9">
      <w:pPr>
        <w:pStyle w:val="Pie"/>
      </w:pPr>
      <w:r w:rsidRPr="00597337">
        <w:rPr>
          <w:rStyle w:val="Refdenotaalpie"/>
        </w:rPr>
        <w:footnoteRef/>
      </w:r>
      <w:r w:rsidRPr="00597337">
        <w:t xml:space="preserve"> Informe del Comité Especial encargado de preparar una Convención internacional amplia e integral para proteger y promover los derechos y la dignidad de las personas con discapacidad sobre su séptimo período de sesiones, Anexo II, A/AC.265/2006/2, 13 de febrero de 2006.</w:t>
      </w:r>
    </w:p>
  </w:footnote>
  <w:footnote w:id="445">
    <w:p w:rsidR="00887731" w:rsidRPr="00562DB8" w:rsidRDefault="00887731" w:rsidP="004551E9">
      <w:pPr>
        <w:pStyle w:val="Pie"/>
        <w:rPr>
          <w:lang w:val="en-US"/>
        </w:rPr>
      </w:pPr>
      <w:r w:rsidRPr="00597337">
        <w:rPr>
          <w:rStyle w:val="Refdenotaalpie"/>
        </w:rPr>
        <w:footnoteRef/>
      </w:r>
      <w:r w:rsidRPr="004551E9">
        <w:rPr>
          <w:lang w:val="en-US"/>
        </w:rPr>
        <w:t xml:space="preserve"> […It must be reiterated that the establishment of national bodies to monitor the implementation of the Convention should not lead States parties to delegate their monitoring obligations to these bodies. </w:t>
      </w:r>
      <w:r w:rsidRPr="00562DB8">
        <w:rPr>
          <w:lang w:val="en-US"/>
        </w:rPr>
        <w:t xml:space="preserve">It will remain the responsibility of Governments to comply with, and enforce the rights of people with disability under the Convention…] </w:t>
      </w:r>
      <w:r w:rsidRPr="00562DB8">
        <w:rPr>
          <w:i/>
          <w:szCs w:val="28"/>
          <w:lang w:val="en-US"/>
        </w:rPr>
        <w:t>Report</w:t>
      </w:r>
      <w:r w:rsidRPr="00562DB8">
        <w:rPr>
          <w:i/>
          <w:lang w:val="en-US"/>
        </w:rPr>
        <w:t xml:space="preserve"> by the United Nations Special </w:t>
      </w:r>
      <w:proofErr w:type="spellStart"/>
      <w:r w:rsidRPr="00562DB8">
        <w:rPr>
          <w:i/>
          <w:lang w:val="en-US"/>
        </w:rPr>
        <w:t>Rapporteur</w:t>
      </w:r>
      <w:proofErr w:type="spellEnd"/>
      <w:r w:rsidRPr="00562DB8">
        <w:rPr>
          <w:i/>
          <w:lang w:val="en-US"/>
        </w:rPr>
        <w:t xml:space="preserve"> on Disability on the Question of Monitoring</w:t>
      </w:r>
      <w:r w:rsidRPr="00562DB8">
        <w:rPr>
          <w:lang w:val="en-US"/>
        </w:rPr>
        <w:t xml:space="preserve">, </w:t>
      </w:r>
      <w:proofErr w:type="spellStart"/>
      <w:r w:rsidRPr="00562DB8">
        <w:rPr>
          <w:lang w:val="en-US"/>
        </w:rPr>
        <w:t>punto</w:t>
      </w:r>
      <w:proofErr w:type="spellEnd"/>
      <w:r w:rsidRPr="00562DB8">
        <w:rPr>
          <w:lang w:val="en-US"/>
        </w:rPr>
        <w:t xml:space="preserve"> 1.6. </w:t>
      </w:r>
    </w:p>
  </w:footnote>
  <w:footnote w:id="446">
    <w:p w:rsidR="00887731" w:rsidRPr="00597337" w:rsidRDefault="00887731" w:rsidP="004551E9">
      <w:pPr>
        <w:pStyle w:val="Pie"/>
      </w:pPr>
      <w:r w:rsidRPr="00597337">
        <w:rPr>
          <w:rStyle w:val="Refdenotaalpie"/>
        </w:rPr>
        <w:footnoteRef/>
      </w:r>
      <w:r w:rsidRPr="00597337">
        <w:t xml:space="preserve"> </w:t>
      </w:r>
      <w:proofErr w:type="spellStart"/>
      <w:r w:rsidRPr="00597337">
        <w:t>Vease</w:t>
      </w:r>
      <w:proofErr w:type="spellEnd"/>
      <w:r w:rsidRPr="00597337">
        <w:t xml:space="preserve"> BARIFFI, F., (2012b) “Aplicación y seguimiento nacionales  a la luz del artículo 33 de la CDPD” en ROSALES, P (Coord.) op. cit., pp. 475-492.</w:t>
      </w:r>
    </w:p>
  </w:footnote>
  <w:footnote w:id="447">
    <w:p w:rsidR="00887731" w:rsidRPr="00597337" w:rsidRDefault="00887731" w:rsidP="004551E9">
      <w:pPr>
        <w:pStyle w:val="Pie"/>
        <w:rPr>
          <w:lang w:val="en-US"/>
        </w:rPr>
      </w:pPr>
      <w:r w:rsidRPr="00597337">
        <w:rPr>
          <w:rStyle w:val="Refdenotaalpie"/>
        </w:rPr>
        <w:footnoteRef/>
      </w:r>
      <w:r w:rsidRPr="00597337">
        <w:t xml:space="preserve"> Informe de la Alta Comisionada de las Naciones Unidas para los Derechos Humanos sobre los progresos alcanzados en la aplicación de las recomendaciones contenidas en el estudio sobre los derechos humanos y la discapacidad, </w:t>
      </w:r>
      <w:r w:rsidRPr="00597337">
        <w:rPr>
          <w:lang w:eastAsia="es-ES_tradnl"/>
        </w:rPr>
        <w:t>A/HRC/4/75, párrafo 47, página 16; […</w:t>
      </w:r>
      <w:proofErr w:type="spellStart"/>
      <w:r w:rsidRPr="00597337">
        <w:rPr>
          <w:lang w:eastAsia="es-ES_tradnl"/>
        </w:rPr>
        <w:t>since</w:t>
      </w:r>
      <w:proofErr w:type="spellEnd"/>
      <w:r w:rsidRPr="00597337">
        <w:rPr>
          <w:lang w:eastAsia="es-ES_tradnl"/>
        </w:rPr>
        <w:t xml:space="preserve"> </w:t>
      </w:r>
      <w:proofErr w:type="spellStart"/>
      <w:r w:rsidRPr="00597337">
        <w:rPr>
          <w:lang w:eastAsia="es-ES_tradnl"/>
        </w:rPr>
        <w:t>the</w:t>
      </w:r>
      <w:proofErr w:type="spellEnd"/>
      <w:r w:rsidRPr="00597337">
        <w:rPr>
          <w:lang w:eastAsia="es-ES_tradnl"/>
        </w:rPr>
        <w:t xml:space="preserve"> </w:t>
      </w:r>
      <w:proofErr w:type="spellStart"/>
      <w:r w:rsidRPr="00597337">
        <w:rPr>
          <w:lang w:eastAsia="es-ES_tradnl"/>
        </w:rPr>
        <w:t>conception</w:t>
      </w:r>
      <w:proofErr w:type="spellEnd"/>
      <w:r w:rsidRPr="00597337">
        <w:rPr>
          <w:lang w:eastAsia="es-ES_tradnl"/>
        </w:rPr>
        <w:t xml:space="preserve"> of </w:t>
      </w:r>
      <w:proofErr w:type="spellStart"/>
      <w:r w:rsidRPr="00597337">
        <w:rPr>
          <w:lang w:eastAsia="es-ES_tradnl"/>
        </w:rPr>
        <w:t>the</w:t>
      </w:r>
      <w:proofErr w:type="spellEnd"/>
      <w:r w:rsidRPr="00597337">
        <w:rPr>
          <w:lang w:eastAsia="es-ES_tradnl"/>
        </w:rPr>
        <w:t xml:space="preserve"> </w:t>
      </w:r>
      <w:proofErr w:type="spellStart"/>
      <w:r w:rsidRPr="00597337">
        <w:rPr>
          <w:lang w:eastAsia="es-ES_tradnl"/>
        </w:rPr>
        <w:t>basic</w:t>
      </w:r>
      <w:proofErr w:type="spellEnd"/>
      <w:r w:rsidRPr="00597337">
        <w:rPr>
          <w:lang w:eastAsia="es-ES_tradnl"/>
        </w:rPr>
        <w:t xml:space="preserve"> </w:t>
      </w:r>
      <w:proofErr w:type="spellStart"/>
      <w:r w:rsidRPr="00597337">
        <w:rPr>
          <w:lang w:eastAsia="es-ES_tradnl"/>
        </w:rPr>
        <w:t>human</w:t>
      </w:r>
      <w:proofErr w:type="spellEnd"/>
      <w:r w:rsidRPr="00597337">
        <w:rPr>
          <w:lang w:eastAsia="es-ES_tradnl"/>
        </w:rPr>
        <w:t xml:space="preserve"> </w:t>
      </w:r>
      <w:proofErr w:type="spellStart"/>
      <w:r w:rsidRPr="00597337">
        <w:rPr>
          <w:lang w:eastAsia="es-ES_tradnl"/>
        </w:rPr>
        <w:t>rights</w:t>
      </w:r>
      <w:proofErr w:type="spellEnd"/>
      <w:r w:rsidRPr="00597337">
        <w:rPr>
          <w:lang w:eastAsia="es-ES_tradnl"/>
        </w:rPr>
        <w:t xml:space="preserve"> </w:t>
      </w:r>
      <w:proofErr w:type="spellStart"/>
      <w:r w:rsidRPr="00597337">
        <w:rPr>
          <w:lang w:eastAsia="es-ES_tradnl"/>
        </w:rPr>
        <w:t>framework</w:t>
      </w:r>
      <w:proofErr w:type="spellEnd"/>
      <w:r w:rsidRPr="00597337">
        <w:rPr>
          <w:lang w:eastAsia="es-ES_tradnl"/>
        </w:rPr>
        <w:t xml:space="preserve"> a </w:t>
      </w:r>
      <w:proofErr w:type="spellStart"/>
      <w:r w:rsidRPr="00597337">
        <w:rPr>
          <w:lang w:eastAsia="es-ES_tradnl"/>
        </w:rPr>
        <w:t>legalistic</w:t>
      </w:r>
      <w:proofErr w:type="spellEnd"/>
      <w:r w:rsidRPr="00597337">
        <w:rPr>
          <w:lang w:eastAsia="es-ES_tradnl"/>
        </w:rPr>
        <w:t xml:space="preserve"> </w:t>
      </w:r>
      <w:proofErr w:type="spellStart"/>
      <w:r w:rsidRPr="00597337">
        <w:rPr>
          <w:lang w:eastAsia="es-ES_tradnl"/>
        </w:rPr>
        <w:t>approach</w:t>
      </w:r>
      <w:proofErr w:type="spellEnd"/>
      <w:r w:rsidRPr="00597337">
        <w:rPr>
          <w:lang w:eastAsia="es-ES_tradnl"/>
        </w:rPr>
        <w:t xml:space="preserve"> </w:t>
      </w:r>
      <w:proofErr w:type="spellStart"/>
      <w:r w:rsidRPr="00597337">
        <w:rPr>
          <w:lang w:eastAsia="es-ES_tradnl"/>
        </w:rPr>
        <w:t>to</w:t>
      </w:r>
      <w:proofErr w:type="spellEnd"/>
      <w:r w:rsidRPr="00597337">
        <w:rPr>
          <w:lang w:eastAsia="es-ES_tradnl"/>
        </w:rPr>
        <w:t xml:space="preserve"> </w:t>
      </w:r>
      <w:proofErr w:type="spellStart"/>
      <w:r w:rsidRPr="00597337">
        <w:rPr>
          <w:lang w:eastAsia="es-ES_tradnl"/>
        </w:rPr>
        <w:t>human</w:t>
      </w:r>
      <w:proofErr w:type="spellEnd"/>
      <w:r w:rsidRPr="00597337">
        <w:rPr>
          <w:lang w:eastAsia="es-ES_tradnl"/>
        </w:rPr>
        <w:t xml:space="preserve"> </w:t>
      </w:r>
      <w:proofErr w:type="spellStart"/>
      <w:r w:rsidRPr="00597337">
        <w:rPr>
          <w:lang w:eastAsia="es-ES_tradnl"/>
        </w:rPr>
        <w:t>rights</w:t>
      </w:r>
      <w:proofErr w:type="spellEnd"/>
      <w:r w:rsidRPr="00597337">
        <w:rPr>
          <w:lang w:eastAsia="es-ES_tradnl"/>
        </w:rPr>
        <w:t xml:space="preserve"> has </w:t>
      </w:r>
      <w:proofErr w:type="spellStart"/>
      <w:r w:rsidRPr="00597337">
        <w:rPr>
          <w:lang w:eastAsia="es-ES_tradnl"/>
        </w:rPr>
        <w:t>been</w:t>
      </w:r>
      <w:proofErr w:type="spellEnd"/>
      <w:r w:rsidRPr="00597337">
        <w:rPr>
          <w:lang w:eastAsia="es-ES_tradnl"/>
        </w:rPr>
        <w:t xml:space="preserve"> </w:t>
      </w:r>
      <w:proofErr w:type="spellStart"/>
      <w:r w:rsidRPr="00597337">
        <w:rPr>
          <w:lang w:eastAsia="es-ES_tradnl"/>
        </w:rPr>
        <w:t>supplemented</w:t>
      </w:r>
      <w:proofErr w:type="spellEnd"/>
      <w:r w:rsidRPr="00597337">
        <w:rPr>
          <w:lang w:eastAsia="es-ES_tradnl"/>
        </w:rPr>
        <w:t xml:space="preserve"> </w:t>
      </w:r>
      <w:proofErr w:type="spellStart"/>
      <w:r w:rsidRPr="00597337">
        <w:rPr>
          <w:lang w:eastAsia="es-ES_tradnl"/>
        </w:rPr>
        <w:t>with</w:t>
      </w:r>
      <w:proofErr w:type="spellEnd"/>
      <w:r w:rsidRPr="00597337">
        <w:rPr>
          <w:lang w:eastAsia="es-ES_tradnl"/>
        </w:rPr>
        <w:t xml:space="preserve"> a more </w:t>
      </w:r>
      <w:proofErr w:type="spellStart"/>
      <w:r w:rsidRPr="00597337">
        <w:rPr>
          <w:lang w:eastAsia="es-ES_tradnl"/>
        </w:rPr>
        <w:t>pragmatic</w:t>
      </w:r>
      <w:proofErr w:type="spellEnd"/>
      <w:r w:rsidRPr="00597337">
        <w:rPr>
          <w:lang w:eastAsia="es-ES_tradnl"/>
        </w:rPr>
        <w:t xml:space="preserve"> and </w:t>
      </w:r>
      <w:proofErr w:type="spellStart"/>
      <w:r w:rsidRPr="00597337">
        <w:rPr>
          <w:lang w:eastAsia="es-ES_tradnl"/>
        </w:rPr>
        <w:t>functional</w:t>
      </w:r>
      <w:proofErr w:type="spellEnd"/>
      <w:r w:rsidRPr="00597337">
        <w:rPr>
          <w:lang w:eastAsia="es-ES_tradnl"/>
        </w:rPr>
        <w:t xml:space="preserve"> </w:t>
      </w:r>
      <w:proofErr w:type="spellStart"/>
      <w:r w:rsidRPr="00597337">
        <w:rPr>
          <w:lang w:eastAsia="es-ES_tradnl"/>
        </w:rPr>
        <w:t>approach</w:t>
      </w:r>
      <w:proofErr w:type="spellEnd"/>
      <w:r w:rsidRPr="00597337">
        <w:rPr>
          <w:lang w:eastAsia="es-ES_tradnl"/>
        </w:rPr>
        <w:t xml:space="preserve">. </w:t>
      </w:r>
      <w:r w:rsidRPr="00597337">
        <w:rPr>
          <w:lang w:val="en-US" w:eastAsia="es-ES_tradnl"/>
        </w:rPr>
        <w:t xml:space="preserve">The existence of a right does not necessarily lead to its full enjoyment. It also requires concrete implementation, in this case of the treaty obligations. The CRPD has been construed exactly to achieve this supplementary dimension of human rights protection. It guides States in the manner to proceed with the concrete realisation of the fundamental rights of persons with disabilities…] </w:t>
      </w:r>
      <w:r w:rsidRPr="00597337">
        <w:rPr>
          <w:caps/>
          <w:lang w:val="en-US" w:eastAsia="es-ES_tradnl"/>
        </w:rPr>
        <w:t>De Beco G, Hoefmans A,</w:t>
      </w:r>
      <w:r w:rsidRPr="00597337">
        <w:rPr>
          <w:lang w:val="en-US" w:eastAsia="es-ES_tradnl"/>
        </w:rPr>
        <w:t xml:space="preserve"> (2010) </w:t>
      </w:r>
      <w:r w:rsidRPr="00597337">
        <w:rPr>
          <w:i/>
          <w:lang w:val="en-US" w:eastAsia="es-ES_tradnl"/>
        </w:rPr>
        <w:t>The UN Convention on the Rights of Persons with Disabilities: an Integral and Integrated Approach to the Implementation of Disability Rights,</w:t>
      </w:r>
      <w:r w:rsidRPr="00597337">
        <w:rPr>
          <w:lang w:val="en-US" w:eastAsia="es-ES_tradnl"/>
        </w:rPr>
        <w:t xml:space="preserve"> Background document prepared for the international conference ‘Work Forum for the Implementation of the UN Convention on the Rights of People with Disabilities’, 18-19 November 2010, Brussels, Belgium (</w:t>
      </w:r>
      <w:r w:rsidR="00BB3E10">
        <w:fldChar w:fldCharType="begin"/>
      </w:r>
      <w:r w:rsidR="00BB3E10" w:rsidRPr="00F71B0D">
        <w:rPr>
          <w:lang w:val="en-US"/>
        </w:rPr>
        <w:instrText>HYPERLINK "http://socialsecurity.fgov.be/eu/en/agenda/18-19_11_10.asp"</w:instrText>
      </w:r>
      <w:r w:rsidR="00BB3E10">
        <w:fldChar w:fldCharType="separate"/>
      </w:r>
      <w:r w:rsidRPr="00597337">
        <w:rPr>
          <w:rStyle w:val="Hipervnculo"/>
          <w:lang w:val="en-US"/>
        </w:rPr>
        <w:t>http://socialsecurity.fgov.be/eu/en/agenda/18-19_11_10.asp</w:t>
      </w:r>
      <w:r w:rsidR="00BB3E10">
        <w:fldChar w:fldCharType="end"/>
      </w:r>
      <w:r w:rsidRPr="00597337">
        <w:rPr>
          <w:rStyle w:val="A4"/>
          <w:rFonts w:ascii="Times New Roman" w:hAnsi="Times New Roman" w:cs="Times New Roman"/>
          <w:lang w:val="en-US"/>
        </w:rPr>
        <w:t xml:space="preserve">) </w:t>
      </w:r>
      <w:r w:rsidRPr="00597337">
        <w:rPr>
          <w:lang w:val="en-US" w:eastAsia="es-ES_tradnl"/>
        </w:rPr>
        <w:t xml:space="preserve"> </w:t>
      </w:r>
    </w:p>
  </w:footnote>
  <w:footnote w:id="448">
    <w:p w:rsidR="00887731" w:rsidRPr="00562DB8" w:rsidRDefault="00887731" w:rsidP="004551E9">
      <w:pPr>
        <w:pStyle w:val="Pie"/>
        <w:rPr>
          <w:lang w:val="en-US"/>
        </w:rPr>
      </w:pPr>
      <w:r w:rsidRPr="00597337">
        <w:rPr>
          <w:rStyle w:val="Refdenotaalpie"/>
        </w:rPr>
        <w:footnoteRef/>
      </w:r>
      <w:r w:rsidRPr="00562DB8">
        <w:rPr>
          <w:lang w:val="en-US"/>
        </w:rPr>
        <w:t xml:space="preserve"> </w:t>
      </w:r>
      <w:proofErr w:type="spellStart"/>
      <w:r w:rsidRPr="00562DB8">
        <w:rPr>
          <w:lang w:val="en-US"/>
        </w:rPr>
        <w:t>Véase</w:t>
      </w:r>
      <w:proofErr w:type="spellEnd"/>
      <w:r w:rsidRPr="00562DB8">
        <w:rPr>
          <w:caps/>
          <w:lang w:val="en-US"/>
        </w:rPr>
        <w:t>: Stein, M. &amp; Lord, J.,</w:t>
      </w:r>
      <w:r w:rsidRPr="00562DB8">
        <w:rPr>
          <w:lang w:val="en-US"/>
        </w:rPr>
        <w:t xml:space="preserve"> (2010) “Monitoring the Convention on the Rights of Persons with Disabilities: Innovations, Lost Opportunities, and Future Potential”, </w:t>
      </w:r>
      <w:r w:rsidRPr="00562DB8">
        <w:rPr>
          <w:i/>
          <w:lang w:val="en-US"/>
        </w:rPr>
        <w:t>Human Rights Quarterly</w:t>
      </w:r>
      <w:r w:rsidRPr="00562DB8">
        <w:rPr>
          <w:lang w:val="en-US"/>
        </w:rPr>
        <w:t xml:space="preserve">, Vol. 32, pp. 689–728 ; </w:t>
      </w:r>
      <w:r w:rsidRPr="00562DB8">
        <w:rPr>
          <w:caps/>
          <w:lang w:val="en-US"/>
        </w:rPr>
        <w:t>Schulze, M.,</w:t>
      </w:r>
      <w:r w:rsidRPr="00562DB8">
        <w:rPr>
          <w:lang w:val="en-US"/>
        </w:rPr>
        <w:t xml:space="preserve"> (2009) “Effective Exercise of the Rights of Persons with Disabilities: National Monitoring Mechanisms”, in </w:t>
      </w:r>
      <w:r w:rsidRPr="00562DB8">
        <w:rPr>
          <w:caps/>
          <w:lang w:val="en-US"/>
        </w:rPr>
        <w:t>Benedek, W., Gregory, C., Kozma, J., Nowak, M., Strohal, C. and Theuermann</w:t>
      </w:r>
      <w:r w:rsidRPr="00562DB8">
        <w:rPr>
          <w:lang w:val="en-US"/>
        </w:rPr>
        <w:t xml:space="preserve">, E. (eds.), </w:t>
      </w:r>
      <w:r w:rsidRPr="00562DB8">
        <w:rPr>
          <w:i/>
          <w:lang w:val="en-US"/>
        </w:rPr>
        <w:t>Global Standards – Local Action. 15 Years Vienna World Conference on Human Rights</w:t>
      </w:r>
      <w:r w:rsidRPr="00562DB8">
        <w:rPr>
          <w:lang w:val="en-US"/>
        </w:rPr>
        <w:t xml:space="preserve">, Vienna/Graz: Intersentia, pp. 217-226; </w:t>
      </w:r>
      <w:r w:rsidRPr="00562DB8">
        <w:rPr>
          <w:caps/>
          <w:lang w:val="en-US"/>
        </w:rPr>
        <w:t>Quinn, G.,</w:t>
      </w:r>
      <w:r w:rsidRPr="00562DB8">
        <w:rPr>
          <w:lang w:val="en-US"/>
        </w:rPr>
        <w:t xml:space="preserve"> (2009) “Resisting the ‘Temptation of Elegance’: Can the Convention on the Rights of Persons with Disabilities </w:t>
      </w:r>
      <w:proofErr w:type="spellStart"/>
      <w:r w:rsidRPr="00562DB8">
        <w:rPr>
          <w:lang w:val="en-US"/>
        </w:rPr>
        <w:t>Socialise</w:t>
      </w:r>
      <w:proofErr w:type="spellEnd"/>
      <w:r w:rsidRPr="00562DB8">
        <w:rPr>
          <w:lang w:val="en-US"/>
        </w:rPr>
        <w:t xml:space="preserve"> States to Right </w:t>
      </w:r>
      <w:proofErr w:type="spellStart"/>
      <w:r w:rsidRPr="00562DB8">
        <w:rPr>
          <w:lang w:val="en-US"/>
        </w:rPr>
        <w:t>Behaviour</w:t>
      </w:r>
      <w:proofErr w:type="spellEnd"/>
      <w:r w:rsidRPr="00562DB8">
        <w:rPr>
          <w:lang w:val="en-US"/>
        </w:rPr>
        <w:t xml:space="preserve">?”, in </w:t>
      </w:r>
      <w:r w:rsidRPr="00562DB8">
        <w:rPr>
          <w:caps/>
          <w:lang w:val="en-US"/>
        </w:rPr>
        <w:t>Arnardottir, O. and Quinn, G</w:t>
      </w:r>
      <w:r w:rsidRPr="00562DB8">
        <w:rPr>
          <w:lang w:val="en-US"/>
        </w:rPr>
        <w:t>. (</w:t>
      </w:r>
      <w:proofErr w:type="spellStart"/>
      <w:r w:rsidRPr="00562DB8">
        <w:rPr>
          <w:lang w:val="en-US"/>
        </w:rPr>
        <w:t>eds</w:t>
      </w:r>
      <w:proofErr w:type="spellEnd"/>
      <w:r w:rsidRPr="00562DB8">
        <w:rPr>
          <w:lang w:val="en-US"/>
        </w:rPr>
        <w:t xml:space="preserve">), </w:t>
      </w:r>
      <w:r w:rsidRPr="00562DB8">
        <w:rPr>
          <w:i/>
          <w:lang w:val="en-US"/>
        </w:rPr>
        <w:t>The UN Convention on the Rights of Persons with Disabilities. European and Scandinavian Perspectives,</w:t>
      </w:r>
      <w:r w:rsidRPr="00562DB8">
        <w:rPr>
          <w:lang w:val="en-US"/>
        </w:rPr>
        <w:t xml:space="preserve"> London/Boston: Martinus Nijhoff Publishers, pp. 215-256.</w:t>
      </w:r>
    </w:p>
  </w:footnote>
  <w:footnote w:id="449">
    <w:p w:rsidR="00887731" w:rsidRPr="00562DB8" w:rsidRDefault="00887731" w:rsidP="004551E9">
      <w:pPr>
        <w:pStyle w:val="Textonotapie"/>
        <w:rPr>
          <w:lang w:val="en-US"/>
        </w:rPr>
      </w:pPr>
      <w:r>
        <w:rPr>
          <w:rStyle w:val="Refdenotaalpie"/>
        </w:rPr>
        <w:footnoteRef/>
      </w:r>
      <w:r w:rsidRPr="00AA2FFF">
        <w:t xml:space="preserve"> Por un análisis sobre </w:t>
      </w:r>
      <w:r>
        <w:t xml:space="preserve">la implementación del Artículo 33 en España véase: BARIFFI, F., (2013), “Implementation of Article 33 CRPD in Spain: A Rather Erratic adn Improvised Experience”, en DE BECCO, G.  </w:t>
      </w:r>
      <w:r w:rsidRPr="00562DB8">
        <w:rPr>
          <w:lang w:val="en-US"/>
        </w:rPr>
        <w:t xml:space="preserve">(Ed.), </w:t>
      </w:r>
      <w:r w:rsidRPr="00562DB8">
        <w:rPr>
          <w:i/>
          <w:lang w:val="en-US"/>
        </w:rPr>
        <w:t>Article 33 of the UN Convention on the Rights of Persons with Disabilities: National Structures for the Implementation and Monitoring of the Convention</w:t>
      </w:r>
      <w:r w:rsidRPr="00562DB8">
        <w:rPr>
          <w:lang w:val="en-US"/>
        </w:rPr>
        <w:t xml:space="preserve">, Martinus Nijhoff Publishers, Leiden-Boston, pp. 193-212. </w:t>
      </w:r>
    </w:p>
  </w:footnote>
  <w:footnote w:id="450">
    <w:p w:rsidR="00887731" w:rsidRPr="00562DB8" w:rsidRDefault="00887731" w:rsidP="004551E9">
      <w:pPr>
        <w:pStyle w:val="Pie"/>
        <w:rPr>
          <w:lang w:val="en-US"/>
        </w:rPr>
      </w:pPr>
      <w:r w:rsidRPr="00597337">
        <w:rPr>
          <w:rStyle w:val="Refdenotaalpie"/>
        </w:rPr>
        <w:footnoteRef/>
      </w:r>
      <w:r w:rsidRPr="00562DB8">
        <w:rPr>
          <w:lang w:val="en-US"/>
        </w:rPr>
        <w:t xml:space="preserve"> De </w:t>
      </w:r>
      <w:proofErr w:type="spellStart"/>
      <w:r w:rsidRPr="00562DB8">
        <w:rPr>
          <w:lang w:val="en-US"/>
        </w:rPr>
        <w:t>Beco</w:t>
      </w:r>
      <w:proofErr w:type="spellEnd"/>
      <w:r w:rsidRPr="00562DB8">
        <w:rPr>
          <w:lang w:val="en-US"/>
        </w:rPr>
        <w:t xml:space="preserve"> G, </w:t>
      </w:r>
      <w:proofErr w:type="spellStart"/>
      <w:r w:rsidRPr="00562DB8">
        <w:rPr>
          <w:lang w:val="en-US"/>
        </w:rPr>
        <w:t>Hoefmans</w:t>
      </w:r>
      <w:proofErr w:type="spellEnd"/>
      <w:r w:rsidRPr="00562DB8">
        <w:rPr>
          <w:lang w:val="en-US"/>
        </w:rPr>
        <w:t xml:space="preserve"> A, (2010) op. cit.</w:t>
      </w:r>
    </w:p>
  </w:footnote>
  <w:footnote w:id="451">
    <w:p w:rsidR="00887731" w:rsidRPr="00562DB8" w:rsidRDefault="00887731" w:rsidP="004551E9">
      <w:pPr>
        <w:pStyle w:val="Pie"/>
        <w:rPr>
          <w:lang w:val="en-US"/>
        </w:rPr>
      </w:pPr>
      <w:r w:rsidRPr="00597337">
        <w:rPr>
          <w:rStyle w:val="Refdenotaalpie"/>
        </w:rPr>
        <w:footnoteRef/>
      </w:r>
      <w:r w:rsidRPr="00562DB8">
        <w:rPr>
          <w:lang w:val="en-US"/>
        </w:rPr>
        <w:t xml:space="preserve"> </w:t>
      </w:r>
      <w:proofErr w:type="spellStart"/>
      <w:proofErr w:type="gramStart"/>
      <w:r w:rsidRPr="00562DB8">
        <w:rPr>
          <w:lang w:val="en-US"/>
        </w:rPr>
        <w:t>Ídem</w:t>
      </w:r>
      <w:proofErr w:type="spellEnd"/>
      <w:r w:rsidRPr="00562DB8">
        <w:rPr>
          <w:lang w:val="en-US"/>
        </w:rPr>
        <w:t>.</w:t>
      </w:r>
      <w:proofErr w:type="gramEnd"/>
      <w:r w:rsidRPr="00562DB8">
        <w:rPr>
          <w:lang w:val="en-US"/>
        </w:rPr>
        <w:t xml:space="preserve"> </w:t>
      </w:r>
    </w:p>
  </w:footnote>
  <w:footnote w:id="452">
    <w:p w:rsidR="00887731" w:rsidRPr="004551E9" w:rsidRDefault="00887731" w:rsidP="004551E9">
      <w:pPr>
        <w:pStyle w:val="Pie"/>
        <w:rPr>
          <w:lang w:val="en-US"/>
        </w:rPr>
      </w:pPr>
      <w:r w:rsidRPr="00597337">
        <w:rPr>
          <w:rStyle w:val="Refdenotaalpie"/>
        </w:rPr>
        <w:footnoteRef/>
      </w:r>
      <w:r w:rsidRPr="004551E9">
        <w:rPr>
          <w:lang w:val="en-US"/>
        </w:rPr>
        <w:t xml:space="preserve"> </w:t>
      </w:r>
      <w:proofErr w:type="spellStart"/>
      <w:proofErr w:type="gramStart"/>
      <w:r w:rsidRPr="004551E9">
        <w:rPr>
          <w:lang w:val="en-US"/>
        </w:rPr>
        <w:t>Ídem</w:t>
      </w:r>
      <w:proofErr w:type="spellEnd"/>
      <w:r w:rsidRPr="004551E9">
        <w:rPr>
          <w:lang w:val="en-US"/>
        </w:rPr>
        <w:t>.</w:t>
      </w:r>
      <w:proofErr w:type="gramEnd"/>
      <w:r w:rsidRPr="004551E9">
        <w:rPr>
          <w:lang w:val="en-US"/>
        </w:rPr>
        <w:t xml:space="preserve"> </w:t>
      </w:r>
    </w:p>
  </w:footnote>
  <w:footnote w:id="453">
    <w:p w:rsidR="00887731" w:rsidRPr="00597337" w:rsidRDefault="00887731" w:rsidP="004551E9">
      <w:pPr>
        <w:pStyle w:val="Pie"/>
      </w:pPr>
      <w:r w:rsidRPr="00597337">
        <w:rPr>
          <w:rStyle w:val="Refdenotaalpie"/>
        </w:rPr>
        <w:footnoteRef/>
      </w:r>
      <w:r w:rsidRPr="004551E9">
        <w:rPr>
          <w:lang w:val="en-US"/>
        </w:rPr>
        <w:t xml:space="preserve"> Por </w:t>
      </w:r>
      <w:proofErr w:type="spellStart"/>
      <w:r w:rsidRPr="004551E9">
        <w:rPr>
          <w:lang w:val="en-US"/>
        </w:rPr>
        <w:t>una</w:t>
      </w:r>
      <w:proofErr w:type="spellEnd"/>
      <w:r w:rsidRPr="004551E9">
        <w:rPr>
          <w:lang w:val="en-US"/>
        </w:rPr>
        <w:t xml:space="preserve"> </w:t>
      </w:r>
      <w:proofErr w:type="spellStart"/>
      <w:r w:rsidRPr="004551E9">
        <w:rPr>
          <w:lang w:val="en-US"/>
        </w:rPr>
        <w:t>enumeración</w:t>
      </w:r>
      <w:proofErr w:type="spellEnd"/>
      <w:r w:rsidRPr="004551E9">
        <w:rPr>
          <w:lang w:val="en-US"/>
        </w:rPr>
        <w:t xml:space="preserve"> de </w:t>
      </w:r>
      <w:proofErr w:type="spellStart"/>
      <w:r w:rsidRPr="004551E9">
        <w:rPr>
          <w:lang w:val="en-US"/>
        </w:rPr>
        <w:t>ejemplos</w:t>
      </w:r>
      <w:proofErr w:type="spellEnd"/>
      <w:r w:rsidRPr="004551E9">
        <w:rPr>
          <w:lang w:val="en-US"/>
        </w:rPr>
        <w:t xml:space="preserve"> a </w:t>
      </w:r>
      <w:proofErr w:type="spellStart"/>
      <w:r w:rsidRPr="004551E9">
        <w:rPr>
          <w:lang w:val="en-US"/>
        </w:rPr>
        <w:t>nivel</w:t>
      </w:r>
      <w:proofErr w:type="spellEnd"/>
      <w:r w:rsidRPr="004551E9">
        <w:rPr>
          <w:lang w:val="en-US"/>
        </w:rPr>
        <w:t xml:space="preserve"> </w:t>
      </w:r>
      <w:proofErr w:type="spellStart"/>
      <w:r w:rsidRPr="004551E9">
        <w:rPr>
          <w:lang w:val="en-US"/>
        </w:rPr>
        <w:t>nacional</w:t>
      </w:r>
      <w:proofErr w:type="spellEnd"/>
      <w:r w:rsidRPr="004551E9">
        <w:rPr>
          <w:lang w:val="en-US"/>
        </w:rPr>
        <w:t xml:space="preserve"> en </w:t>
      </w:r>
      <w:proofErr w:type="spellStart"/>
      <w:r w:rsidRPr="004551E9">
        <w:rPr>
          <w:lang w:val="en-US"/>
        </w:rPr>
        <w:t>relación</w:t>
      </w:r>
      <w:proofErr w:type="spellEnd"/>
      <w:r w:rsidRPr="004551E9">
        <w:rPr>
          <w:lang w:val="en-US"/>
        </w:rPr>
        <w:t xml:space="preserve"> con el </w:t>
      </w:r>
      <w:proofErr w:type="spellStart"/>
      <w:r w:rsidRPr="004551E9">
        <w:rPr>
          <w:lang w:val="en-US"/>
        </w:rPr>
        <w:t>artículo</w:t>
      </w:r>
      <w:proofErr w:type="spellEnd"/>
      <w:r w:rsidRPr="004551E9">
        <w:rPr>
          <w:lang w:val="en-US"/>
        </w:rPr>
        <w:t xml:space="preserve"> 33(1), </w:t>
      </w:r>
      <w:proofErr w:type="spellStart"/>
      <w:r w:rsidRPr="004551E9">
        <w:rPr>
          <w:lang w:val="en-US"/>
        </w:rPr>
        <w:t>Véase</w:t>
      </w:r>
      <w:proofErr w:type="spellEnd"/>
      <w:r w:rsidRPr="004551E9">
        <w:rPr>
          <w:lang w:val="en-US"/>
        </w:rPr>
        <w:t xml:space="preserve">: </w:t>
      </w:r>
      <w:r w:rsidRPr="004551E9">
        <w:rPr>
          <w:i/>
          <w:lang w:val="en-US"/>
        </w:rPr>
        <w:t>Study on the Implementation of Article 33 of the UN Convention on the Rights of Persons with Disabilities in Europe</w:t>
      </w:r>
      <w:r w:rsidRPr="004551E9">
        <w:rPr>
          <w:lang w:val="en-US"/>
        </w:rPr>
        <w:t xml:space="preserve">, Regional Office for Europe of the UN High Commissioner for Human Rights, 2011. </w:t>
      </w:r>
      <w:r w:rsidRPr="00597337">
        <w:t xml:space="preserve">Disponible en: </w:t>
      </w:r>
      <w:hyperlink r:id="rId29" w:history="1">
        <w:r w:rsidRPr="00597337">
          <w:rPr>
            <w:rStyle w:val="Hipervnculo"/>
          </w:rPr>
          <w:t>http://europe.ohchr.org/Documents/Publications/Art_33_CRPD_study.pdf</w:t>
        </w:r>
      </w:hyperlink>
      <w:r w:rsidRPr="00597337">
        <w:t xml:space="preserve">  </w:t>
      </w:r>
    </w:p>
  </w:footnote>
  <w:footnote w:id="454">
    <w:p w:rsidR="00887731" w:rsidRPr="004551E9" w:rsidRDefault="00887731" w:rsidP="004551E9">
      <w:pPr>
        <w:pStyle w:val="Pie"/>
        <w:rPr>
          <w:lang w:val="en-US"/>
        </w:rPr>
      </w:pPr>
      <w:r w:rsidRPr="00597337">
        <w:rPr>
          <w:rStyle w:val="Refdenotaalpie"/>
        </w:rPr>
        <w:footnoteRef/>
      </w:r>
      <w:r w:rsidRPr="004551E9">
        <w:rPr>
          <w:lang w:val="en-US"/>
        </w:rPr>
        <w:t xml:space="preserve"> </w:t>
      </w:r>
      <w:r w:rsidRPr="004551E9">
        <w:rPr>
          <w:caps/>
          <w:lang w:val="en-US"/>
        </w:rPr>
        <w:t>Quinn, G.,</w:t>
      </w:r>
      <w:r w:rsidRPr="004551E9">
        <w:rPr>
          <w:lang w:val="en-US"/>
        </w:rPr>
        <w:t xml:space="preserve"> (2009) op. cit. </w:t>
      </w:r>
    </w:p>
  </w:footnote>
  <w:footnote w:id="455">
    <w:p w:rsidR="00887731" w:rsidRPr="004551E9" w:rsidRDefault="00887731" w:rsidP="004551E9">
      <w:pPr>
        <w:pStyle w:val="Pie"/>
        <w:rPr>
          <w:lang w:val="en-US"/>
        </w:rPr>
      </w:pPr>
      <w:r w:rsidRPr="00597337">
        <w:rPr>
          <w:rStyle w:val="Refdenotaalpie"/>
        </w:rPr>
        <w:footnoteRef/>
      </w:r>
      <w:r w:rsidRPr="004551E9">
        <w:rPr>
          <w:lang w:val="en-US"/>
        </w:rPr>
        <w:t xml:space="preserve"> </w:t>
      </w:r>
      <w:r w:rsidRPr="004551E9">
        <w:rPr>
          <w:i/>
          <w:lang w:val="en-US"/>
        </w:rPr>
        <w:t>Intervention by National Human Rights Institutions</w:t>
      </w:r>
      <w:r w:rsidRPr="004551E9">
        <w:rPr>
          <w:lang w:val="en-US"/>
        </w:rPr>
        <w:t xml:space="preserve">, Monday, 23 January 2006, </w:t>
      </w:r>
      <w:proofErr w:type="spellStart"/>
      <w:r w:rsidRPr="004551E9">
        <w:rPr>
          <w:lang w:val="en-US"/>
        </w:rPr>
        <w:t>disponible</w:t>
      </w:r>
      <w:proofErr w:type="spellEnd"/>
      <w:r w:rsidRPr="004551E9">
        <w:rPr>
          <w:lang w:val="en-US"/>
        </w:rPr>
        <w:t xml:space="preserve"> en: </w:t>
      </w:r>
      <w:r w:rsidR="00BB3E10">
        <w:fldChar w:fldCharType="begin"/>
      </w:r>
      <w:r w:rsidR="00BB3E10" w:rsidRPr="00F71B0D">
        <w:rPr>
          <w:lang w:val="en-US"/>
        </w:rPr>
        <w:instrText>HYPERLINK "http://www.un.org/esa/socdev/enable/rights/ahc7docs/ahc7nhrimonit.doc"</w:instrText>
      </w:r>
      <w:r w:rsidR="00BB3E10">
        <w:fldChar w:fldCharType="separate"/>
      </w:r>
      <w:r w:rsidRPr="004551E9">
        <w:rPr>
          <w:lang w:val="en-US"/>
        </w:rPr>
        <w:t>http://www.un.org/esa/socdev/enable/rights/ahc7docs/ahc7nhrimonit.doc</w:t>
      </w:r>
      <w:r w:rsidR="00BB3E10">
        <w:fldChar w:fldCharType="end"/>
      </w:r>
    </w:p>
  </w:footnote>
  <w:footnote w:id="456">
    <w:p w:rsidR="00887731" w:rsidRPr="00562DB8" w:rsidRDefault="00887731" w:rsidP="004551E9">
      <w:pPr>
        <w:pStyle w:val="Pie"/>
        <w:rPr>
          <w:lang w:val="en-US"/>
        </w:rPr>
      </w:pPr>
      <w:r w:rsidRPr="00597337">
        <w:rPr>
          <w:rStyle w:val="Refdenotaalpie"/>
        </w:rPr>
        <w:footnoteRef/>
      </w:r>
      <w:r w:rsidRPr="00562DB8">
        <w:rPr>
          <w:lang w:val="en-US"/>
        </w:rPr>
        <w:t xml:space="preserve"> </w:t>
      </w:r>
      <w:proofErr w:type="gramStart"/>
      <w:r w:rsidRPr="00562DB8">
        <w:rPr>
          <w:lang w:val="en-US"/>
        </w:rPr>
        <w:t xml:space="preserve">Report by the United Nations Special </w:t>
      </w:r>
      <w:proofErr w:type="spellStart"/>
      <w:r w:rsidRPr="00562DB8">
        <w:rPr>
          <w:lang w:val="en-US"/>
        </w:rPr>
        <w:t>Rapporteur</w:t>
      </w:r>
      <w:proofErr w:type="spellEnd"/>
      <w:r w:rsidRPr="00562DB8">
        <w:rPr>
          <w:lang w:val="en-US"/>
        </w:rPr>
        <w:t xml:space="preserve"> on Disability on the Question of Monitoring, </w:t>
      </w:r>
      <w:proofErr w:type="spellStart"/>
      <w:r w:rsidRPr="00562DB8">
        <w:rPr>
          <w:lang w:val="en-US"/>
        </w:rPr>
        <w:t>punto</w:t>
      </w:r>
      <w:proofErr w:type="spellEnd"/>
      <w:r w:rsidRPr="00562DB8">
        <w:rPr>
          <w:lang w:val="en-US"/>
        </w:rPr>
        <w:t xml:space="preserve"> 1.4.</w:t>
      </w:r>
      <w:proofErr w:type="gramEnd"/>
    </w:p>
  </w:footnote>
  <w:footnote w:id="457">
    <w:p w:rsidR="00887731" w:rsidRPr="00597337" w:rsidRDefault="00887731" w:rsidP="004551E9">
      <w:pPr>
        <w:pStyle w:val="Pie"/>
        <w:rPr>
          <w:lang w:eastAsia="es-ES_tradnl"/>
        </w:rPr>
      </w:pPr>
      <w:r w:rsidRPr="00597337">
        <w:rPr>
          <w:rStyle w:val="Refdenotaalpie"/>
        </w:rPr>
        <w:footnoteRef/>
      </w:r>
      <w:r w:rsidRPr="00597337">
        <w:t xml:space="preserve"> </w:t>
      </w:r>
      <w:r w:rsidRPr="00597337">
        <w:rPr>
          <w:lang w:eastAsia="es-ES_tradnl"/>
        </w:rPr>
        <w:t>Resolución de la Asamblea General de la ONU sobre Instituciones nacionales de promoción y protección de los derechos humanos (A/RES/48/134, de 4 de marzo de 1994).</w:t>
      </w:r>
    </w:p>
  </w:footnote>
  <w:footnote w:id="458">
    <w:p w:rsidR="00887731" w:rsidRPr="00562DB8" w:rsidRDefault="00887731" w:rsidP="004551E9">
      <w:pPr>
        <w:pStyle w:val="Pie"/>
        <w:rPr>
          <w:lang w:val="en-US"/>
        </w:rPr>
      </w:pPr>
      <w:r w:rsidRPr="00597337">
        <w:rPr>
          <w:rStyle w:val="Refdenotaalpie"/>
        </w:rPr>
        <w:footnoteRef/>
      </w:r>
      <w:r w:rsidRPr="00562DB8">
        <w:rPr>
          <w:lang w:val="en-US"/>
        </w:rPr>
        <w:t xml:space="preserve"> </w:t>
      </w:r>
      <w:r w:rsidRPr="00562DB8">
        <w:rPr>
          <w:caps/>
          <w:lang w:val="en-US"/>
        </w:rPr>
        <w:t>de Beco, G</w:t>
      </w:r>
      <w:r w:rsidRPr="00562DB8">
        <w:rPr>
          <w:lang w:val="en-US"/>
        </w:rPr>
        <w:t xml:space="preserve">., (2007) “National Human Rights Institutions in Europe”, </w:t>
      </w:r>
      <w:r w:rsidRPr="00562DB8">
        <w:rPr>
          <w:i/>
          <w:lang w:val="en-US"/>
        </w:rPr>
        <w:t>Human Rights Law Review</w:t>
      </w:r>
      <w:r w:rsidRPr="00562DB8">
        <w:rPr>
          <w:lang w:val="en-US"/>
        </w:rPr>
        <w:t>, Vol. 7(2), pp. 331-370</w:t>
      </w:r>
    </w:p>
  </w:footnote>
  <w:footnote w:id="459">
    <w:p w:rsidR="00887731" w:rsidRPr="00562DB8" w:rsidRDefault="00887731" w:rsidP="004551E9">
      <w:pPr>
        <w:pStyle w:val="Pie"/>
        <w:rPr>
          <w:lang w:val="en-US"/>
        </w:rPr>
      </w:pPr>
      <w:r w:rsidRPr="00597337">
        <w:rPr>
          <w:rStyle w:val="Refdenotaalpie"/>
        </w:rPr>
        <w:footnoteRef/>
      </w:r>
      <w:r w:rsidRPr="004551E9">
        <w:rPr>
          <w:lang w:val="en-US"/>
        </w:rPr>
        <w:t xml:space="preserve"> </w:t>
      </w:r>
      <w:proofErr w:type="gramStart"/>
      <w:r w:rsidRPr="004551E9">
        <w:rPr>
          <w:caps/>
          <w:lang w:val="en-US"/>
        </w:rPr>
        <w:t>de Beco, G.,</w:t>
      </w:r>
      <w:r w:rsidRPr="004551E9">
        <w:rPr>
          <w:lang w:val="en-US"/>
        </w:rPr>
        <w:t xml:space="preserve"> (2011) “Article 33 (2) of the UN Convention on the Rights of Persons with Disabilities.</w:t>
      </w:r>
      <w:proofErr w:type="gramEnd"/>
      <w:r w:rsidRPr="004551E9">
        <w:rPr>
          <w:lang w:val="en-US"/>
        </w:rPr>
        <w:t xml:space="preserve"> </w:t>
      </w:r>
      <w:r w:rsidRPr="00562DB8">
        <w:rPr>
          <w:lang w:val="en-US"/>
        </w:rPr>
        <w:t xml:space="preserve">Another Role for National Human Rights Institutions?”, </w:t>
      </w:r>
      <w:r w:rsidRPr="00562DB8">
        <w:rPr>
          <w:i/>
          <w:lang w:val="en-US"/>
        </w:rPr>
        <w:t>Netherlands Quarterly of Human Rights,</w:t>
      </w:r>
      <w:r w:rsidRPr="00562DB8">
        <w:rPr>
          <w:lang w:val="en-US"/>
        </w:rPr>
        <w:t xml:space="preserve"> Vol.29(1), pp. 84-106</w:t>
      </w:r>
    </w:p>
  </w:footnote>
  <w:footnote w:id="460">
    <w:p w:rsidR="00887731" w:rsidRPr="00597337" w:rsidRDefault="00887731" w:rsidP="004551E9">
      <w:pPr>
        <w:pStyle w:val="Pie"/>
      </w:pPr>
      <w:r w:rsidRPr="00597337">
        <w:rPr>
          <w:rStyle w:val="Refdenotaalpie"/>
        </w:rPr>
        <w:footnoteRef/>
      </w:r>
      <w:r w:rsidRPr="00597337">
        <w:t xml:space="preserve"> PALACIOS, A., (2008), op. cit..</w:t>
      </w:r>
    </w:p>
  </w:footnote>
  <w:footnote w:id="461">
    <w:p w:rsidR="00887731" w:rsidRPr="00597337" w:rsidRDefault="00887731" w:rsidP="004551E9">
      <w:pPr>
        <w:pStyle w:val="Pie"/>
        <w:rPr>
          <w:lang w:val="es-ES_tradnl"/>
        </w:rPr>
      </w:pPr>
      <w:r w:rsidRPr="00597337">
        <w:rPr>
          <w:rStyle w:val="Refdenotaalpie"/>
        </w:rPr>
        <w:footnoteRef/>
      </w:r>
      <w:r w:rsidRPr="00597337">
        <w:t xml:space="preserve"> </w:t>
      </w:r>
      <w:r w:rsidRPr="00597337">
        <w:rPr>
          <w:caps/>
        </w:rPr>
        <w:t>Escobar Hernández, C.,</w:t>
      </w:r>
      <w:r w:rsidRPr="00597337">
        <w:t xml:space="preserve"> (2005) “La Protección Internacional de los Derechos Humanos”, en </w:t>
      </w:r>
      <w:r w:rsidRPr="00597337">
        <w:rPr>
          <w:caps/>
          <w:lang w:val="es-ES_tradnl"/>
        </w:rPr>
        <w:t>Diez de Velasco, M.</w:t>
      </w:r>
      <w:r w:rsidRPr="00597337">
        <w:rPr>
          <w:lang w:val="es-ES_tradnl"/>
        </w:rPr>
        <w:t xml:space="preserve"> (Coord),</w:t>
      </w:r>
      <w:r w:rsidRPr="00597337">
        <w:rPr>
          <w:i/>
        </w:rPr>
        <w:t xml:space="preserve"> Instituciones de Derecho Internacional Público</w:t>
      </w:r>
      <w:r w:rsidRPr="00597337">
        <w:rPr>
          <w:lang w:val="es-ES_tradnl"/>
        </w:rPr>
        <w:t>, 15º ed., Tecnos, Madrid, p.632</w:t>
      </w:r>
    </w:p>
  </w:footnote>
  <w:footnote w:id="462">
    <w:p w:rsidR="00887731" w:rsidRPr="00597337" w:rsidRDefault="00887731" w:rsidP="004551E9">
      <w:pPr>
        <w:pStyle w:val="Pie"/>
      </w:pPr>
      <w:r w:rsidRPr="00597337">
        <w:footnoteRef/>
      </w:r>
      <w:r w:rsidRPr="00597337">
        <w:t xml:space="preserve"> MARIÑO MENÉNDEZ, F., (2005) op. cit, […Las técnicas de control se sentido estricto son de naturaleza administrativa y deben diferenciarse de las técnicas jurisdiccionales. En efecto, la función jurisdiccional internacional se ejerce en sentido propio para la solución, sobre la base del Derecho Internacional (o ex aequo et bono si las partes dan su consentimiento), de las controversias que las partes someten a jueces independientes de todo poder estatal, cuyas sentencias son definitivas y obligatorias para las partes en el proceso. En cambio (aparte el caso de los controles directamente interestatales) los procedimientos de control propiamente dichos son realizados, a instancia de parte o </w:t>
      </w:r>
      <w:r w:rsidRPr="00597337">
        <w:rPr>
          <w:i/>
        </w:rPr>
        <w:t>motu propio</w:t>
      </w:r>
      <w:r w:rsidRPr="00597337">
        <w:t xml:space="preserve">, por órganos internacionales, con la finalidad de verificar, como se ha indicado, si una conducta estatal se adecúa a una norma internacional, pero no para conocer de controversias internacionales que ya existen antes de iniciarse el procedimiento, ni tampoco con la finalidad de “condenar” a un hipotético violador de la propia norma. Por ello un procedimiento de control nunca finaliza con una dedición jurídicamente vinculante, que produzca un efecto de “cosa juzgada”…] </w:t>
      </w:r>
    </w:p>
  </w:footnote>
  <w:footnote w:id="463">
    <w:p w:rsidR="00887731" w:rsidRPr="004551E9" w:rsidRDefault="00887731" w:rsidP="004551E9">
      <w:pPr>
        <w:pStyle w:val="Pie"/>
        <w:rPr>
          <w:lang w:val="en-US"/>
        </w:rPr>
      </w:pPr>
      <w:r w:rsidRPr="00597337">
        <w:rPr>
          <w:rStyle w:val="Refdenotaalpie"/>
        </w:rPr>
        <w:footnoteRef/>
      </w:r>
      <w:r w:rsidRPr="004551E9">
        <w:rPr>
          <w:lang w:val="en-US"/>
        </w:rPr>
        <w:t xml:space="preserve"> </w:t>
      </w:r>
      <w:proofErr w:type="spellStart"/>
      <w:r w:rsidRPr="004551E9">
        <w:rPr>
          <w:lang w:val="en-US"/>
        </w:rPr>
        <w:t>Vid</w:t>
      </w:r>
      <w:proofErr w:type="spellEnd"/>
      <w:r w:rsidRPr="004551E9">
        <w:rPr>
          <w:lang w:val="en-US"/>
        </w:rPr>
        <w:t>, Background Documents -Article 33 - National implementation and monitoring, en: http://www.un.org/esa/socdev/enable/rights/ahcstata33bkgrnd.htm</w:t>
      </w:r>
    </w:p>
  </w:footnote>
  <w:footnote w:id="464">
    <w:p w:rsidR="00887731" w:rsidRPr="00597337" w:rsidRDefault="00887731" w:rsidP="004551E9">
      <w:pPr>
        <w:pStyle w:val="Pie"/>
      </w:pPr>
      <w:r w:rsidRPr="00597337">
        <w:rPr>
          <w:rStyle w:val="Refdenotaalpie"/>
        </w:rPr>
        <w:footnoteRef/>
      </w:r>
      <w:r w:rsidRPr="00597337">
        <w:t xml:space="preserve"> Las delegaciones de China, la Federación Rusa, Australia y Sudán manifestaron abiertamente, en la última reunión, su oposición a la creación de un órgano especializado basándose en que la discapacidad era un tema transversal, y por tanto, correspondía que los otros órganos sean los que vigilen lo dispuesto por la nueva convención.</w:t>
      </w:r>
    </w:p>
  </w:footnote>
  <w:footnote w:id="465">
    <w:p w:rsidR="00887731" w:rsidRPr="004551E9" w:rsidRDefault="00887731" w:rsidP="004551E9">
      <w:pPr>
        <w:pStyle w:val="Pie"/>
        <w:rPr>
          <w:b/>
          <w:lang w:val="en-US"/>
        </w:rPr>
      </w:pPr>
      <w:r w:rsidRPr="00597337">
        <w:rPr>
          <w:rStyle w:val="Refdenotaalpie"/>
        </w:rPr>
        <w:footnoteRef/>
      </w:r>
      <w:r w:rsidRPr="004551E9">
        <w:rPr>
          <w:lang w:val="en-US"/>
        </w:rPr>
        <w:t xml:space="preserve"> </w:t>
      </w:r>
      <w:proofErr w:type="spellStart"/>
      <w:r w:rsidRPr="004551E9">
        <w:rPr>
          <w:lang w:val="en-US"/>
        </w:rPr>
        <w:t>Véase</w:t>
      </w:r>
      <w:proofErr w:type="spellEnd"/>
      <w:r w:rsidRPr="004551E9">
        <w:rPr>
          <w:lang w:val="en-US"/>
        </w:rPr>
        <w:t xml:space="preserve"> por </w:t>
      </w:r>
      <w:proofErr w:type="spellStart"/>
      <w:r w:rsidRPr="004551E9">
        <w:rPr>
          <w:lang w:val="en-US"/>
        </w:rPr>
        <w:t>ejemplo</w:t>
      </w:r>
      <w:proofErr w:type="spellEnd"/>
      <w:r w:rsidRPr="004551E9">
        <w:rPr>
          <w:lang w:val="en-US"/>
        </w:rPr>
        <w:t xml:space="preserve">: Compilation of proposals on a monitoring mechanism for an International Convention on the Rights of Persons with Disabilities, </w:t>
      </w:r>
      <w:proofErr w:type="spellStart"/>
      <w:r w:rsidRPr="004551E9">
        <w:rPr>
          <w:lang w:val="en-US"/>
        </w:rPr>
        <w:t>Preparado</w:t>
      </w:r>
      <w:proofErr w:type="spellEnd"/>
      <w:r w:rsidRPr="004551E9">
        <w:rPr>
          <w:lang w:val="en-US"/>
        </w:rPr>
        <w:t xml:space="preserve"> por la </w:t>
      </w:r>
      <w:proofErr w:type="spellStart"/>
      <w:r w:rsidRPr="004551E9">
        <w:rPr>
          <w:lang w:val="en-US"/>
        </w:rPr>
        <w:t>delegación</w:t>
      </w:r>
      <w:proofErr w:type="spellEnd"/>
      <w:r w:rsidRPr="004551E9">
        <w:rPr>
          <w:lang w:val="en-US"/>
        </w:rPr>
        <w:t xml:space="preserve"> de México en </w:t>
      </w:r>
      <w:proofErr w:type="spellStart"/>
      <w:r w:rsidRPr="004551E9">
        <w:rPr>
          <w:lang w:val="en-US"/>
        </w:rPr>
        <w:t>su</w:t>
      </w:r>
      <w:proofErr w:type="spellEnd"/>
      <w:r w:rsidRPr="004551E9">
        <w:rPr>
          <w:lang w:val="en-US"/>
        </w:rPr>
        <w:t xml:space="preserve"> </w:t>
      </w:r>
      <w:proofErr w:type="spellStart"/>
      <w:r w:rsidRPr="004551E9">
        <w:rPr>
          <w:lang w:val="en-US"/>
        </w:rPr>
        <w:t>calidad</w:t>
      </w:r>
      <w:proofErr w:type="spellEnd"/>
      <w:r w:rsidRPr="004551E9">
        <w:rPr>
          <w:lang w:val="en-US"/>
        </w:rPr>
        <w:t xml:space="preserve"> de </w:t>
      </w:r>
      <w:proofErr w:type="spellStart"/>
      <w:r w:rsidRPr="004551E9">
        <w:rPr>
          <w:lang w:val="en-US"/>
        </w:rPr>
        <w:t>facilitador</w:t>
      </w:r>
      <w:proofErr w:type="spellEnd"/>
      <w:r w:rsidRPr="004551E9">
        <w:rPr>
          <w:lang w:val="en-US"/>
        </w:rPr>
        <w:t>, New York, May 12, 2006; y Facilitator's proposal on draft provisions of an implementing mechanism, 11 August 2006 (</w:t>
      </w:r>
      <w:r w:rsidR="00BB3E10">
        <w:fldChar w:fldCharType="begin"/>
      </w:r>
      <w:r w:rsidR="00BB3E10" w:rsidRPr="00F71B0D">
        <w:rPr>
          <w:lang w:val="en-US"/>
        </w:rPr>
        <w:instrText>HYPERLINK "http://www.un.org/esa/socdev/enable/rights/ahc8documents.htm"</w:instrText>
      </w:r>
      <w:r w:rsidR="00BB3E10">
        <w:fldChar w:fldCharType="separate"/>
      </w:r>
      <w:r w:rsidRPr="004551E9">
        <w:rPr>
          <w:lang w:val="en-US"/>
        </w:rPr>
        <w:t>http://www.un.org/esa/socdev/enable/rights/ahc8documents.htm</w:t>
      </w:r>
      <w:r w:rsidR="00BB3E10">
        <w:fldChar w:fldCharType="end"/>
      </w:r>
      <w:r w:rsidRPr="004551E9">
        <w:rPr>
          <w:lang w:val="en-US"/>
        </w:rPr>
        <w:t>)</w:t>
      </w:r>
      <w:r w:rsidRPr="004551E9">
        <w:rPr>
          <w:b/>
          <w:lang w:val="en-US"/>
        </w:rPr>
        <w:t xml:space="preserve">  </w:t>
      </w:r>
    </w:p>
  </w:footnote>
  <w:footnote w:id="466">
    <w:p w:rsidR="00887731" w:rsidRPr="00562DB8" w:rsidRDefault="00887731" w:rsidP="004551E9">
      <w:pPr>
        <w:pStyle w:val="Pie"/>
        <w:rPr>
          <w:lang w:val="en-US"/>
        </w:rPr>
      </w:pPr>
      <w:r w:rsidRPr="00597337">
        <w:rPr>
          <w:rStyle w:val="Refdenotaalpie"/>
        </w:rPr>
        <w:footnoteRef/>
      </w:r>
      <w:r w:rsidRPr="00562DB8">
        <w:rPr>
          <w:lang w:val="en-US"/>
        </w:rPr>
        <w:t xml:space="preserve"> Monitoring implementation of the international human rights instruments: an overview of the current treaty body system; Background conference document prepared by the Office of the United Nations High Commissioner for Human Rights, document prepared by the Office of the High Commissioner for Human Rights pursuant to paragraph 6 of General Assembly resolution 59/198 of 20 December 2004.; Expert paper on existing monitoring mechanisms, possible relevant improvements and possible innovations in monitoring mechanisms for a comprehensive and integral international convention on the protection and promotion of the rights and dignity of persons with disabilities: Background conference document prepared by the Office of the United Nations High Commissioner for Human Rights, A/AC.265/2006/CRP.4; </w:t>
      </w:r>
      <w:proofErr w:type="spellStart"/>
      <w:r w:rsidRPr="00562DB8">
        <w:rPr>
          <w:lang w:val="en-US"/>
        </w:rPr>
        <w:t>Vid</w:t>
      </w:r>
      <w:proofErr w:type="spellEnd"/>
      <w:r w:rsidRPr="00562DB8">
        <w:rPr>
          <w:lang w:val="en-US"/>
        </w:rPr>
        <w:t xml:space="preserve">., </w:t>
      </w:r>
      <w:proofErr w:type="spellStart"/>
      <w:r w:rsidRPr="00562DB8">
        <w:rPr>
          <w:lang w:val="en-US"/>
        </w:rPr>
        <w:t>asimismo</w:t>
      </w:r>
      <w:proofErr w:type="spellEnd"/>
      <w:r w:rsidRPr="00562DB8">
        <w:rPr>
          <w:lang w:val="en-US"/>
        </w:rPr>
        <w:t xml:space="preserve">: Report by the United Nations Special </w:t>
      </w:r>
      <w:proofErr w:type="spellStart"/>
      <w:r w:rsidRPr="00562DB8">
        <w:rPr>
          <w:lang w:val="en-US"/>
        </w:rPr>
        <w:t>Rapporteur</w:t>
      </w:r>
      <w:proofErr w:type="spellEnd"/>
      <w:r w:rsidRPr="00562DB8">
        <w:rPr>
          <w:lang w:val="en-US"/>
        </w:rPr>
        <w:t xml:space="preserve"> on Disability on the Question of Monitoring   </w:t>
      </w:r>
    </w:p>
  </w:footnote>
  <w:footnote w:id="467">
    <w:p w:rsidR="00887731" w:rsidRPr="00597337" w:rsidRDefault="00887731" w:rsidP="004551E9">
      <w:pPr>
        <w:pStyle w:val="Pie"/>
      </w:pPr>
      <w:r w:rsidRPr="00597337">
        <w:rPr>
          <w:rStyle w:val="Refdenotaalpie"/>
        </w:rPr>
        <w:footnoteRef/>
      </w:r>
      <w:r w:rsidRPr="00597337">
        <w:t xml:space="preserve"> </w:t>
      </w:r>
      <w:proofErr w:type="spellStart"/>
      <w:r w:rsidRPr="00597337">
        <w:t>Vease</w:t>
      </w:r>
      <w:proofErr w:type="spellEnd"/>
      <w:r w:rsidRPr="00597337">
        <w:t xml:space="preserve"> Palacios, A., &amp; Bariffi, F., (2007), op. cit.</w:t>
      </w:r>
    </w:p>
  </w:footnote>
  <w:footnote w:id="468">
    <w:p w:rsidR="00887731" w:rsidRPr="00597337" w:rsidRDefault="00887731" w:rsidP="004551E9">
      <w:pPr>
        <w:pStyle w:val="Pie"/>
      </w:pPr>
      <w:r w:rsidRPr="00597337">
        <w:rPr>
          <w:rStyle w:val="Refdenotaalpie"/>
        </w:rPr>
        <w:footnoteRef/>
      </w:r>
      <w:r w:rsidRPr="00597337">
        <w:t xml:space="preserve"> Hacia fines de 2013 el Comité ha analizado y emitido observaciones finales respecto de Túnez, España, Perú, Argentina, China, Hungría, Par</w:t>
      </w:r>
      <w:r>
        <w:t xml:space="preserve">aguay, Australia, El Salvador, </w:t>
      </w:r>
      <w:r w:rsidRPr="00597337">
        <w:t>Austria</w:t>
      </w:r>
      <w:r>
        <w:t xml:space="preserve">, Suecia, Costa Rica y </w:t>
      </w:r>
      <w:proofErr w:type="spellStart"/>
      <w:r>
        <w:t>Azerbaijan</w:t>
      </w:r>
      <w:proofErr w:type="spellEnd"/>
      <w:r w:rsidRPr="00597337">
        <w:t xml:space="preserve">. </w:t>
      </w:r>
    </w:p>
  </w:footnote>
  <w:footnote w:id="469">
    <w:p w:rsidR="00887731" w:rsidRPr="00597337" w:rsidRDefault="00887731" w:rsidP="004551E9">
      <w:pPr>
        <w:pStyle w:val="Pie"/>
      </w:pPr>
      <w:r w:rsidRPr="00597337">
        <w:rPr>
          <w:rStyle w:val="Refdenotaalpie"/>
        </w:rPr>
        <w:footnoteRef/>
      </w:r>
      <w:r w:rsidRPr="00597337">
        <w:t xml:space="preserve"> Directrices relativas al documento específico sobre la Convención que deben presentar los Estados partes con arreglo al párrafo 1 del artículo 35 de la Convención sobre los derechos de las personas con discapacidad, Comité de la ONU sobre los Derechos de las Personas con Discapacidad, CRPD/C/2/3, 18 de noviembre de 2009. </w:t>
      </w:r>
    </w:p>
  </w:footnote>
  <w:footnote w:id="470">
    <w:p w:rsidR="00887731" w:rsidRPr="00597337" w:rsidRDefault="00887731" w:rsidP="004551E9">
      <w:pPr>
        <w:pStyle w:val="Pie"/>
      </w:pPr>
      <w:r w:rsidRPr="00597337">
        <w:rPr>
          <w:rStyle w:val="Refdenotaalpie"/>
        </w:rPr>
        <w:footnoteRef/>
      </w:r>
      <w:r w:rsidRPr="00597337">
        <w:t xml:space="preserve"> </w:t>
      </w:r>
      <w:r>
        <w:t>Hasta el</w:t>
      </w:r>
      <w:r w:rsidRPr="00597337">
        <w:t xml:space="preserve"> </w:t>
      </w:r>
      <w:r>
        <w:t xml:space="preserve">11º período de sesiones (31 de marzo a 11 de abril de 2014) </w:t>
      </w:r>
      <w:r w:rsidRPr="00597337">
        <w:t xml:space="preserve">el Comité ha </w:t>
      </w:r>
      <w:r>
        <w:t xml:space="preserve">adoptado dos comentarios generales: </w:t>
      </w:r>
      <w:r w:rsidRPr="005B492A">
        <w:t>Observación general Nº 1 (2014), Artículo 12: Igual reconocimiento como persona ante la ley, CRPD/C/GC/1, 19 de mayo de 2014; Observación general Nº 2 (2014), Artículo 9: Accesibilidad, CRPD/C/GC/2, 11 de abril de 2014</w:t>
      </w:r>
      <w:r>
        <w:t>.</w:t>
      </w:r>
      <w:r w:rsidRPr="00597337">
        <w:t xml:space="preserve"> </w:t>
      </w:r>
    </w:p>
  </w:footnote>
  <w:footnote w:id="471">
    <w:p w:rsidR="00887731" w:rsidRPr="00597337" w:rsidRDefault="00887731" w:rsidP="004551E9">
      <w:pPr>
        <w:pStyle w:val="Pie"/>
      </w:pPr>
      <w:r w:rsidRPr="00597337">
        <w:rPr>
          <w:rStyle w:val="Refdenotaalpie"/>
        </w:rPr>
        <w:footnoteRef/>
      </w:r>
      <w:r w:rsidRPr="00597337">
        <w:t xml:space="preserve"> Aunque el procedimiento es similar al del resto de los Órganos de Tratados, el propio Comité de la CDPD ha adoptado dos documentos específicos denominados: Hoja informativa sobre el procedimiento para presentar comunicaciones al Comité sobre los Derechos de las Personas con Discapacidad de conformidad con el Protocolo facultativo de la Convención, CRPD/C/5/2/Rev.1, 12 de abril de 2012; y Directrices revisadas para la presentación de comunicaciones al Comité sobre los Derechos de las Personas con Discapacidad con arreglo al Protocolo Facultativo de la Convención, aprobadas por el Comité sobre los Derechos de las Personas con Discapacidad, CRPD/C/5/3/Rev.1, 5 de junio de 2012.</w:t>
      </w:r>
    </w:p>
  </w:footnote>
  <w:footnote w:id="472">
    <w:p w:rsidR="00887731" w:rsidRPr="00597337" w:rsidRDefault="00887731" w:rsidP="004551E9">
      <w:pPr>
        <w:pStyle w:val="Pie"/>
      </w:pPr>
      <w:r w:rsidRPr="00597337">
        <w:rPr>
          <w:rStyle w:val="Refdenotaalpie"/>
          <w:szCs w:val="20"/>
        </w:rPr>
        <w:footnoteRef/>
      </w:r>
      <w:r w:rsidRPr="00597337">
        <w:t xml:space="preserve"> El Comité considerará inadmisible una comunicación cuando: a) Sea anónima; b) Constituya un abuso del derecho a presentar una comunicación o sea incompatible con las disposiciones de la Convención; c) Se refiera a una cuestión que ya haya sido examinada por el Comité o ya haya sido o esté siendo examinada de conformidad con otro procedimiento de investigación o arreglo; d) No se hayan agotado todos los recursos internos disponibles, salvo que la tramitación de esos recursos se prolongue injustificadamente o sea improbable que con ellos se logre un remedio efectivo; e) Sea manifiestamente infundada o esté insuficientemente sustanciada; o f) Los hechos objeto de la comunicación hubieran sucedido antes de la fecha de entrada en vigor del presente Protocolo para el Estado Parte interesado, salvo que esos hechos continuasen produciéndose después de esa fecha.</w:t>
      </w:r>
    </w:p>
  </w:footnote>
  <w:footnote w:id="473">
    <w:p w:rsidR="00887731" w:rsidRPr="00B773D0" w:rsidRDefault="00887731" w:rsidP="004551E9">
      <w:pPr>
        <w:pStyle w:val="Pie"/>
      </w:pPr>
      <w:r w:rsidRPr="00597337">
        <w:rPr>
          <w:rStyle w:val="Refdenotaalpie"/>
        </w:rPr>
        <w:footnoteRef/>
      </w:r>
      <w:r w:rsidRPr="00597337">
        <w:t xml:space="preserve"> </w:t>
      </w:r>
      <w:r w:rsidRPr="00B773D0">
        <w:t xml:space="preserve">Hasta el 11º período de sesiones (31 de marzo a 11 de abril de 2014) el Comité ha analizado las  reclamaciones individuales: </w:t>
      </w:r>
      <w:proofErr w:type="spellStart"/>
      <w:r w:rsidRPr="00B773D0">
        <w:t>Szilvia</w:t>
      </w:r>
      <w:proofErr w:type="spellEnd"/>
      <w:r w:rsidRPr="00B773D0">
        <w:t xml:space="preserve"> </w:t>
      </w:r>
      <w:proofErr w:type="spellStart"/>
      <w:r w:rsidRPr="00B773D0">
        <w:t>Nyusti</w:t>
      </w:r>
      <w:proofErr w:type="spellEnd"/>
      <w:r w:rsidRPr="00B773D0">
        <w:t xml:space="preserve">, </w:t>
      </w:r>
      <w:proofErr w:type="spellStart"/>
      <w:r w:rsidRPr="00B773D0">
        <w:t>Péter</w:t>
      </w:r>
      <w:proofErr w:type="spellEnd"/>
      <w:r w:rsidRPr="00B773D0">
        <w:t xml:space="preserve"> </w:t>
      </w:r>
      <w:proofErr w:type="spellStart"/>
      <w:r w:rsidRPr="00B773D0">
        <w:t>Takács</w:t>
      </w:r>
      <w:proofErr w:type="spellEnd"/>
      <w:r w:rsidRPr="00B773D0">
        <w:t xml:space="preserve"> and </w:t>
      </w:r>
      <w:proofErr w:type="spellStart"/>
      <w:r w:rsidRPr="00B773D0">
        <w:t>Tamás</w:t>
      </w:r>
      <w:proofErr w:type="spellEnd"/>
      <w:r w:rsidRPr="00B773D0">
        <w:t xml:space="preserve"> </w:t>
      </w:r>
      <w:proofErr w:type="spellStart"/>
      <w:r w:rsidRPr="00B773D0">
        <w:t>Fazekas</w:t>
      </w:r>
      <w:proofErr w:type="spellEnd"/>
      <w:r w:rsidRPr="00B773D0">
        <w:t xml:space="preserve"> v </w:t>
      </w:r>
      <w:proofErr w:type="spellStart"/>
      <w:r w:rsidRPr="00B773D0">
        <w:t>Hungary</w:t>
      </w:r>
      <w:proofErr w:type="spellEnd"/>
      <w:r w:rsidRPr="00B773D0">
        <w:t xml:space="preserve"> (Comunicación Nº 1/2010), CRPD/C/9/D/1/2010, 21 de junio de 2013; </w:t>
      </w:r>
      <w:proofErr w:type="spellStart"/>
      <w:r w:rsidRPr="00B773D0">
        <w:t>Liliane</w:t>
      </w:r>
      <w:proofErr w:type="spellEnd"/>
      <w:r w:rsidRPr="00B773D0">
        <w:t xml:space="preserve"> </w:t>
      </w:r>
      <w:proofErr w:type="spellStart"/>
      <w:r w:rsidRPr="00B773D0">
        <w:t>Gröninger</w:t>
      </w:r>
      <w:proofErr w:type="spellEnd"/>
      <w:r w:rsidRPr="00B773D0">
        <w:t xml:space="preserve"> v. Alemania (Comunicación Nº 2(2010), CRPD/C/11/D/2/2010, 4 de abril de 2014; H.M. v Sweden (Comunicación Nº 3/2011) CRPD/C/7/D/3/2011, 21 de mayo de 2012; Zsolt Bujdosó and five others v. Hungary (Communication No. 4/2011), CRPD/C/10/D/4/2011, 20 September 2013; Kenneth McAlpine v. The United Kingdom of Great Britain and Northern Ireland, (Comunicación Nº 6/2011) CRPD/C/8/D/6/2011, 13 de noviembre de 2012; X. v. Argentina (Comunicación Nº 8/2012) CRPD/C/11/D/8/2012, 11 de abril de 2014. </w:t>
      </w:r>
    </w:p>
  </w:footnote>
  <w:footnote w:id="474">
    <w:p w:rsidR="00887731" w:rsidRPr="004551E9" w:rsidRDefault="00887731" w:rsidP="004551E9">
      <w:pPr>
        <w:pStyle w:val="Pie"/>
        <w:rPr>
          <w:lang w:val="en-US"/>
        </w:rPr>
      </w:pPr>
      <w:r w:rsidRPr="00597337">
        <w:rPr>
          <w:rStyle w:val="Refdenotaalpie"/>
        </w:rPr>
        <w:footnoteRef/>
      </w:r>
      <w:r w:rsidRPr="004551E9">
        <w:rPr>
          <w:lang w:val="en-US"/>
        </w:rPr>
        <w:t xml:space="preserve"> </w:t>
      </w:r>
      <w:proofErr w:type="gramStart"/>
      <w:r w:rsidRPr="004551E9">
        <w:rPr>
          <w:lang w:val="en-US"/>
        </w:rPr>
        <w:t>Provisional rules of procedure for the Conferences of States Parties to the Convention on the Rights of Persons with Disabilities, CRPD/CSP/2008/3, 14 October 2008.</w:t>
      </w:r>
      <w:proofErr w:type="gramEnd"/>
    </w:p>
  </w:footnote>
  <w:footnote w:id="475">
    <w:p w:rsidR="00887731" w:rsidRPr="00562DB8" w:rsidRDefault="00887731" w:rsidP="004551E9">
      <w:pPr>
        <w:pStyle w:val="Pie"/>
        <w:rPr>
          <w:lang w:val="en-US"/>
        </w:rPr>
      </w:pPr>
      <w:r w:rsidRPr="00597337">
        <w:rPr>
          <w:rStyle w:val="Refdenotaalpie"/>
        </w:rPr>
        <w:footnoteRef/>
      </w:r>
      <w:r w:rsidRPr="00562DB8">
        <w:rPr>
          <w:lang w:val="en-US"/>
        </w:rPr>
        <w:t xml:space="preserve"> </w:t>
      </w:r>
      <w:proofErr w:type="gramStart"/>
      <w:r w:rsidRPr="00562DB8">
        <w:rPr>
          <w:lang w:val="en-US"/>
        </w:rPr>
        <w:t>Conference of States Parties to the Convention on the Rights of Persons with Disabilities.</w:t>
      </w:r>
      <w:proofErr w:type="gramEnd"/>
      <w:r w:rsidRPr="00562DB8">
        <w:rPr>
          <w:lang w:val="en-US"/>
        </w:rPr>
        <w:t xml:space="preserve"> </w:t>
      </w:r>
      <w:proofErr w:type="gramStart"/>
      <w:r w:rsidRPr="00562DB8">
        <w:rPr>
          <w:lang w:val="en-US"/>
        </w:rPr>
        <w:t>First session, New York, 31 October and 3 November 2008.</w:t>
      </w:r>
      <w:proofErr w:type="gramEnd"/>
      <w:r w:rsidRPr="00562DB8">
        <w:rPr>
          <w:lang w:val="en-US"/>
        </w:rPr>
        <w:t xml:space="preserve"> Report of the Conference of States Parties to the Convention on the Rights of Persons with Disabilities, CRPD/CSP/2008/4, 23 December 2008. </w:t>
      </w:r>
    </w:p>
  </w:footnote>
  <w:footnote w:id="476">
    <w:p w:rsidR="00887731" w:rsidRPr="00562DB8" w:rsidRDefault="00887731" w:rsidP="004551E9">
      <w:pPr>
        <w:pStyle w:val="Pie"/>
        <w:rPr>
          <w:lang w:val="en-US"/>
        </w:rPr>
      </w:pPr>
      <w:r w:rsidRPr="00597337">
        <w:rPr>
          <w:rStyle w:val="Refdenotaalpie"/>
        </w:rPr>
        <w:footnoteRef/>
      </w:r>
      <w:r w:rsidRPr="00562DB8">
        <w:rPr>
          <w:lang w:val="en-US"/>
        </w:rPr>
        <w:t xml:space="preserve"> </w:t>
      </w:r>
      <w:proofErr w:type="gramStart"/>
      <w:r w:rsidRPr="00562DB8">
        <w:rPr>
          <w:lang w:val="en-US"/>
        </w:rPr>
        <w:t>Conference of States Parties to the Convention on the Rights of Persons with Disabilities.</w:t>
      </w:r>
      <w:proofErr w:type="gramEnd"/>
      <w:r w:rsidRPr="00562DB8">
        <w:rPr>
          <w:lang w:val="en-US"/>
        </w:rPr>
        <w:t xml:space="preserve"> Second Session New York, 2-4 September 2009. Report of the Conference of States Parties to the Convention on the Rights of Persons with Disabilities, CRPD/CSP/2009/2, 11 January 2010. </w:t>
      </w:r>
    </w:p>
  </w:footnote>
  <w:footnote w:id="477">
    <w:p w:rsidR="00887731" w:rsidRPr="00562DB8" w:rsidRDefault="00887731" w:rsidP="004551E9">
      <w:pPr>
        <w:pStyle w:val="Pie"/>
        <w:rPr>
          <w:lang w:val="en-US"/>
        </w:rPr>
      </w:pPr>
      <w:r w:rsidRPr="00597337">
        <w:rPr>
          <w:rStyle w:val="Refdenotaalpie"/>
        </w:rPr>
        <w:footnoteRef/>
      </w:r>
      <w:r w:rsidRPr="00562DB8">
        <w:rPr>
          <w:lang w:val="en-US"/>
        </w:rPr>
        <w:t xml:space="preserve"> </w:t>
      </w:r>
      <w:proofErr w:type="gramStart"/>
      <w:r w:rsidRPr="00562DB8">
        <w:rPr>
          <w:lang w:val="en-US"/>
        </w:rPr>
        <w:t>Conference of States Parties to the Convention on the Rights of Persons with Disabilities.</w:t>
      </w:r>
      <w:proofErr w:type="gramEnd"/>
      <w:r w:rsidRPr="00562DB8">
        <w:rPr>
          <w:lang w:val="en-US"/>
        </w:rPr>
        <w:t xml:space="preserve"> </w:t>
      </w:r>
      <w:proofErr w:type="gramStart"/>
      <w:r w:rsidRPr="00562DB8">
        <w:rPr>
          <w:lang w:val="en-US"/>
        </w:rPr>
        <w:t>Third session, New York, 1-3 September 2010.</w:t>
      </w:r>
      <w:proofErr w:type="gramEnd"/>
      <w:r w:rsidRPr="00562DB8">
        <w:rPr>
          <w:lang w:val="en-US"/>
        </w:rPr>
        <w:t xml:space="preserve"> Report of the Conference of States Parties to the Convention on the Rights of Persons with Disabilities, CRPD/CSP/2010/3, 16 December 2010.</w:t>
      </w:r>
    </w:p>
  </w:footnote>
  <w:footnote w:id="478">
    <w:p w:rsidR="00887731" w:rsidRPr="00562DB8" w:rsidRDefault="00887731" w:rsidP="004551E9">
      <w:pPr>
        <w:pStyle w:val="Pie"/>
        <w:rPr>
          <w:lang w:val="en-US"/>
        </w:rPr>
      </w:pPr>
      <w:r w:rsidRPr="00597337">
        <w:rPr>
          <w:rStyle w:val="Refdenotaalpie"/>
        </w:rPr>
        <w:footnoteRef/>
      </w:r>
      <w:r w:rsidRPr="00562DB8">
        <w:rPr>
          <w:lang w:val="en-US"/>
        </w:rPr>
        <w:t xml:space="preserve"> </w:t>
      </w:r>
      <w:proofErr w:type="gramStart"/>
      <w:r w:rsidRPr="00562DB8">
        <w:rPr>
          <w:lang w:val="en-US"/>
        </w:rPr>
        <w:t>Conference of States Parties to the Convention on the Rights of Persons with Disabilities.</w:t>
      </w:r>
      <w:proofErr w:type="gramEnd"/>
      <w:r w:rsidRPr="00562DB8">
        <w:rPr>
          <w:lang w:val="en-US"/>
        </w:rPr>
        <w:t xml:space="preserve"> Fourth Session, New York, 7-9 September 2011. Report of the Conference of States Parties to the Convention on the Rights of Persons with Disabilities, CRPD/CSP/2011/2, 8 December 2011. </w:t>
      </w:r>
    </w:p>
  </w:footnote>
  <w:footnote w:id="479">
    <w:p w:rsidR="00887731" w:rsidRPr="00562DB8" w:rsidRDefault="00887731" w:rsidP="004551E9">
      <w:pPr>
        <w:pStyle w:val="Pie"/>
        <w:rPr>
          <w:lang w:val="en-US"/>
        </w:rPr>
      </w:pPr>
      <w:r w:rsidRPr="00597337">
        <w:rPr>
          <w:rStyle w:val="Refdenotaalpie"/>
        </w:rPr>
        <w:footnoteRef/>
      </w:r>
      <w:r w:rsidRPr="00562DB8">
        <w:rPr>
          <w:lang w:val="en-US"/>
        </w:rPr>
        <w:t xml:space="preserve"> </w:t>
      </w:r>
      <w:proofErr w:type="gramStart"/>
      <w:r w:rsidRPr="00562DB8">
        <w:rPr>
          <w:lang w:val="en-US"/>
        </w:rPr>
        <w:t>Conference of States Parties to the Convention on the Rights of Persons with Disabilities.</w:t>
      </w:r>
      <w:proofErr w:type="gramEnd"/>
      <w:r w:rsidRPr="00562DB8">
        <w:rPr>
          <w:lang w:val="en-US"/>
        </w:rPr>
        <w:t xml:space="preserve"> </w:t>
      </w:r>
      <w:proofErr w:type="gramStart"/>
      <w:r w:rsidRPr="00562DB8">
        <w:rPr>
          <w:lang w:val="en-US"/>
        </w:rPr>
        <w:t>Fifth session, New York, 12-14 September 2012.</w:t>
      </w:r>
      <w:proofErr w:type="gramEnd"/>
      <w:r w:rsidRPr="00562DB8">
        <w:rPr>
          <w:lang w:val="en-US"/>
        </w:rPr>
        <w:t xml:space="preserve"> Report of the Conference of States Parties to the Convention on the Rights of Persons with Disabilities, CRPD/CSP/2012/2, 25 October 2012.</w:t>
      </w:r>
    </w:p>
  </w:footnote>
  <w:footnote w:id="480">
    <w:p w:rsidR="00887731" w:rsidRPr="00562DB8" w:rsidRDefault="00887731" w:rsidP="004551E9">
      <w:pPr>
        <w:pStyle w:val="Textonotapie"/>
        <w:rPr>
          <w:lang w:val="en-US"/>
        </w:rPr>
      </w:pPr>
      <w:r w:rsidRPr="00597337">
        <w:rPr>
          <w:rStyle w:val="Refdenotaalpie"/>
        </w:rPr>
        <w:footnoteRef/>
      </w:r>
      <w:r w:rsidRPr="00562DB8">
        <w:rPr>
          <w:lang w:val="en-US"/>
        </w:rPr>
        <w:t xml:space="preserve"> </w:t>
      </w:r>
      <w:proofErr w:type="gramStart"/>
      <w:r w:rsidRPr="00562DB8">
        <w:rPr>
          <w:lang w:val="en-US"/>
        </w:rPr>
        <w:t>Conference of States Parties to the Convention on the Rights of Persons with Disabilities.</w:t>
      </w:r>
      <w:proofErr w:type="gramEnd"/>
      <w:r w:rsidRPr="00562DB8">
        <w:rPr>
          <w:lang w:val="en-US"/>
        </w:rPr>
        <w:t xml:space="preserve"> </w:t>
      </w:r>
      <w:proofErr w:type="gramStart"/>
      <w:r w:rsidRPr="00562DB8">
        <w:rPr>
          <w:lang w:val="en-US"/>
        </w:rPr>
        <w:t>Sixth session, New York, 17-19 July 2013.</w:t>
      </w:r>
      <w:proofErr w:type="gramEnd"/>
      <w:r w:rsidRPr="00562DB8">
        <w:rPr>
          <w:lang w:val="en-US"/>
        </w:rPr>
        <w:t xml:space="preserve"> </w:t>
      </w:r>
      <w:proofErr w:type="gramStart"/>
      <w:r w:rsidRPr="00562DB8">
        <w:rPr>
          <w:lang w:val="en-US"/>
        </w:rPr>
        <w:t>Report of the Conference of States Parties to the Convention on the Rights of Persons with Disabilities.</w:t>
      </w:r>
      <w:proofErr w:type="gramEnd"/>
      <w:r w:rsidRPr="00562DB8">
        <w:rPr>
          <w:lang w:val="en-US"/>
        </w:rPr>
        <w:t xml:space="preserve"> </w:t>
      </w:r>
    </w:p>
  </w:footnote>
  <w:footnote w:id="481">
    <w:p w:rsidR="00887731" w:rsidRPr="00597337" w:rsidRDefault="00887731" w:rsidP="004551E9">
      <w:pPr>
        <w:pStyle w:val="Pie"/>
      </w:pPr>
      <w:r w:rsidRPr="00597337">
        <w:rPr>
          <w:rStyle w:val="Refdenotaalpie"/>
        </w:rPr>
        <w:footnoteRef/>
      </w:r>
      <w:r w:rsidRPr="00597337">
        <w:t xml:space="preserve"> MARIÑO MENÉNDEZ F (2005), </w:t>
      </w:r>
      <w:proofErr w:type="spellStart"/>
      <w:r w:rsidRPr="00597337">
        <w:t>op</w:t>
      </w:r>
      <w:proofErr w:type="spellEnd"/>
      <w:r w:rsidRPr="00597337">
        <w:t>. cit., p. 95.</w:t>
      </w:r>
    </w:p>
  </w:footnote>
  <w:footnote w:id="482">
    <w:p w:rsidR="00887731" w:rsidRPr="00597337" w:rsidRDefault="00887731" w:rsidP="004551E9">
      <w:pPr>
        <w:pStyle w:val="Pie"/>
      </w:pPr>
      <w:r w:rsidRPr="00597337">
        <w:rPr>
          <w:rStyle w:val="Refdenotaalpie"/>
        </w:rPr>
        <w:footnoteRef/>
      </w:r>
      <w:r w:rsidRPr="00597337">
        <w:t xml:space="preserve"> Ídem. 98.</w:t>
      </w:r>
    </w:p>
  </w:footnote>
  <w:footnote w:id="483">
    <w:p w:rsidR="00887731" w:rsidRPr="00597337" w:rsidRDefault="00887731" w:rsidP="004551E9">
      <w:pPr>
        <w:pStyle w:val="Pie"/>
      </w:pPr>
      <w:r w:rsidRPr="00597337">
        <w:rPr>
          <w:rStyle w:val="Refdenotaalpie"/>
        </w:rPr>
        <w:footnoteRef/>
      </w:r>
      <w:r w:rsidRPr="00597337">
        <w:t xml:space="preserve"> </w:t>
      </w:r>
      <w:r w:rsidRPr="00597337">
        <w:rPr>
          <w:caps/>
        </w:rPr>
        <w:t>Mariño Menéndez F. (</w:t>
      </w:r>
      <w:r w:rsidRPr="00597337">
        <w:t xml:space="preserve">1995), “Derechos de la persona humana y distinción ente nacionales y extranjeros”, en </w:t>
      </w:r>
      <w:r w:rsidRPr="00597337">
        <w:rPr>
          <w:i/>
        </w:rPr>
        <w:t>Derecho de Extranjería, asilo y refugio</w:t>
      </w:r>
      <w:r w:rsidRPr="00597337">
        <w:t xml:space="preserve">, </w:t>
      </w:r>
      <w:r w:rsidRPr="00597337">
        <w:rPr>
          <w:caps/>
        </w:rPr>
        <w:t>Mariño</w:t>
      </w:r>
      <w:r w:rsidRPr="00597337">
        <w:t xml:space="preserve"> et. al., Instituto Nacional de Servicios Sociales (INSERSO), Madrid, pp.111-126</w:t>
      </w:r>
    </w:p>
  </w:footnote>
  <w:footnote w:id="484">
    <w:p w:rsidR="00887731" w:rsidRPr="00597337" w:rsidRDefault="00887731" w:rsidP="004551E9">
      <w:pPr>
        <w:pStyle w:val="Pie"/>
      </w:pPr>
      <w:r w:rsidRPr="00597337">
        <w:rPr>
          <w:rStyle w:val="Refdenotaalpie"/>
        </w:rPr>
        <w:footnoteRef/>
      </w:r>
      <w:r w:rsidRPr="00597337">
        <w:t xml:space="preserve"> MARIÑO MENÉNDEZ F (2005), op. cit., 214.</w:t>
      </w:r>
    </w:p>
  </w:footnote>
  <w:footnote w:id="485">
    <w:p w:rsidR="00887731" w:rsidRPr="00597337" w:rsidRDefault="00887731" w:rsidP="004551E9">
      <w:pPr>
        <w:pStyle w:val="Pie"/>
        <w:rPr>
          <w:lang w:val="es-AR"/>
        </w:rPr>
      </w:pPr>
      <w:r w:rsidRPr="00597337">
        <w:rPr>
          <w:rStyle w:val="Refdenotaalpie"/>
        </w:rPr>
        <w:footnoteRef/>
      </w:r>
      <w:r w:rsidRPr="00597337">
        <w:t xml:space="preserve"> […La Corte debe enfatizar, sin embargo, que los tratados modernos sobre derechos humanos, en general, y, en particular, la Convención Americana, no son tratados multilaterales de tipo tradicional, concluidos en función de un intercambio recíproco de derechos, para el beneficio </w:t>
      </w:r>
      <w:proofErr w:type="spellStart"/>
      <w:r w:rsidRPr="00597337">
        <w:t>mútuo</w:t>
      </w:r>
      <w:proofErr w:type="spellEnd"/>
      <w:r w:rsidRPr="00597337">
        <w:t xml:space="preserve"> de los Estados contratantes.  Su objeto y fin son la protección de los derechos fundamentales de los seres humanos, independientemente de su nacionalidad, tanto frente a su propio Estado como frente a los otros Estados contratantes.  Al aprobar estos tratados sobre derechos humanos, los Estados se someten a un orden legal dentro del cual ellos, por el bien común, asumen varias obligaciones, no en relación con otros Estados, sino hacia los individuos bajo su jurisdicción…] CIADH, </w:t>
      </w:r>
      <w:r w:rsidRPr="00597337">
        <w:rPr>
          <w:i/>
        </w:rPr>
        <w:t>El Efecto de las Reservas sobre la Entrada en Vigencia de la Convención Americana sobre Derechos Humanos</w:t>
      </w:r>
      <w:r w:rsidRPr="00597337">
        <w:t xml:space="preserve">. Opinión Consultiva OC-2/82 del 24 de septiembre de 1982. </w:t>
      </w:r>
      <w:r w:rsidRPr="00597337">
        <w:rPr>
          <w:lang w:val="es-AR"/>
        </w:rPr>
        <w:t xml:space="preserve">Serie A No. 2, párrafo 29. </w:t>
      </w:r>
    </w:p>
  </w:footnote>
  <w:footnote w:id="486">
    <w:p w:rsidR="00887731" w:rsidRPr="00597337" w:rsidRDefault="00887731" w:rsidP="004551E9">
      <w:pPr>
        <w:pStyle w:val="Pie"/>
        <w:rPr>
          <w:lang w:val="en-US"/>
        </w:rPr>
      </w:pPr>
      <w:r w:rsidRPr="00597337">
        <w:rPr>
          <w:rStyle w:val="Refdenotaalpie"/>
        </w:rPr>
        <w:footnoteRef/>
      </w:r>
      <w:r w:rsidRPr="00597337">
        <w:t xml:space="preserve"> CIADH, </w:t>
      </w:r>
      <w:r w:rsidRPr="00597337">
        <w:rPr>
          <w:i/>
        </w:rPr>
        <w:t>Condición Jurídica y Derechos Humanos del Niño</w:t>
      </w:r>
      <w:r w:rsidRPr="00597337">
        <w:t xml:space="preserve">. Opinión Consultiva OC-17/02 del 28 de agosto de 2002. </w:t>
      </w:r>
      <w:r w:rsidRPr="008D46DF">
        <w:t xml:space="preserve">Serie A No. 17. Voto concurrente del Juez Cançado Trindade, párrafo 18. </w:t>
      </w:r>
      <w:r w:rsidRPr="00597337">
        <w:rPr>
          <w:lang w:val="en-US"/>
        </w:rPr>
        <w:t xml:space="preserve">Véase también </w:t>
      </w:r>
      <w:r w:rsidRPr="00597337">
        <w:rPr>
          <w:caps/>
          <w:lang w:val="en-US"/>
        </w:rPr>
        <w:t>Kesb, A.,</w:t>
      </w:r>
      <w:r w:rsidRPr="00597337">
        <w:rPr>
          <w:lang w:val="en-US"/>
        </w:rPr>
        <w:t xml:space="preserve"> (2012) </w:t>
      </w:r>
      <w:r w:rsidRPr="00597337">
        <w:rPr>
          <w:i/>
          <w:lang w:val="en-US"/>
        </w:rPr>
        <w:t>The Right to Have Rights: Citizenship, Humanity, and International Law</w:t>
      </w:r>
      <w:r w:rsidRPr="00597337">
        <w:rPr>
          <w:lang w:val="en-US"/>
        </w:rPr>
        <w:t xml:space="preserve">, Oxford University Press.  </w:t>
      </w:r>
    </w:p>
  </w:footnote>
  <w:footnote w:id="487">
    <w:p w:rsidR="00887731" w:rsidRPr="004551E9" w:rsidRDefault="00887731" w:rsidP="004551E9">
      <w:pPr>
        <w:pStyle w:val="Pie"/>
        <w:rPr>
          <w:lang w:val="en-US"/>
        </w:rPr>
      </w:pPr>
      <w:r w:rsidRPr="00597337">
        <w:rPr>
          <w:rStyle w:val="Refdenotaalpie"/>
        </w:rPr>
        <w:footnoteRef/>
      </w:r>
      <w:r w:rsidRPr="004551E9">
        <w:rPr>
          <w:lang w:val="en-US"/>
        </w:rPr>
        <w:t xml:space="preserve"> PORTMANN, R. (2010), </w:t>
      </w:r>
      <w:r w:rsidRPr="004551E9">
        <w:rPr>
          <w:i/>
          <w:lang w:val="en-US"/>
        </w:rPr>
        <w:t>Legal Personality in International Law</w:t>
      </w:r>
      <w:r w:rsidRPr="004551E9">
        <w:rPr>
          <w:lang w:val="en-US"/>
        </w:rPr>
        <w:t>, Cambridge studies in international and comparative law, Cambridge University Press, p. 11</w:t>
      </w:r>
    </w:p>
  </w:footnote>
  <w:footnote w:id="488">
    <w:p w:rsidR="00887731" w:rsidRPr="00597337" w:rsidRDefault="00887731" w:rsidP="004551E9">
      <w:pPr>
        <w:pStyle w:val="Pie"/>
      </w:pPr>
      <w:r w:rsidRPr="00597337">
        <w:rPr>
          <w:rStyle w:val="Refdenotaalpie"/>
        </w:rPr>
        <w:footnoteRef/>
      </w:r>
      <w:r w:rsidRPr="00597337">
        <w:t xml:space="preserve"> […El artículo 2 define el alcance de las obligaciones jurídicas asumidas por los Estados Partes en el Pacto. A los Estados Partes se les impone una obligación general de respetar los derechos del Pacto y de asegurar su aplicación a todos los individuos de su territorio y sometidos a su jurisdicción…] Observación General No. 31, Comentarios generales adoptados por el Comité de los Derechos Humanos, La índole de la obligación jurídica general impuesta, 80º período de sesiones, U.N. Doc. HRI/GEN/1/Rev.7 at 225 (2004). Párrafo 3. </w:t>
      </w:r>
    </w:p>
  </w:footnote>
  <w:footnote w:id="489">
    <w:p w:rsidR="00887731" w:rsidRPr="002C6B28" w:rsidRDefault="00887731" w:rsidP="004551E9">
      <w:pPr>
        <w:pStyle w:val="Pie"/>
        <w:rPr>
          <w:lang w:val="es-AR"/>
        </w:rPr>
      </w:pPr>
      <w:r w:rsidRPr="00597337">
        <w:rPr>
          <w:rStyle w:val="Refdenotaalpie"/>
        </w:rPr>
        <w:footnoteRef/>
      </w:r>
      <w:r w:rsidRPr="00597337">
        <w:t xml:space="preserve"> […si bien es al Estado a quien compete, en primer lugar, proteger los derechos de los individuos sometidos a su jurisdicción, dicha competencia la ejerce en tanto que deriva de una obligación general que le viene impuesta por el Derecho Internacional y, por consiguiente, sometida a control a través de mecanismos internacionales…] </w:t>
      </w:r>
      <w:r w:rsidRPr="002C6B28">
        <w:rPr>
          <w:caps/>
          <w:lang w:val="es-AR"/>
        </w:rPr>
        <w:t>Escobar Hernández, C.,</w:t>
      </w:r>
      <w:r w:rsidRPr="002C6B28">
        <w:rPr>
          <w:lang w:val="es-AR"/>
        </w:rPr>
        <w:t xml:space="preserve"> (2005), op. cit., p.632.</w:t>
      </w:r>
    </w:p>
  </w:footnote>
  <w:footnote w:id="490">
    <w:p w:rsidR="00887731" w:rsidRPr="002C6B28" w:rsidRDefault="00887731" w:rsidP="004551E9">
      <w:pPr>
        <w:pStyle w:val="Pie"/>
      </w:pPr>
      <w:r w:rsidRPr="00597337">
        <w:rPr>
          <w:rStyle w:val="Refdenotaalpie"/>
        </w:rPr>
        <w:footnoteRef/>
      </w:r>
      <w:r w:rsidRPr="002C6B28">
        <w:t xml:space="preserve"> BARIFFI, F., (2009) op. cit. </w:t>
      </w:r>
    </w:p>
  </w:footnote>
  <w:footnote w:id="491">
    <w:p w:rsidR="00887731" w:rsidRPr="00562DB8" w:rsidRDefault="00887731" w:rsidP="004551E9">
      <w:pPr>
        <w:pStyle w:val="Textonotapie"/>
        <w:rPr>
          <w:lang w:val="en-US"/>
        </w:rPr>
      </w:pPr>
      <w:r>
        <w:rPr>
          <w:rStyle w:val="Refdenotaalpie"/>
        </w:rPr>
        <w:footnoteRef/>
      </w:r>
      <w:r w:rsidRPr="00C441EF">
        <w:t xml:space="preserve"> En este sentido cabe des</w:t>
      </w:r>
      <w:r>
        <w:t xml:space="preserve">tacar por ejemplo que el III Protocolo Facultativo a la Convención Internacional sobre los Derechos del Niño </w:t>
      </w:r>
      <w:r w:rsidRPr="00C441EF">
        <w:t>relativo a un procedimiento de comunicaciones</w:t>
      </w:r>
      <w:r>
        <w:t>, otorga legitimación a los niños y niñas para presentar denuncias sin necesidad de hacerlo por medio de sus representantes legales (Cfr. Art. 5(1)). Más aún el segundo párrafo del artículo 5 establece que: “…</w:t>
      </w:r>
      <w:r w:rsidRPr="001C38EB">
        <w:t>Cuando se presente una comunicación en nombre de una persona o un grupo de personas, se requerirá su consentimiento, a menos que el autor pueda justificar el actuar en su nombre sin tal consentimiento</w:t>
      </w:r>
      <w:r>
        <w:t xml:space="preserve">…”. </w:t>
      </w:r>
      <w:r w:rsidRPr="00562DB8">
        <w:rPr>
          <w:lang w:val="en-US"/>
        </w:rPr>
        <w:t xml:space="preserve">A/C.3/66/L.66, 2 de </w:t>
      </w:r>
      <w:proofErr w:type="spellStart"/>
      <w:r w:rsidRPr="00562DB8">
        <w:rPr>
          <w:lang w:val="en-US"/>
        </w:rPr>
        <w:t>noviembre</w:t>
      </w:r>
      <w:proofErr w:type="spellEnd"/>
      <w:r w:rsidRPr="00562DB8">
        <w:rPr>
          <w:lang w:val="en-US"/>
        </w:rPr>
        <w:t xml:space="preserve"> de 2011.</w:t>
      </w:r>
    </w:p>
  </w:footnote>
  <w:footnote w:id="492">
    <w:p w:rsidR="00887731" w:rsidRPr="00562DB8" w:rsidRDefault="00887731" w:rsidP="004551E9">
      <w:pPr>
        <w:pStyle w:val="Pie"/>
        <w:rPr>
          <w:lang w:val="en-US"/>
        </w:rPr>
      </w:pPr>
      <w:r w:rsidRPr="00597337">
        <w:rPr>
          <w:rStyle w:val="Refdenotaalpie"/>
        </w:rPr>
        <w:footnoteRef/>
      </w:r>
      <w:r w:rsidRPr="004551E9">
        <w:rPr>
          <w:lang w:val="en-US"/>
        </w:rPr>
        <w:t xml:space="preserve"> […The recognition of the direct access of individuals to international justice reveals, at the beginning of the </w:t>
      </w:r>
      <w:proofErr w:type="spellStart"/>
      <w:r w:rsidRPr="004551E9">
        <w:rPr>
          <w:lang w:val="en-US"/>
        </w:rPr>
        <w:t>XXIst</w:t>
      </w:r>
      <w:proofErr w:type="spellEnd"/>
      <w:r w:rsidRPr="004551E9">
        <w:rPr>
          <w:lang w:val="en-US"/>
        </w:rPr>
        <w:t xml:space="preserve"> century, the new primacy of the </w:t>
      </w:r>
      <w:r w:rsidRPr="004551E9">
        <w:rPr>
          <w:i/>
          <w:lang w:val="en-US"/>
        </w:rPr>
        <w:t xml:space="preserve">raison </w:t>
      </w:r>
      <w:proofErr w:type="spellStart"/>
      <w:r w:rsidRPr="004551E9">
        <w:rPr>
          <w:i/>
          <w:lang w:val="en-US"/>
        </w:rPr>
        <w:t>d’humanité</w:t>
      </w:r>
      <w:proofErr w:type="spellEnd"/>
      <w:r w:rsidRPr="004551E9">
        <w:rPr>
          <w:lang w:val="en-US"/>
        </w:rPr>
        <w:t xml:space="preserve"> over the </w:t>
      </w:r>
      <w:r w:rsidRPr="004551E9">
        <w:rPr>
          <w:i/>
          <w:lang w:val="en-US"/>
        </w:rPr>
        <w:t xml:space="preserve">raison </w:t>
      </w:r>
      <w:proofErr w:type="spellStart"/>
      <w:r w:rsidRPr="004551E9">
        <w:rPr>
          <w:i/>
          <w:lang w:val="en-US"/>
        </w:rPr>
        <w:t>d’État</w:t>
      </w:r>
      <w:proofErr w:type="spellEnd"/>
      <w:r w:rsidRPr="004551E9">
        <w:rPr>
          <w:lang w:val="en-US"/>
        </w:rPr>
        <w:t xml:space="preserve">, inspiring the process of </w:t>
      </w:r>
      <w:r w:rsidRPr="004551E9">
        <w:rPr>
          <w:i/>
          <w:lang w:val="en-US"/>
        </w:rPr>
        <w:t>humanization</w:t>
      </w:r>
      <w:r w:rsidRPr="004551E9">
        <w:rPr>
          <w:lang w:val="en-US"/>
        </w:rPr>
        <w:t xml:space="preserve"> of international law. </w:t>
      </w:r>
      <w:r w:rsidRPr="00562DB8">
        <w:rPr>
          <w:lang w:val="en-US"/>
        </w:rPr>
        <w:t xml:space="preserve">The subjects of international law are no longer only territorial entities. It appears quite clear nowadays that there is nothing intrinsic to international law that would impede, or render impossible, the endowment of non-State ‘actors’ with international legal personality and capacity…] </w:t>
      </w:r>
      <w:r w:rsidRPr="00562DB8">
        <w:rPr>
          <w:caps/>
          <w:lang w:val="en-US"/>
        </w:rPr>
        <w:t>Cançado Trindade, A. A.,</w:t>
      </w:r>
      <w:r w:rsidRPr="00562DB8">
        <w:rPr>
          <w:lang w:val="en-US"/>
        </w:rPr>
        <w:t xml:space="preserve"> (2011) </w:t>
      </w:r>
      <w:r w:rsidRPr="00562DB8">
        <w:rPr>
          <w:i/>
          <w:lang w:val="en-US"/>
        </w:rPr>
        <w:t>The Access of Individuals to International Justice</w:t>
      </w:r>
      <w:r w:rsidRPr="00562DB8">
        <w:rPr>
          <w:lang w:val="en-US"/>
        </w:rPr>
        <w:t xml:space="preserve">, Oxford University Press, p. 16. </w:t>
      </w:r>
    </w:p>
  </w:footnote>
  <w:footnote w:id="493">
    <w:p w:rsidR="00887731" w:rsidRPr="00597337" w:rsidRDefault="00887731" w:rsidP="004551E9">
      <w:pPr>
        <w:pStyle w:val="Pie"/>
      </w:pPr>
      <w:r w:rsidRPr="00597337">
        <w:rPr>
          <w:rStyle w:val="Refdenotaalpie"/>
        </w:rPr>
        <w:footnoteRef/>
      </w:r>
      <w:r w:rsidRPr="00597337">
        <w:t xml:space="preserve"> Véase </w:t>
      </w:r>
      <w:r w:rsidRPr="00597337">
        <w:rPr>
          <w:lang w:val="es-AR"/>
        </w:rPr>
        <w:t xml:space="preserve">MARIÑO MENÉNDEZ F (2005), </w:t>
      </w:r>
      <w:proofErr w:type="spellStart"/>
      <w:r w:rsidRPr="00597337">
        <w:rPr>
          <w:lang w:val="es-AR"/>
        </w:rPr>
        <w:t>op</w:t>
      </w:r>
      <w:proofErr w:type="spellEnd"/>
      <w:r w:rsidRPr="00597337">
        <w:rPr>
          <w:lang w:val="es-AR"/>
        </w:rPr>
        <w:t>. cit.</w:t>
      </w:r>
      <w:r w:rsidRPr="00597337">
        <w:t xml:space="preserve">, p. 215; </w:t>
      </w:r>
      <w:r w:rsidRPr="00597337">
        <w:rPr>
          <w:caps/>
        </w:rPr>
        <w:t>Pérez González, M.,</w:t>
      </w:r>
      <w:r w:rsidRPr="00597337">
        <w:t xml:space="preserve"> (2005) “La Subjetividad Internacional (II): Las Personalidad Internacional de Otros Sujetos”, en </w:t>
      </w:r>
      <w:r w:rsidRPr="00597337">
        <w:rPr>
          <w:caps/>
          <w:lang w:val="es-ES_tradnl"/>
        </w:rPr>
        <w:t>Diez de Velasco, M.</w:t>
      </w:r>
      <w:r w:rsidRPr="00597337">
        <w:rPr>
          <w:lang w:val="es-ES_tradnl"/>
        </w:rPr>
        <w:t xml:space="preserve"> (Coord), op. cit.</w:t>
      </w:r>
      <w:r w:rsidRPr="00597337">
        <w:t>, p.301.</w:t>
      </w:r>
    </w:p>
  </w:footnote>
  <w:footnote w:id="494">
    <w:p w:rsidR="00887731" w:rsidRPr="00597337" w:rsidRDefault="00887731" w:rsidP="004551E9">
      <w:pPr>
        <w:pStyle w:val="Pie"/>
        <w:rPr>
          <w:lang w:val="en-US"/>
        </w:rPr>
      </w:pPr>
      <w:r w:rsidRPr="00597337">
        <w:rPr>
          <w:rStyle w:val="Refdenotaalpie"/>
        </w:rPr>
        <w:footnoteRef/>
      </w:r>
      <w:r w:rsidRPr="00597337">
        <w:t xml:space="preserve"> […en el plano internacional corresponde en principio a cada Estado tanto la protección diplomática de sus nacionales, como la exigencia a los demás Estados del cumplimiento de los tratados internacionales protectores de la persona…] </w:t>
      </w:r>
      <w:r w:rsidRPr="00597337">
        <w:rPr>
          <w:lang w:val="en-US"/>
        </w:rPr>
        <w:t>MARIÑO MENÉNDEZ F (2005), op. cit., p.215.</w:t>
      </w:r>
    </w:p>
  </w:footnote>
  <w:footnote w:id="495">
    <w:p w:rsidR="00887731" w:rsidRPr="00562DB8" w:rsidRDefault="00887731" w:rsidP="004551E9">
      <w:pPr>
        <w:pStyle w:val="Pie"/>
        <w:rPr>
          <w:lang w:val="en-US"/>
        </w:rPr>
      </w:pPr>
      <w:r w:rsidRPr="00597337">
        <w:rPr>
          <w:rStyle w:val="Refdenotaalpie"/>
        </w:rPr>
        <w:footnoteRef/>
      </w:r>
      <w:r w:rsidRPr="00562DB8">
        <w:rPr>
          <w:lang w:val="en-US"/>
        </w:rPr>
        <w:t xml:space="preserve"> </w:t>
      </w:r>
      <w:r w:rsidRPr="00597337">
        <w:rPr>
          <w:caps/>
          <w:lang w:val="en-GB"/>
        </w:rPr>
        <w:t xml:space="preserve">Cassese, A., </w:t>
      </w:r>
      <w:r w:rsidRPr="00597337">
        <w:rPr>
          <w:lang w:val="en-GB"/>
        </w:rPr>
        <w:t xml:space="preserve">(2003) </w:t>
      </w:r>
      <w:r w:rsidRPr="00597337">
        <w:rPr>
          <w:i/>
          <w:lang w:val="en-GB"/>
        </w:rPr>
        <w:t>International Criminal Law</w:t>
      </w:r>
      <w:r w:rsidRPr="00597337">
        <w:rPr>
          <w:lang w:val="en-GB"/>
        </w:rPr>
        <w:t xml:space="preserve">, first edition, Oxford University Press, pp.135-159; </w:t>
      </w:r>
      <w:r w:rsidRPr="00597337">
        <w:rPr>
          <w:caps/>
          <w:lang w:val="en-GB"/>
        </w:rPr>
        <w:t>Ambos, K.,</w:t>
      </w:r>
      <w:r w:rsidRPr="00597337">
        <w:rPr>
          <w:lang w:val="en-GB"/>
        </w:rPr>
        <w:t xml:space="preserve"> (2006) </w:t>
      </w:r>
      <w:proofErr w:type="spellStart"/>
      <w:r w:rsidRPr="00597337">
        <w:rPr>
          <w:i/>
          <w:lang w:val="en-GB"/>
        </w:rPr>
        <w:t>Temas</w:t>
      </w:r>
      <w:proofErr w:type="spellEnd"/>
      <w:r w:rsidRPr="00597337">
        <w:rPr>
          <w:i/>
          <w:lang w:val="en-GB"/>
        </w:rPr>
        <w:t xml:space="preserve"> de </w:t>
      </w:r>
      <w:proofErr w:type="spellStart"/>
      <w:r w:rsidRPr="00597337">
        <w:rPr>
          <w:i/>
          <w:lang w:val="en-GB"/>
        </w:rPr>
        <w:t>derecho</w:t>
      </w:r>
      <w:proofErr w:type="spellEnd"/>
      <w:r w:rsidRPr="00597337">
        <w:rPr>
          <w:i/>
          <w:lang w:val="en-GB"/>
        </w:rPr>
        <w:t xml:space="preserve"> penal </w:t>
      </w:r>
      <w:proofErr w:type="spellStart"/>
      <w:r w:rsidRPr="00597337">
        <w:rPr>
          <w:i/>
          <w:lang w:val="en-GB"/>
        </w:rPr>
        <w:t>internacional</w:t>
      </w:r>
      <w:proofErr w:type="spellEnd"/>
      <w:r w:rsidRPr="00597337">
        <w:rPr>
          <w:i/>
          <w:lang w:val="en-GB"/>
        </w:rPr>
        <w:t xml:space="preserve"> y </w:t>
      </w:r>
      <w:proofErr w:type="spellStart"/>
      <w:r w:rsidRPr="00597337">
        <w:rPr>
          <w:i/>
          <w:lang w:val="en-GB"/>
        </w:rPr>
        <w:t>europeo</w:t>
      </w:r>
      <w:proofErr w:type="spellEnd"/>
      <w:r w:rsidRPr="00597337">
        <w:rPr>
          <w:lang w:val="en-GB"/>
        </w:rPr>
        <w:t xml:space="preserve">, </w:t>
      </w:r>
      <w:proofErr w:type="spellStart"/>
      <w:r w:rsidRPr="00597337">
        <w:rPr>
          <w:lang w:val="en-GB"/>
        </w:rPr>
        <w:t>Marcial</w:t>
      </w:r>
      <w:proofErr w:type="spellEnd"/>
      <w:r w:rsidRPr="00597337">
        <w:rPr>
          <w:lang w:val="en-GB"/>
        </w:rPr>
        <w:t xml:space="preserve"> Pons, pp.123-167; </w:t>
      </w:r>
      <w:r w:rsidRPr="00562DB8">
        <w:rPr>
          <w:caps/>
          <w:lang w:val="en-US"/>
        </w:rPr>
        <w:t>Greppi E.,</w:t>
      </w:r>
      <w:r w:rsidRPr="00562DB8">
        <w:rPr>
          <w:lang w:val="en-US"/>
        </w:rPr>
        <w:t xml:space="preserve"> (1999) “The Evolution of Individual Criminal Responsibility under International Law” </w:t>
      </w:r>
      <w:r w:rsidRPr="00562DB8">
        <w:rPr>
          <w:i/>
          <w:lang w:val="en-US"/>
        </w:rPr>
        <w:t>International Review of the Red Cross</w:t>
      </w:r>
      <w:r w:rsidRPr="00562DB8">
        <w:rPr>
          <w:lang w:val="en-US"/>
        </w:rPr>
        <w:t>, No 835, pp.531-553</w:t>
      </w:r>
    </w:p>
  </w:footnote>
  <w:footnote w:id="496">
    <w:p w:rsidR="00887731" w:rsidRPr="00562DB8" w:rsidRDefault="00887731" w:rsidP="004551E9">
      <w:pPr>
        <w:pStyle w:val="Pie"/>
        <w:rPr>
          <w:lang w:val="en-US"/>
        </w:rPr>
      </w:pPr>
      <w:r w:rsidRPr="00597337">
        <w:rPr>
          <w:rStyle w:val="Refdenotaalpie"/>
        </w:rPr>
        <w:footnoteRef/>
      </w:r>
      <w:r w:rsidRPr="00562DB8">
        <w:rPr>
          <w:lang w:val="en-US"/>
        </w:rPr>
        <w:t xml:space="preserve"> </w:t>
      </w:r>
      <w:r w:rsidRPr="00562DB8">
        <w:rPr>
          <w:caps/>
          <w:lang w:val="en-US"/>
        </w:rPr>
        <w:t>Heiser, W.,</w:t>
      </w:r>
      <w:r w:rsidRPr="00562DB8">
        <w:rPr>
          <w:lang w:val="en-US"/>
        </w:rPr>
        <w:t xml:space="preserve"> (2002) “Civil Litigation as a Means of Compensating Victims of International Terrorism”, </w:t>
      </w:r>
      <w:r w:rsidRPr="00562DB8">
        <w:rPr>
          <w:i/>
          <w:lang w:val="en-US"/>
        </w:rPr>
        <w:t>San Diego International Law Journal</w:t>
      </w:r>
      <w:r w:rsidRPr="00562DB8">
        <w:rPr>
          <w:lang w:val="en-US"/>
        </w:rPr>
        <w:t xml:space="preserve">, Vol. 3, pp. 1-50; </w:t>
      </w:r>
      <w:r w:rsidRPr="00562DB8">
        <w:rPr>
          <w:caps/>
          <w:lang w:val="en-US"/>
        </w:rPr>
        <w:t>Stephens, B.,</w:t>
      </w:r>
      <w:r w:rsidRPr="00562DB8">
        <w:rPr>
          <w:lang w:val="en-US"/>
        </w:rPr>
        <w:t xml:space="preserve"> (2002) “Translating </w:t>
      </w:r>
      <w:proofErr w:type="spellStart"/>
      <w:r w:rsidRPr="00562DB8">
        <w:rPr>
          <w:lang w:val="en-US"/>
        </w:rPr>
        <w:t>Filartiga</w:t>
      </w:r>
      <w:proofErr w:type="spellEnd"/>
      <w:r w:rsidRPr="00562DB8">
        <w:rPr>
          <w:lang w:val="en-US"/>
        </w:rPr>
        <w:t xml:space="preserve">: A Comparative and International Law Analysis of Domestic Remedies for International Human Rights Violations”, </w:t>
      </w:r>
      <w:r w:rsidRPr="00562DB8">
        <w:rPr>
          <w:i/>
          <w:lang w:val="en-US"/>
        </w:rPr>
        <w:t>Yale Journal of International Law</w:t>
      </w:r>
      <w:r w:rsidRPr="00562DB8">
        <w:rPr>
          <w:lang w:val="en-US"/>
        </w:rPr>
        <w:t>, Vol. 27, pp.1-58.</w:t>
      </w:r>
    </w:p>
  </w:footnote>
  <w:footnote w:id="497">
    <w:p w:rsidR="00887731" w:rsidRPr="00597337" w:rsidRDefault="00887731" w:rsidP="004551E9">
      <w:pPr>
        <w:pStyle w:val="Pie"/>
      </w:pPr>
      <w:r w:rsidRPr="00597337">
        <w:rPr>
          <w:rStyle w:val="Refdenotaalpie"/>
        </w:rPr>
        <w:footnoteRef/>
      </w:r>
      <w:r w:rsidRPr="00597337">
        <w:t xml:space="preserve"> CIADH, Condición Jurídica y Derechos Humanos del Niño. Opinión Consultiva OC-17/02 del 28 de agosto de 2002. Serie A No. 17. Voto concurrente del Juez Cançado Trindade.</w:t>
      </w:r>
    </w:p>
  </w:footnote>
  <w:footnote w:id="498">
    <w:p w:rsidR="00887731" w:rsidRPr="00597337" w:rsidRDefault="00887731" w:rsidP="004551E9">
      <w:pPr>
        <w:pStyle w:val="Pie"/>
        <w:rPr>
          <w:lang w:val="en-US"/>
        </w:rPr>
      </w:pPr>
      <w:r w:rsidRPr="00597337">
        <w:rPr>
          <w:rStyle w:val="Refdenotaalpie"/>
        </w:rPr>
        <w:footnoteRef/>
      </w:r>
      <w:r w:rsidRPr="00597337">
        <w:t xml:space="preserve"> Por ejemplo, y citando el trabajo de </w:t>
      </w:r>
      <w:proofErr w:type="spellStart"/>
      <w:r w:rsidRPr="00597337">
        <w:t>Minkowitz</w:t>
      </w:r>
      <w:proofErr w:type="spellEnd"/>
      <w:r w:rsidRPr="00597337">
        <w:t xml:space="preserve"> y que sólo tiene  en cuenta lenguas oficiales de Naciones Unidas, [… </w:t>
      </w:r>
      <w:r w:rsidRPr="00597337">
        <w:rPr>
          <w:lang w:val="en-US"/>
        </w:rPr>
        <w:t>The Arabic translation of “legal capacity” is “</w:t>
      </w:r>
      <w:proofErr w:type="spellStart"/>
      <w:r w:rsidRPr="00597337">
        <w:rPr>
          <w:lang w:val="en-US"/>
        </w:rPr>
        <w:t>ahlia</w:t>
      </w:r>
      <w:proofErr w:type="spellEnd"/>
      <w:r w:rsidRPr="00597337">
        <w:rPr>
          <w:lang w:val="en-US"/>
        </w:rPr>
        <w:t xml:space="preserve"> al </w:t>
      </w:r>
      <w:proofErr w:type="spellStart"/>
      <w:r w:rsidRPr="00597337">
        <w:rPr>
          <w:lang w:val="en-US"/>
        </w:rPr>
        <w:t>qanounia</w:t>
      </w:r>
      <w:proofErr w:type="spellEnd"/>
      <w:r w:rsidRPr="00597337">
        <w:rPr>
          <w:lang w:val="en-US"/>
        </w:rPr>
        <w:t xml:space="preserve">,” incorporating both </w:t>
      </w:r>
      <w:r w:rsidRPr="00597337">
        <w:rPr>
          <w:lang w:val="en-IE"/>
        </w:rPr>
        <w:t>capacity to act and capacity for rights; the Chinese is “</w:t>
      </w:r>
      <w:proofErr w:type="spellStart"/>
      <w:r w:rsidRPr="00597337">
        <w:rPr>
          <w:lang w:val="en-IE"/>
        </w:rPr>
        <w:t>falv</w:t>
      </w:r>
      <w:proofErr w:type="spellEnd"/>
      <w:r w:rsidRPr="00597337">
        <w:rPr>
          <w:lang w:val="en-IE"/>
        </w:rPr>
        <w:t xml:space="preserve"> </w:t>
      </w:r>
      <w:proofErr w:type="spellStart"/>
      <w:r w:rsidRPr="00597337">
        <w:rPr>
          <w:lang w:val="en-IE"/>
        </w:rPr>
        <w:t>quanli</w:t>
      </w:r>
      <w:proofErr w:type="spellEnd"/>
      <w:r w:rsidRPr="00597337">
        <w:rPr>
          <w:lang w:val="en-IE"/>
        </w:rPr>
        <w:t xml:space="preserve"> </w:t>
      </w:r>
      <w:proofErr w:type="spellStart"/>
      <w:r w:rsidRPr="00597337">
        <w:rPr>
          <w:lang w:val="en-IE"/>
        </w:rPr>
        <w:t>nengli</w:t>
      </w:r>
      <w:proofErr w:type="spellEnd"/>
      <w:r w:rsidRPr="00597337">
        <w:rPr>
          <w:lang w:val="en-IE"/>
        </w:rPr>
        <w:t>” meaning capacity for rights; the French is “</w:t>
      </w:r>
      <w:proofErr w:type="spellStart"/>
      <w:r w:rsidRPr="00597337">
        <w:rPr>
          <w:lang w:val="en-IE"/>
        </w:rPr>
        <w:t>capacité</w:t>
      </w:r>
      <w:proofErr w:type="spellEnd"/>
      <w:r w:rsidRPr="00597337">
        <w:rPr>
          <w:lang w:val="en-IE"/>
        </w:rPr>
        <w:t xml:space="preserve"> </w:t>
      </w:r>
      <w:proofErr w:type="spellStart"/>
      <w:r w:rsidRPr="00597337">
        <w:rPr>
          <w:lang w:val="en-IE"/>
        </w:rPr>
        <w:t>juridique</w:t>
      </w:r>
      <w:proofErr w:type="spellEnd"/>
      <w:r w:rsidRPr="00597337">
        <w:rPr>
          <w:lang w:val="en-IE"/>
        </w:rPr>
        <w:t>” meaning capacity to act; the Russian is “</w:t>
      </w:r>
      <w:proofErr w:type="spellStart"/>
      <w:r w:rsidRPr="00597337">
        <w:rPr>
          <w:lang w:val="en-IE"/>
        </w:rPr>
        <w:t>pravosposobnost</w:t>
      </w:r>
      <w:proofErr w:type="spellEnd"/>
      <w:r w:rsidRPr="00597337">
        <w:rPr>
          <w:lang w:val="en-IE"/>
        </w:rPr>
        <w:t>” meaning capacity for rights; the Spanish is “</w:t>
      </w:r>
      <w:proofErr w:type="spellStart"/>
      <w:r w:rsidRPr="00597337">
        <w:rPr>
          <w:lang w:val="en-IE"/>
        </w:rPr>
        <w:t>capacidad</w:t>
      </w:r>
      <w:proofErr w:type="spellEnd"/>
      <w:r w:rsidRPr="00597337">
        <w:rPr>
          <w:lang w:val="en-IE"/>
        </w:rPr>
        <w:t xml:space="preserve"> </w:t>
      </w:r>
      <w:proofErr w:type="spellStart"/>
      <w:r w:rsidRPr="00597337">
        <w:rPr>
          <w:lang w:val="en-IE"/>
        </w:rPr>
        <w:t>jurídica</w:t>
      </w:r>
      <w:proofErr w:type="spellEnd"/>
      <w:r w:rsidRPr="00597337">
        <w:rPr>
          <w:lang w:val="en-IE"/>
        </w:rPr>
        <w:t xml:space="preserve">” meaning capacity for rights.  The English term “legal capacity” in the original text means capacity to act…] </w:t>
      </w:r>
      <w:r w:rsidRPr="00597337">
        <w:rPr>
          <w:lang w:val="en-US"/>
        </w:rPr>
        <w:t xml:space="preserve">MINKOWITZ T, (2006-2007) “The United Nations Convention on the Rights of Persons with Disabilities and the Right to be Free from Nonconsensual Psychiatric Interventions”, </w:t>
      </w:r>
      <w:r w:rsidRPr="00597337">
        <w:rPr>
          <w:i/>
          <w:lang w:val="en-US"/>
        </w:rPr>
        <w:t>Syracuse Journal of International Law and Commerce</w:t>
      </w:r>
      <w:r w:rsidRPr="00597337">
        <w:rPr>
          <w:lang w:val="en-US"/>
        </w:rPr>
        <w:t>, vol., 34, p. 410.</w:t>
      </w:r>
    </w:p>
  </w:footnote>
  <w:footnote w:id="499">
    <w:p w:rsidR="00887731" w:rsidRPr="00597337" w:rsidRDefault="00887731" w:rsidP="004551E9">
      <w:pPr>
        <w:pStyle w:val="Pie"/>
      </w:pPr>
      <w:r w:rsidRPr="00597337">
        <w:rPr>
          <w:rStyle w:val="Refdenotaalpie"/>
        </w:rPr>
        <w:footnoteRef/>
      </w:r>
      <w:r w:rsidRPr="00597337">
        <w:t xml:space="preserve"> Informe presentado por el Alto Comisionado para los Derechos Humanos de Naciones Unidas, en ocasión de la Sexta reunión del Comité Especial de la Convención sobre discapacidad, sobre el asunto de la “capacidad jurídica”. (De aquí en más “Informe ACNUDH sobre capacidad jurídica”). </w:t>
      </w:r>
    </w:p>
  </w:footnote>
  <w:footnote w:id="500">
    <w:p w:rsidR="00887731" w:rsidRPr="00597337" w:rsidRDefault="00887731" w:rsidP="004551E9">
      <w:pPr>
        <w:pStyle w:val="Pie"/>
      </w:pPr>
      <w:r w:rsidRPr="00597337">
        <w:rPr>
          <w:rStyle w:val="Refdenotaalpie"/>
        </w:rPr>
        <w:footnoteRef/>
      </w:r>
      <w:r w:rsidRPr="00597337">
        <w:t xml:space="preserve"> […El presente trabajo ofrece una aproximación general sobre el modo en el cual los términos “personalidad jurídica” y “capacidad jurídica” son utilizados en los tratados de derechos humanos existentes, y en algunos sistemas nacionales específicos. El objetivo es analizar la relación –y posible superposición- entre estos dos términos, así como la relación entre los términos señalados y los términos “personalidad jurídica” (</w:t>
      </w:r>
      <w:r w:rsidRPr="00597337">
        <w:rPr>
          <w:i/>
        </w:rPr>
        <w:t>legal personality</w:t>
      </w:r>
      <w:r w:rsidRPr="00597337">
        <w:rPr>
          <w:rStyle w:val="Refdenotaalpie"/>
          <w:lang w:val="es-AR"/>
        </w:rPr>
        <w:t xml:space="preserve"> </w:t>
      </w:r>
      <w:r w:rsidRPr="00597337">
        <w:t>), “capacidad de derecho”(</w:t>
      </w:r>
      <w:r w:rsidRPr="00597337">
        <w:rPr>
          <w:i/>
        </w:rPr>
        <w:t xml:space="preserve"> juridical capacity</w:t>
      </w:r>
      <w:r w:rsidRPr="00597337">
        <w:rPr>
          <w:rStyle w:val="Refdenotaalpie"/>
          <w:lang w:val="es-AR"/>
        </w:rPr>
        <w:t xml:space="preserve"> </w:t>
      </w:r>
      <w:r w:rsidRPr="00597337">
        <w:t>), y “capacidad de obrar” (</w:t>
      </w:r>
      <w:r w:rsidRPr="00597337">
        <w:rPr>
          <w:i/>
        </w:rPr>
        <w:t>capacity to act</w:t>
      </w:r>
      <w:r w:rsidRPr="00597337">
        <w:rPr>
          <w:rStyle w:val="Refdenotaalpie"/>
          <w:lang w:val="es-AR"/>
        </w:rPr>
        <w:t xml:space="preserve"> </w:t>
      </w:r>
      <w:r w:rsidRPr="00597337">
        <w:t xml:space="preserve">)…] </w:t>
      </w:r>
      <w:r w:rsidRPr="00597337">
        <w:rPr>
          <w:i/>
        </w:rPr>
        <w:t>Idem</w:t>
      </w:r>
      <w:r w:rsidRPr="00597337">
        <w:t xml:space="preserve">, p. 40. </w:t>
      </w:r>
    </w:p>
  </w:footnote>
  <w:footnote w:id="501">
    <w:p w:rsidR="00887731" w:rsidRPr="00597337" w:rsidRDefault="00887731" w:rsidP="004551E9">
      <w:pPr>
        <w:pStyle w:val="Pie"/>
      </w:pPr>
      <w:r w:rsidRPr="00597337">
        <w:rPr>
          <w:rStyle w:val="Refdenotaalpie"/>
        </w:rPr>
        <w:footnoteRef/>
      </w:r>
      <w:r w:rsidRPr="00597337">
        <w:t xml:space="preserve"> […El artículo 16 del PIDCP garantiza a todos los seres humanos el derecho humano fundamental al reconocimiento de la “personalidad jurídica” (</w:t>
      </w:r>
      <w:proofErr w:type="spellStart"/>
      <w:r w:rsidRPr="00597337">
        <w:rPr>
          <w:i/>
        </w:rPr>
        <w:t>recognised</w:t>
      </w:r>
      <w:proofErr w:type="spellEnd"/>
      <w:r w:rsidRPr="00597337">
        <w:rPr>
          <w:i/>
        </w:rPr>
        <w:t xml:space="preserve"> as a </w:t>
      </w:r>
      <w:proofErr w:type="spellStart"/>
      <w:r w:rsidRPr="00597337">
        <w:rPr>
          <w:i/>
        </w:rPr>
        <w:t>person</w:t>
      </w:r>
      <w:proofErr w:type="spellEnd"/>
      <w:r w:rsidRPr="00597337">
        <w:rPr>
          <w:i/>
        </w:rPr>
        <w:t xml:space="preserve"> </w:t>
      </w:r>
      <w:proofErr w:type="spellStart"/>
      <w:r w:rsidRPr="00597337">
        <w:rPr>
          <w:i/>
        </w:rPr>
        <w:t>before</w:t>
      </w:r>
      <w:proofErr w:type="spellEnd"/>
      <w:r w:rsidRPr="00597337">
        <w:rPr>
          <w:i/>
        </w:rPr>
        <w:t xml:space="preserve"> </w:t>
      </w:r>
      <w:proofErr w:type="spellStart"/>
      <w:r w:rsidRPr="00597337">
        <w:rPr>
          <w:i/>
        </w:rPr>
        <w:t>the</w:t>
      </w:r>
      <w:proofErr w:type="spellEnd"/>
      <w:r w:rsidRPr="00597337">
        <w:rPr>
          <w:i/>
        </w:rPr>
        <w:t xml:space="preserve"> </w:t>
      </w:r>
      <w:proofErr w:type="spellStart"/>
      <w:r w:rsidRPr="00597337">
        <w:rPr>
          <w:i/>
        </w:rPr>
        <w:t>law</w:t>
      </w:r>
      <w:proofErr w:type="spellEnd"/>
      <w:r w:rsidRPr="00597337">
        <w:t xml:space="preserve"> en </w:t>
      </w:r>
      <w:proofErr w:type="gramStart"/>
      <w:r w:rsidRPr="00597337">
        <w:t>Inglés</w:t>
      </w:r>
      <w:proofErr w:type="gramEnd"/>
      <w:r w:rsidRPr="00597337">
        <w:t xml:space="preserve">, </w:t>
      </w:r>
      <w:proofErr w:type="spellStart"/>
      <w:r w:rsidRPr="00597337">
        <w:rPr>
          <w:i/>
          <w:iCs/>
        </w:rPr>
        <w:t>personnalité</w:t>
      </w:r>
      <w:proofErr w:type="spellEnd"/>
      <w:r w:rsidRPr="00597337">
        <w:rPr>
          <w:i/>
          <w:iCs/>
        </w:rPr>
        <w:t xml:space="preserve"> </w:t>
      </w:r>
      <w:proofErr w:type="spellStart"/>
      <w:r w:rsidRPr="00597337">
        <w:rPr>
          <w:i/>
          <w:iCs/>
        </w:rPr>
        <w:t>juridique</w:t>
      </w:r>
      <w:proofErr w:type="spellEnd"/>
      <w:r w:rsidRPr="00597337">
        <w:rPr>
          <w:iCs/>
        </w:rPr>
        <w:t xml:space="preserve"> en Francés). De conformidad con esta disposición, el individuo es dotado de “personalidad jurídica”, es decir, de ser reconocido como posible titular de derechos y obligaciones (</w:t>
      </w:r>
      <w:r w:rsidRPr="00597337">
        <w:rPr>
          <w:i/>
        </w:rPr>
        <w:t>bearer of legal rights and obligations</w:t>
      </w:r>
      <w:r w:rsidRPr="00597337">
        <w:t xml:space="preserve">)…] </w:t>
      </w:r>
      <w:r w:rsidRPr="00597337">
        <w:rPr>
          <w:i/>
        </w:rPr>
        <w:t>Idem</w:t>
      </w:r>
      <w:r w:rsidRPr="00597337">
        <w:t>, p.41.</w:t>
      </w:r>
    </w:p>
  </w:footnote>
  <w:footnote w:id="502">
    <w:p w:rsidR="00887731" w:rsidRPr="00597337" w:rsidRDefault="00887731" w:rsidP="004551E9">
      <w:pPr>
        <w:pStyle w:val="Pie"/>
      </w:pPr>
      <w:r w:rsidRPr="00597337">
        <w:rPr>
          <w:rStyle w:val="Refdenotaalpie"/>
        </w:rPr>
        <w:footnoteRef/>
      </w:r>
      <w:r w:rsidRPr="00597337">
        <w:t xml:space="preserve"> […El artículo 15(1) intenta garantizar la igualdad entre hombres y mujeres ante la ley. Este principio, expresado en términos generales en el artículo 26 del PIDCP</w:t>
      </w:r>
      <w:r w:rsidRPr="00597337">
        <w:rPr>
          <w:rStyle w:val="Refdenotaalpie"/>
        </w:rPr>
        <w:footnoteRef/>
      </w:r>
      <w:r w:rsidRPr="00597337">
        <w:t xml:space="preserve">, presupone, por simple lógica, la igualdad en el derecho de las mujeres a ser reconocidas como “personas” ante la ley, una interpretación que también encuentra sustento en el análisis de los trabajos preparatorios. Por ello, parece razonable interpretar el primer párrafo como una reafirmación del principio general de igualdad, y los párrafos siguientes, como aplicaciones específicas de este principio en aquellas cuestiones donde las mujeres son más susceptibles de ser discriminadas: celebración de contratos, administración de propiedades, (párrafos 2 y 3), acceso a la justicia (párrafo 2) y libertad de movilidad, incluyendo la libertad de decidir donde fijar su residencia y domicilio (párrafo 4)…] </w:t>
      </w:r>
      <w:r w:rsidRPr="00597337">
        <w:rPr>
          <w:i/>
        </w:rPr>
        <w:t>Idem</w:t>
      </w:r>
      <w:r w:rsidRPr="00597337">
        <w:t>, p. 52.</w:t>
      </w:r>
    </w:p>
  </w:footnote>
  <w:footnote w:id="503">
    <w:p w:rsidR="00887731" w:rsidRPr="00597337" w:rsidRDefault="00887731" w:rsidP="004551E9">
      <w:pPr>
        <w:pStyle w:val="Pie"/>
        <w:rPr>
          <w:lang w:val="es-AR"/>
        </w:rPr>
      </w:pPr>
      <w:r w:rsidRPr="00597337">
        <w:rPr>
          <w:rStyle w:val="Refdenotaalpie"/>
        </w:rPr>
        <w:footnoteRef/>
      </w:r>
      <w:r w:rsidRPr="00597337">
        <w:t xml:space="preserve"> […El análisis de contexto histórico de negociaciones del artículo 16 del PIDCP y del artículo 15(2) de la CEFDM, al igual que la evaluación del modo en el cual los términos “capacidad jurídica” y “personalidad jurídica” (o sus equivalentes) son utilizados en los diferentes ordenamientos jurídicos, muestran que ambos términos son diferentes. El derecho al reconocimiento a la “personalidad jurídica” confiere al individuo la capacidad de ser reconocido como persona ante la ley, y por tanto, es un requisito previo a todos los otros derechos. El concepto de “capacidad jurídica” es un concepto más amplio que lógicamente presupone la capacidad de ser sujeto de derechos y obligaciones (elemento estático), pero también presupone la capacidad de ejercer dichos derechos, o asumir dichas obligaciones a través de sus propias decisiones, es decir, sin asistencia o representación de un tercero (elemento dinámico). </w:t>
      </w:r>
      <w:r w:rsidRPr="00597337">
        <w:rPr>
          <w:lang w:val="es-AR"/>
        </w:rPr>
        <w:t xml:space="preserve">Por ello, la capacidad jurídica incluye la “capacidad de obrar”, entendida como la capacidad y el poder de una persona en virtud del derecho de asumir compromisos o transacciones particulares, mantener un estatus determinado, o una relación con otro, o en un sentido más general, de crear, modificar, o extinguir relaciones jurídicas…] Idem, p. 62. </w:t>
      </w:r>
    </w:p>
  </w:footnote>
  <w:footnote w:id="504">
    <w:p w:rsidR="00887731" w:rsidRPr="00597337" w:rsidRDefault="00887731" w:rsidP="004551E9">
      <w:pPr>
        <w:pStyle w:val="Pie"/>
      </w:pPr>
      <w:r w:rsidRPr="00597337">
        <w:rPr>
          <w:rStyle w:val="Refdenotaalpie"/>
        </w:rPr>
        <w:footnoteRef/>
      </w:r>
      <w:r w:rsidRPr="00597337">
        <w:t xml:space="preserve"> BARIFFI, F. J., (2009), op. cit.  </w:t>
      </w:r>
    </w:p>
  </w:footnote>
  <w:footnote w:id="505">
    <w:p w:rsidR="00887731" w:rsidRPr="00597337" w:rsidRDefault="00887731" w:rsidP="004551E9">
      <w:pPr>
        <w:pStyle w:val="Pie"/>
      </w:pPr>
      <w:r w:rsidRPr="00597337">
        <w:rPr>
          <w:rStyle w:val="Refdenotaalpie"/>
        </w:rPr>
        <w:footnoteRef/>
      </w:r>
      <w:r w:rsidRPr="00597337">
        <w:t xml:space="preserve"> Artículo 16. Todo ser humano tiene derecho, en todas partes, al reconocimiento de su personalidad jurídica.</w:t>
      </w:r>
    </w:p>
  </w:footnote>
  <w:footnote w:id="506">
    <w:p w:rsidR="00887731" w:rsidRPr="00597337" w:rsidRDefault="00887731" w:rsidP="004551E9">
      <w:pPr>
        <w:pStyle w:val="Pie"/>
      </w:pPr>
      <w:r w:rsidRPr="00597337">
        <w:rPr>
          <w:rStyle w:val="Refdenotaalpie"/>
          <w:szCs w:val="20"/>
        </w:rPr>
        <w:footnoteRef/>
      </w:r>
      <w:r w:rsidRPr="00597337">
        <w:t xml:space="preserve"> Artículo 3. Derecho al Reconocimiento de la Personalidad Jurídica. Toda persona tiene derecho al reconocimiento de su personalidad jurídica.</w:t>
      </w:r>
    </w:p>
  </w:footnote>
  <w:footnote w:id="507">
    <w:p w:rsidR="00887731" w:rsidRPr="00597337" w:rsidRDefault="00887731" w:rsidP="004551E9">
      <w:pPr>
        <w:pStyle w:val="Pie"/>
      </w:pPr>
      <w:r w:rsidRPr="00597337">
        <w:rPr>
          <w:rStyle w:val="Refdenotaalpie"/>
        </w:rPr>
        <w:footnoteRef/>
      </w:r>
      <w:r w:rsidRPr="00597337">
        <w:t xml:space="preserve"> Artículo 5: Todo individuo tendrá derecho al respeto de la dignidad inherente al ser humano y al reconocimiento de su status legal (…).</w:t>
      </w:r>
    </w:p>
  </w:footnote>
  <w:footnote w:id="508">
    <w:p w:rsidR="00887731" w:rsidRPr="004551E9" w:rsidRDefault="00887731" w:rsidP="004551E9">
      <w:pPr>
        <w:pStyle w:val="Pie"/>
        <w:rPr>
          <w:lang w:val="en-US"/>
        </w:rPr>
      </w:pPr>
      <w:r w:rsidRPr="00597337">
        <w:rPr>
          <w:rStyle w:val="Refdenotaalpie"/>
        </w:rPr>
        <w:footnoteRef/>
      </w:r>
      <w:r w:rsidRPr="004551E9">
        <w:rPr>
          <w:lang w:val="en-US"/>
        </w:rPr>
        <w:t xml:space="preserve"> En </w:t>
      </w:r>
      <w:proofErr w:type="spellStart"/>
      <w:r w:rsidRPr="004551E9">
        <w:rPr>
          <w:lang w:val="en-US"/>
        </w:rPr>
        <w:t>inglés</w:t>
      </w:r>
      <w:proofErr w:type="spellEnd"/>
      <w:r w:rsidRPr="004551E9">
        <w:rPr>
          <w:lang w:val="en-US"/>
        </w:rPr>
        <w:t>: “</w:t>
      </w:r>
      <w:r w:rsidRPr="00597337">
        <w:rPr>
          <w:lang w:val="en-GB"/>
        </w:rPr>
        <w:t>the right to recognition everywhere as a person before the law”, en francés: “</w:t>
      </w:r>
      <w:r w:rsidRPr="00597337">
        <w:rPr>
          <w:lang w:val="fr-FR"/>
        </w:rPr>
        <w:t>droit à la reconnaissance en tous lieux de sa personnalité juridique</w:t>
      </w:r>
      <w:r w:rsidRPr="00597337">
        <w:rPr>
          <w:lang w:val="en-GB"/>
        </w:rPr>
        <w:t>”</w:t>
      </w:r>
      <w:r w:rsidRPr="00597337">
        <w:rPr>
          <w:lang w:val="fr-FR"/>
        </w:rPr>
        <w:t>.</w:t>
      </w:r>
    </w:p>
  </w:footnote>
  <w:footnote w:id="509">
    <w:p w:rsidR="00887731" w:rsidRPr="00562DB8" w:rsidRDefault="00887731" w:rsidP="004551E9">
      <w:pPr>
        <w:pStyle w:val="Pie"/>
        <w:rPr>
          <w:lang w:val="en-US"/>
        </w:rPr>
      </w:pPr>
      <w:r w:rsidRPr="00597337">
        <w:rPr>
          <w:rStyle w:val="Refdenotaalpie"/>
        </w:rPr>
        <w:footnoteRef/>
      </w:r>
      <w:r w:rsidRPr="00562DB8">
        <w:rPr>
          <w:lang w:val="en-US"/>
        </w:rPr>
        <w:t xml:space="preserve"> […Article 6 is not among those provisions of the UDHR that have attracted the most attention, nor has it been invoked frequently. This may be because article 6 - like article 16 of the CCPR - does not contain any autonomous enforceable subjective claims…] BOGDAN M &amp; KOFOD OLSEN, (1999) “Article 6”, en </w:t>
      </w:r>
      <w:r w:rsidRPr="00562DB8">
        <w:rPr>
          <w:i/>
          <w:lang w:val="en-US"/>
        </w:rPr>
        <w:t>The Universal Declaration of Human Rights: a common standard of achievement,</w:t>
      </w:r>
      <w:r w:rsidRPr="00562DB8">
        <w:rPr>
          <w:lang w:val="en-US"/>
        </w:rPr>
        <w:t xml:space="preserve"> </w:t>
      </w:r>
      <w:r w:rsidRPr="00562DB8">
        <w:rPr>
          <w:caps/>
          <w:lang w:val="en-US"/>
        </w:rPr>
        <w:t>Alfredsson &amp; Asbjørn</w:t>
      </w:r>
      <w:r w:rsidRPr="00562DB8">
        <w:rPr>
          <w:lang w:val="en-US"/>
        </w:rPr>
        <w:t xml:space="preserve"> (Eds), Martinus Nijhoff Publishers, p. 151.  </w:t>
      </w:r>
    </w:p>
  </w:footnote>
  <w:footnote w:id="510">
    <w:p w:rsidR="00887731" w:rsidRPr="004551E9" w:rsidRDefault="00887731" w:rsidP="004551E9">
      <w:pPr>
        <w:pStyle w:val="Pie"/>
        <w:rPr>
          <w:lang w:val="en-US"/>
        </w:rPr>
      </w:pPr>
      <w:r w:rsidRPr="00597337">
        <w:rPr>
          <w:rStyle w:val="Refdenotaalpie"/>
        </w:rPr>
        <w:footnoteRef/>
      </w:r>
      <w:r w:rsidRPr="004551E9">
        <w:rPr>
          <w:lang w:val="en-US"/>
        </w:rPr>
        <w:t xml:space="preserve"> </w:t>
      </w:r>
      <w:r w:rsidRPr="00597337">
        <w:rPr>
          <w:caps/>
          <w:lang w:val="en-US"/>
        </w:rPr>
        <w:t xml:space="preserve">Nowak M, (2005) </w:t>
      </w:r>
      <w:r w:rsidRPr="00597337">
        <w:rPr>
          <w:i/>
          <w:iCs/>
          <w:lang w:val="en-US"/>
        </w:rPr>
        <w:t>U.N. Covenant on Civil and Political Rights: CCPR Commentary</w:t>
      </w:r>
      <w:r w:rsidRPr="00597337">
        <w:rPr>
          <w:lang w:val="en-US"/>
        </w:rPr>
        <w:t>, 2</w:t>
      </w:r>
      <w:r w:rsidRPr="00597337">
        <w:rPr>
          <w:vertAlign w:val="superscript"/>
          <w:lang w:val="en-US"/>
        </w:rPr>
        <w:t>nd</w:t>
      </w:r>
      <w:r w:rsidRPr="00597337">
        <w:rPr>
          <w:lang w:val="en-US"/>
        </w:rPr>
        <w:t xml:space="preserve"> revised edition, N.P. Engel Publisher,</w:t>
      </w:r>
      <w:r w:rsidRPr="004551E9">
        <w:rPr>
          <w:lang w:val="en-US"/>
        </w:rPr>
        <w:t xml:space="preserve"> p. 369.</w:t>
      </w:r>
    </w:p>
  </w:footnote>
  <w:footnote w:id="511">
    <w:p w:rsidR="00887731" w:rsidRPr="008D46DF" w:rsidRDefault="00887731" w:rsidP="004551E9">
      <w:pPr>
        <w:pStyle w:val="Pie"/>
      </w:pPr>
      <w:r w:rsidRPr="00597337">
        <w:rPr>
          <w:rStyle w:val="Refdenotaalpie"/>
        </w:rPr>
        <w:footnoteRef/>
      </w:r>
      <w:r w:rsidRPr="008D46DF">
        <w:t xml:space="preserve"> Informe ACNUDH sobre capacidad jurídica, </w:t>
      </w:r>
      <w:proofErr w:type="spellStart"/>
      <w:r w:rsidRPr="008D46DF">
        <w:t>op</w:t>
      </w:r>
      <w:proofErr w:type="spellEnd"/>
      <w:r w:rsidRPr="008D46DF">
        <w:t xml:space="preserve">. cit. </w:t>
      </w:r>
    </w:p>
  </w:footnote>
  <w:footnote w:id="512">
    <w:p w:rsidR="00887731" w:rsidRPr="00597337" w:rsidRDefault="00887731" w:rsidP="004551E9">
      <w:pPr>
        <w:pStyle w:val="Pie"/>
      </w:pPr>
      <w:r w:rsidRPr="00597337">
        <w:rPr>
          <w:rStyle w:val="Refdenotaalpie"/>
        </w:rPr>
        <w:footnoteRef/>
      </w:r>
      <w:r w:rsidRPr="008D46DF">
        <w:t xml:space="preserve"> CIADH. Caso Bámaca Velásquez Vs. Guatemala. </w:t>
      </w:r>
      <w:r w:rsidRPr="00B05B9B">
        <w:t>Fondo. Sentencia de 25 de Noviembre de 2000, Serie C No. 70</w:t>
      </w:r>
      <w:r w:rsidRPr="00B05B9B">
        <w:rPr>
          <w:lang w:eastAsia="es-ES"/>
        </w:rPr>
        <w:t xml:space="preserve">, párr. </w:t>
      </w:r>
      <w:r w:rsidRPr="00597337">
        <w:rPr>
          <w:lang w:eastAsia="es-ES"/>
        </w:rPr>
        <w:t>179; CIADH, Caso de las Niñas Yean y Bosico.</w:t>
      </w:r>
      <w:r w:rsidRPr="00597337">
        <w:t xml:space="preserve"> Excepciones Preliminares, Fondo, Reparaciones y Costas. Sentencia de 8 de septiembre de 2005. Serie C No. 130. </w:t>
      </w:r>
      <w:r w:rsidRPr="00597337">
        <w:rPr>
          <w:lang w:eastAsia="es-ES"/>
        </w:rPr>
        <w:t>párr. 176.</w:t>
      </w:r>
    </w:p>
  </w:footnote>
  <w:footnote w:id="513">
    <w:p w:rsidR="00887731" w:rsidRPr="00597337" w:rsidRDefault="00887731" w:rsidP="004551E9">
      <w:pPr>
        <w:pStyle w:val="Pie"/>
      </w:pPr>
      <w:r w:rsidRPr="00597337">
        <w:rPr>
          <w:rStyle w:val="Refdenotaalpie"/>
        </w:rPr>
        <w:footnoteRef/>
      </w:r>
      <w:r w:rsidRPr="00597337">
        <w:t xml:space="preserve"> CIADH. Caso Bámaca Velásquez Vs. Guatemala, Fondo. Sentencia de 25 de Noviembre de 2000, Serie C No. 70. </w:t>
      </w:r>
      <w:r w:rsidRPr="00597337">
        <w:rPr>
          <w:lang w:val="es-ES_tradnl"/>
        </w:rPr>
        <w:t>Voto concurrente García Ramírez</w:t>
      </w:r>
    </w:p>
  </w:footnote>
  <w:footnote w:id="514">
    <w:p w:rsidR="00887731" w:rsidRPr="00597337" w:rsidRDefault="00887731" w:rsidP="004551E9">
      <w:pPr>
        <w:pStyle w:val="Pie"/>
      </w:pPr>
      <w:r w:rsidRPr="00597337">
        <w:rPr>
          <w:rStyle w:val="Refdenotaalpie"/>
        </w:rPr>
        <w:footnoteRef/>
      </w:r>
      <w:r w:rsidRPr="00597337">
        <w:t xml:space="preserve"> CIADH. </w:t>
      </w:r>
      <w:r w:rsidRPr="00597337">
        <w:rPr>
          <w:iCs/>
          <w:lang w:eastAsia="es-ES"/>
        </w:rPr>
        <w:t>Caso Comunidad Indígena Sawhoyamaxa Vs. Paraguay.</w:t>
      </w:r>
      <w:r w:rsidRPr="00597337">
        <w:t xml:space="preserve"> Fondo, Reparaciones y Costas. Sentencia de 29 de marzo de 2006. Serie C No. 146</w:t>
      </w:r>
      <w:r w:rsidRPr="00597337">
        <w:rPr>
          <w:iCs/>
          <w:lang w:eastAsia="es-ES"/>
        </w:rPr>
        <w:t xml:space="preserve">. </w:t>
      </w:r>
      <w:r w:rsidRPr="00597337">
        <w:rPr>
          <w:lang w:eastAsia="es-ES"/>
        </w:rPr>
        <w:t>párrafos. 188-190.</w:t>
      </w:r>
    </w:p>
  </w:footnote>
  <w:footnote w:id="515">
    <w:p w:rsidR="00887731" w:rsidRPr="00597337" w:rsidRDefault="00887731" w:rsidP="004551E9">
      <w:pPr>
        <w:pStyle w:val="Pie"/>
      </w:pPr>
      <w:r w:rsidRPr="00597337">
        <w:rPr>
          <w:rStyle w:val="Refdenotaalpie"/>
        </w:rPr>
        <w:footnoteRef/>
      </w:r>
      <w:r w:rsidRPr="00597337">
        <w:t xml:space="preserve"> CIADH. Caso Bámaca Velásquez Vs. Guatemala. Fondo. Sentencia de 25 de Noviembre de 2000, Serie C No. 70, párr. 179; CIADH, Caso del Pueblo </w:t>
      </w:r>
      <w:r w:rsidRPr="00597337">
        <w:rPr>
          <w:i/>
        </w:rPr>
        <w:t>Saramaka Vs. Suriname</w:t>
      </w:r>
      <w:r w:rsidRPr="00597337">
        <w:t>. Excepciones Preliminares, Fondo, Reparaciones y Costas. Sentencia de 28 de noviembre de 2007. Serie C No. 172, párr. 166. CIADH, Caso Anzualdo Castro Vs. Perú. Excepción Preliminar, Fondo, Reparaciones y Costas. Sentencia de 22 de Septiembre de 2009. Serie C No. 202, párr. 87.</w:t>
      </w:r>
    </w:p>
  </w:footnote>
  <w:footnote w:id="516">
    <w:p w:rsidR="00887731" w:rsidRPr="00597337" w:rsidRDefault="00887731" w:rsidP="004551E9">
      <w:pPr>
        <w:pStyle w:val="Pie"/>
      </w:pPr>
      <w:r w:rsidRPr="00597337">
        <w:rPr>
          <w:rStyle w:val="Refdenotaalpie"/>
        </w:rPr>
        <w:footnoteRef/>
      </w:r>
      <w:r w:rsidRPr="00597337">
        <w:t xml:space="preserve"> CIADH, Caso de las Niñas </w:t>
      </w:r>
      <w:proofErr w:type="spellStart"/>
      <w:r w:rsidRPr="00597337">
        <w:rPr>
          <w:i/>
        </w:rPr>
        <w:t>Yean</w:t>
      </w:r>
      <w:proofErr w:type="spellEnd"/>
      <w:r w:rsidRPr="00597337">
        <w:rPr>
          <w:i/>
        </w:rPr>
        <w:t xml:space="preserve"> y </w:t>
      </w:r>
      <w:proofErr w:type="spellStart"/>
      <w:r w:rsidRPr="00597337">
        <w:rPr>
          <w:i/>
        </w:rPr>
        <w:t>Bosico</w:t>
      </w:r>
      <w:proofErr w:type="spellEnd"/>
      <w:r w:rsidRPr="00597337">
        <w:rPr>
          <w:i/>
        </w:rPr>
        <w:t xml:space="preserve"> Vs. República Dominicana</w:t>
      </w:r>
      <w:r w:rsidRPr="00597337">
        <w:t>. Excepciones Preliminares, Fondo, Reparaciones y Costas. Sentencia de 8 de septiembre de 2005. Serie C No. 130, párr. 179</w:t>
      </w:r>
    </w:p>
  </w:footnote>
  <w:footnote w:id="517">
    <w:p w:rsidR="00887731" w:rsidRPr="00597337" w:rsidRDefault="00887731" w:rsidP="004551E9">
      <w:pPr>
        <w:pStyle w:val="Pie"/>
      </w:pPr>
      <w:r w:rsidRPr="00597337">
        <w:rPr>
          <w:rStyle w:val="Refdenotaalpie"/>
        </w:rPr>
        <w:footnoteRef/>
      </w:r>
      <w:r w:rsidRPr="00597337">
        <w:t xml:space="preserve">  CIADH, Caso </w:t>
      </w:r>
      <w:r w:rsidRPr="00597337">
        <w:rPr>
          <w:i/>
        </w:rPr>
        <w:t xml:space="preserve">Radilla Pacheco </w:t>
      </w:r>
      <w:r w:rsidRPr="00597337">
        <w:rPr>
          <w:i/>
          <w:iCs/>
        </w:rPr>
        <w:t xml:space="preserve">vs. </w:t>
      </w:r>
      <w:r w:rsidRPr="00597337">
        <w:rPr>
          <w:i/>
        </w:rPr>
        <w:t>Estados Unidos Mexicanos</w:t>
      </w:r>
      <w:r w:rsidRPr="00597337">
        <w:t>. Excepciones Preliminares, Fondo, Reparaciones y Costas. Sentencia de 23 de Noviembre de 2009. Serie C No. 209, párrafo 155.</w:t>
      </w:r>
    </w:p>
  </w:footnote>
  <w:footnote w:id="518">
    <w:p w:rsidR="00887731" w:rsidRPr="00597337" w:rsidRDefault="00887731" w:rsidP="004551E9">
      <w:pPr>
        <w:pStyle w:val="Pie"/>
      </w:pPr>
      <w:r w:rsidRPr="00597337">
        <w:rPr>
          <w:rStyle w:val="Refdenotaalpie"/>
        </w:rPr>
        <w:footnoteRef/>
      </w:r>
      <w:r w:rsidRPr="00597337">
        <w:t xml:space="preserve"> CIADH, Caso </w:t>
      </w:r>
      <w:r w:rsidRPr="00597337">
        <w:rPr>
          <w:i/>
        </w:rPr>
        <w:t>Comunidad Indígena Sawhoyamaxa Vs. Paraguay</w:t>
      </w:r>
      <w:r w:rsidRPr="00597337">
        <w:t>. Fondo, Reparaciones y Costas. Sentencia de 29 de marzo de 2006. Serie C No. 146, párr. 189.</w:t>
      </w:r>
    </w:p>
  </w:footnote>
  <w:footnote w:id="519">
    <w:p w:rsidR="00887731" w:rsidRPr="00597337" w:rsidRDefault="00887731" w:rsidP="004551E9">
      <w:pPr>
        <w:pStyle w:val="Pie"/>
      </w:pPr>
      <w:r w:rsidRPr="00597337">
        <w:rPr>
          <w:rStyle w:val="Refdenotaalpie"/>
        </w:rPr>
        <w:footnoteRef/>
      </w:r>
      <w:r w:rsidRPr="00597337">
        <w:t xml:space="preserve"> CIADH. Caso del Pueblo Saramaka Vs. Surinam. Excepciones Preliminares, Fondo, Reparaciones y Costas. Sentencia de 28 de noviembre de 2007. Serie C No. 172, párr. 166. CIADH, Caso Anzualdo Castro Vs. Perú. Excepción Preliminar, Fondo, Reparaciones y Costas. Sentencia de 22 de Septiembre de 2009. Serie C No. 202. párr. 88.</w:t>
      </w:r>
    </w:p>
  </w:footnote>
  <w:footnote w:id="520">
    <w:p w:rsidR="00887731" w:rsidRPr="00597337" w:rsidRDefault="00887731" w:rsidP="004551E9">
      <w:pPr>
        <w:pStyle w:val="Pie"/>
      </w:pPr>
      <w:r w:rsidRPr="00597337">
        <w:rPr>
          <w:rStyle w:val="Refdenotaalpie"/>
        </w:rPr>
        <w:footnoteRef/>
      </w:r>
      <w:r w:rsidRPr="00597337">
        <w:t xml:space="preserve"> Convención Americana sobre Derechos Humanos. Artículo 27   </w:t>
      </w:r>
    </w:p>
  </w:footnote>
  <w:footnote w:id="521">
    <w:p w:rsidR="00887731" w:rsidRPr="00597337" w:rsidRDefault="00887731" w:rsidP="004551E9">
      <w:pPr>
        <w:pStyle w:val="Pie"/>
      </w:pPr>
      <w:r w:rsidRPr="00597337">
        <w:rPr>
          <w:rStyle w:val="Refdenotaalpie"/>
        </w:rPr>
        <w:footnoteRef/>
      </w:r>
      <w:r w:rsidRPr="00597337">
        <w:t xml:space="preserve"> Tribunal Internacional de Justicia, </w:t>
      </w:r>
      <w:r w:rsidRPr="00597337">
        <w:rPr>
          <w:i/>
        </w:rPr>
        <w:t xml:space="preserve">Caso </w:t>
      </w:r>
      <w:proofErr w:type="spellStart"/>
      <w:r w:rsidRPr="00597337">
        <w:rPr>
          <w:i/>
        </w:rPr>
        <w:t>LaGrand</w:t>
      </w:r>
      <w:proofErr w:type="spellEnd"/>
      <w:r w:rsidRPr="00597337">
        <w:t>, sentencia de 27 de junio de 2001, párrafo 77.</w:t>
      </w:r>
    </w:p>
  </w:footnote>
  <w:footnote w:id="522">
    <w:p w:rsidR="00887731" w:rsidRPr="00597337" w:rsidRDefault="00887731" w:rsidP="004551E9">
      <w:pPr>
        <w:pStyle w:val="Pie"/>
      </w:pPr>
      <w:r w:rsidRPr="00597337">
        <w:rPr>
          <w:rStyle w:val="Refdenotaalpie"/>
        </w:rPr>
        <w:footnoteRef/>
      </w:r>
      <w:r w:rsidRPr="00597337">
        <w:t xml:space="preserve"> Tribunal Internacional de Justicia, Caso Avina, sentencia de 31 de marzo de 2004, párrafo 40. </w:t>
      </w:r>
    </w:p>
  </w:footnote>
  <w:footnote w:id="523">
    <w:p w:rsidR="00887731" w:rsidRPr="00597337" w:rsidRDefault="00887731" w:rsidP="004551E9">
      <w:pPr>
        <w:pStyle w:val="Pie"/>
      </w:pPr>
      <w:r w:rsidRPr="00597337">
        <w:rPr>
          <w:rStyle w:val="Refdenotaalpie"/>
        </w:rPr>
        <w:footnoteRef/>
      </w:r>
      <w:r w:rsidRPr="00597337">
        <w:t xml:space="preserve"> Tribunal Internacional de Justicia, Caso </w:t>
      </w:r>
      <w:proofErr w:type="spellStart"/>
      <w:r w:rsidRPr="00597337">
        <w:rPr>
          <w:i/>
        </w:rPr>
        <w:t>Ahmadou</w:t>
      </w:r>
      <w:proofErr w:type="spellEnd"/>
      <w:r w:rsidRPr="00597337">
        <w:rPr>
          <w:i/>
        </w:rPr>
        <w:t xml:space="preserve"> </w:t>
      </w:r>
      <w:proofErr w:type="spellStart"/>
      <w:r w:rsidRPr="00597337">
        <w:rPr>
          <w:i/>
        </w:rPr>
        <w:t>Sadio</w:t>
      </w:r>
      <w:proofErr w:type="spellEnd"/>
      <w:r w:rsidRPr="00597337">
        <w:rPr>
          <w:i/>
        </w:rPr>
        <w:t xml:space="preserve"> </w:t>
      </w:r>
      <w:proofErr w:type="spellStart"/>
      <w:r w:rsidRPr="00597337">
        <w:rPr>
          <w:i/>
        </w:rPr>
        <w:t>Diallo</w:t>
      </w:r>
      <w:proofErr w:type="spellEnd"/>
      <w:r w:rsidRPr="00597337">
        <w:t>, sentencia de 30 de noviembre de 2010, parte II.</w:t>
      </w:r>
    </w:p>
  </w:footnote>
  <w:footnote w:id="524">
    <w:p w:rsidR="00887731" w:rsidRPr="00597337" w:rsidRDefault="00887731" w:rsidP="004551E9">
      <w:pPr>
        <w:pStyle w:val="Pie"/>
      </w:pPr>
      <w:r w:rsidRPr="00597337">
        <w:rPr>
          <w:rStyle w:val="Refdenotaalpie"/>
        </w:rPr>
        <w:footnoteRef/>
      </w:r>
      <w:r w:rsidRPr="00597337">
        <w:t xml:space="preserve"> Ídem, párrafo 66. </w:t>
      </w:r>
    </w:p>
  </w:footnote>
  <w:footnote w:id="525">
    <w:p w:rsidR="00887731" w:rsidRPr="00597337" w:rsidRDefault="00887731" w:rsidP="004551E9">
      <w:pPr>
        <w:pStyle w:val="Pie"/>
        <w:rPr>
          <w:lang w:val="es-AR"/>
        </w:rPr>
      </w:pPr>
      <w:r w:rsidRPr="00597337">
        <w:rPr>
          <w:rStyle w:val="Refdenotaalpie"/>
        </w:rPr>
        <w:footnoteRef/>
      </w:r>
      <w:r w:rsidRPr="00597337">
        <w:t xml:space="preserve"> En este sentido, resulta ilustrativa la reciente jurisprudencia del Tribunal Europeo de Derechos Humanos en especial: </w:t>
      </w:r>
      <w:r w:rsidRPr="00597337">
        <w:rPr>
          <w:lang w:val="es-AR"/>
        </w:rPr>
        <w:t>TEDH, Shtukaturov v. Rusia, Sentencia de 27 de marzo de 2008, Aplicación no. 44009/05</w:t>
      </w:r>
    </w:p>
  </w:footnote>
  <w:footnote w:id="526">
    <w:p w:rsidR="00887731" w:rsidRPr="00597337" w:rsidRDefault="00887731" w:rsidP="004551E9">
      <w:pPr>
        <w:pStyle w:val="Pie"/>
      </w:pPr>
      <w:r w:rsidRPr="00597337">
        <w:rPr>
          <w:rStyle w:val="Refdenotaalpie"/>
        </w:rPr>
        <w:footnoteRef/>
      </w:r>
      <w:r w:rsidRPr="00597337">
        <w:t xml:space="preserve"> Informe ACNUDH sobre capacidad jurídica, </w:t>
      </w:r>
      <w:proofErr w:type="spellStart"/>
      <w:r w:rsidRPr="00597337">
        <w:t>op</w:t>
      </w:r>
      <w:proofErr w:type="spellEnd"/>
      <w:r w:rsidRPr="00597337">
        <w:t xml:space="preserve">. cit. </w:t>
      </w:r>
    </w:p>
  </w:footnote>
  <w:footnote w:id="527">
    <w:p w:rsidR="00887731" w:rsidRPr="00597337" w:rsidRDefault="00887731" w:rsidP="004551E9">
      <w:pPr>
        <w:pStyle w:val="Pie"/>
        <w:rPr>
          <w:lang w:val="en-US"/>
        </w:rPr>
      </w:pPr>
      <w:r w:rsidRPr="00597337">
        <w:rPr>
          <w:rStyle w:val="Refdenotaalpie"/>
        </w:rPr>
        <w:footnoteRef/>
      </w:r>
      <w:r w:rsidRPr="00597337">
        <w:t xml:space="preserve"> Comité de las Naciones Unidas para la Eliminación de la Discriminación de la Mujer, Recomendación general Nº 21, La igualdad en el matrimonio y en las relaciones familiares, A/49/38, 1994, para. </w:t>
      </w:r>
      <w:r w:rsidRPr="00597337">
        <w:rPr>
          <w:lang w:val="en-US"/>
        </w:rPr>
        <w:t>7</w:t>
      </w:r>
    </w:p>
  </w:footnote>
  <w:footnote w:id="528">
    <w:p w:rsidR="00887731" w:rsidRPr="004551E9" w:rsidRDefault="00887731" w:rsidP="004551E9">
      <w:pPr>
        <w:pStyle w:val="Pie"/>
        <w:rPr>
          <w:lang w:val="en-US"/>
        </w:rPr>
      </w:pPr>
      <w:r w:rsidRPr="00597337">
        <w:rPr>
          <w:rStyle w:val="Refdenotaalpie"/>
        </w:rPr>
        <w:footnoteRef/>
      </w:r>
      <w:r w:rsidRPr="004551E9">
        <w:rPr>
          <w:lang w:val="en-US"/>
        </w:rPr>
        <w:t xml:space="preserve"> </w:t>
      </w:r>
      <w:proofErr w:type="gramStart"/>
      <w:r w:rsidRPr="004551E9">
        <w:rPr>
          <w:caps/>
          <w:lang w:val="en-US"/>
        </w:rPr>
        <w:t>Goonesekere, S. W. E.,</w:t>
      </w:r>
      <w:r w:rsidRPr="004551E9">
        <w:rPr>
          <w:lang w:val="en-US"/>
        </w:rPr>
        <w:t xml:space="preserve"> (2012) “Article 15”, en </w:t>
      </w:r>
      <w:r w:rsidRPr="004551E9">
        <w:rPr>
          <w:caps/>
          <w:lang w:val="en-US"/>
        </w:rPr>
        <w:t>Freeman, Chinkin, Rudolf (Eds),</w:t>
      </w:r>
      <w:r w:rsidRPr="004551E9">
        <w:rPr>
          <w:lang w:val="en-US"/>
        </w:rPr>
        <w:t xml:space="preserve"> </w:t>
      </w:r>
      <w:r w:rsidRPr="004551E9">
        <w:rPr>
          <w:i/>
          <w:lang w:val="en-US"/>
        </w:rPr>
        <w:t>CEDAW Commentary</w:t>
      </w:r>
      <w:r w:rsidRPr="004551E9">
        <w:rPr>
          <w:lang w:val="en-US"/>
        </w:rPr>
        <w:t>, Oxford University Press, p. 396.</w:t>
      </w:r>
      <w:proofErr w:type="gramEnd"/>
      <w:r w:rsidRPr="004551E9">
        <w:rPr>
          <w:lang w:val="en-US"/>
        </w:rPr>
        <w:t xml:space="preserve"> </w:t>
      </w:r>
    </w:p>
  </w:footnote>
  <w:footnote w:id="529">
    <w:p w:rsidR="00887731" w:rsidRPr="00597337" w:rsidRDefault="00887731" w:rsidP="004551E9">
      <w:pPr>
        <w:pStyle w:val="Pie"/>
      </w:pPr>
      <w:r w:rsidRPr="00597337">
        <w:rPr>
          <w:rStyle w:val="Refdenotaalpie"/>
        </w:rPr>
        <w:footnoteRef/>
      </w:r>
      <w:r w:rsidRPr="00597337">
        <w:t xml:space="preserve"> Véase CAMPOY CERVERA, I., (en prensa), “La Construcción de un Modelo de Derechos Humanos para los Niños, con y sin Discapacidad”.</w:t>
      </w:r>
    </w:p>
  </w:footnote>
  <w:footnote w:id="530">
    <w:p w:rsidR="00887731" w:rsidRPr="00562DB8" w:rsidRDefault="00887731" w:rsidP="004551E9">
      <w:pPr>
        <w:pStyle w:val="Textonotapie"/>
        <w:rPr>
          <w:lang w:val="en-US"/>
        </w:rPr>
      </w:pPr>
      <w:r>
        <w:rPr>
          <w:rStyle w:val="Refdenotaalpie"/>
        </w:rPr>
        <w:footnoteRef/>
      </w:r>
      <w:r w:rsidRPr="000E22B3">
        <w:t xml:space="preserve"> Protocolo Facultativo de la Convención sobre los Derechos del Niño relativo a un procedimiento de comunicaciones</w:t>
      </w:r>
      <w:r>
        <w:t xml:space="preserve">, </w:t>
      </w:r>
      <w:r w:rsidRPr="000E22B3">
        <w:t>Nueva York, 19 de diciembre 2011</w:t>
      </w:r>
      <w:r>
        <w:t xml:space="preserve">, </w:t>
      </w:r>
      <w:r w:rsidRPr="000E22B3">
        <w:t>A/RES/66/138</w:t>
      </w:r>
      <w:r>
        <w:t xml:space="preserve">. </w:t>
      </w:r>
      <w:proofErr w:type="spellStart"/>
      <w:proofErr w:type="gramStart"/>
      <w:r w:rsidRPr="00562DB8">
        <w:rPr>
          <w:lang w:val="en-US"/>
        </w:rPr>
        <w:t>Entrada</w:t>
      </w:r>
      <w:proofErr w:type="spellEnd"/>
      <w:r w:rsidRPr="00562DB8">
        <w:rPr>
          <w:lang w:val="en-US"/>
        </w:rPr>
        <w:t xml:space="preserve"> en vigor el 14 de </w:t>
      </w:r>
      <w:proofErr w:type="spellStart"/>
      <w:r w:rsidRPr="00562DB8">
        <w:rPr>
          <w:lang w:val="en-US"/>
        </w:rPr>
        <w:t>abril</w:t>
      </w:r>
      <w:proofErr w:type="spellEnd"/>
      <w:r w:rsidRPr="00562DB8">
        <w:rPr>
          <w:lang w:val="en-US"/>
        </w:rPr>
        <w:t xml:space="preserve"> de 2014.</w:t>
      </w:r>
      <w:proofErr w:type="gramEnd"/>
      <w:r w:rsidRPr="00562DB8">
        <w:rPr>
          <w:lang w:val="en-US"/>
        </w:rPr>
        <w:t xml:space="preserve"> </w:t>
      </w:r>
    </w:p>
  </w:footnote>
  <w:footnote w:id="531">
    <w:p w:rsidR="00887731" w:rsidRPr="004551E9" w:rsidRDefault="00887731" w:rsidP="004551E9">
      <w:pPr>
        <w:pStyle w:val="Pie"/>
        <w:rPr>
          <w:lang w:val="en-US"/>
        </w:rPr>
      </w:pPr>
      <w:r w:rsidRPr="00597337">
        <w:rPr>
          <w:rStyle w:val="Refdenotaalpie"/>
        </w:rPr>
        <w:footnoteRef/>
      </w:r>
      <w:r w:rsidRPr="004551E9">
        <w:rPr>
          <w:lang w:val="en-US"/>
        </w:rPr>
        <w:t xml:space="preserve"> […Recognition as person before the law does not ipso facto require that the individual has full legal capacity…] </w:t>
      </w:r>
      <w:r w:rsidRPr="004551E9">
        <w:rPr>
          <w:caps/>
          <w:lang w:val="en-US"/>
        </w:rPr>
        <w:t xml:space="preserve">Smith, R. K. M., </w:t>
      </w:r>
      <w:r w:rsidRPr="004551E9">
        <w:rPr>
          <w:lang w:val="en-US"/>
        </w:rPr>
        <w:t xml:space="preserve">(2007) </w:t>
      </w:r>
      <w:r w:rsidRPr="004551E9">
        <w:rPr>
          <w:i/>
          <w:lang w:val="en-US"/>
        </w:rPr>
        <w:t>Textbook on International Human Rights</w:t>
      </w:r>
      <w:r w:rsidRPr="004551E9">
        <w:rPr>
          <w:lang w:val="en-US"/>
        </w:rPr>
        <w:t>, 3</w:t>
      </w:r>
      <w:r w:rsidRPr="004551E9">
        <w:rPr>
          <w:vertAlign w:val="superscript"/>
          <w:lang w:val="en-US"/>
        </w:rPr>
        <w:t>rd</w:t>
      </w:r>
      <w:r w:rsidRPr="004551E9">
        <w:rPr>
          <w:lang w:val="en-US"/>
        </w:rPr>
        <w:t xml:space="preserve"> Ed., Oxford University Press, p. 237. </w:t>
      </w:r>
    </w:p>
  </w:footnote>
  <w:footnote w:id="532">
    <w:p w:rsidR="00887731" w:rsidRPr="004D4555" w:rsidRDefault="00887731" w:rsidP="004551E9">
      <w:pPr>
        <w:pStyle w:val="Textonotapie"/>
      </w:pPr>
      <w:r>
        <w:rPr>
          <w:rStyle w:val="Refdenotaalpie"/>
        </w:rPr>
        <w:footnoteRef/>
      </w:r>
      <w:r w:rsidRPr="004D4555">
        <w:t xml:space="preserve"> </w:t>
      </w:r>
      <w:r>
        <w:t>El Comité de la CDPD ha señalado en su Observación General nº 1 que: […</w:t>
      </w:r>
      <w:r w:rsidRPr="004D4555">
        <w:t>El derecho al igual reconocimiento como persona ante la ley entraña que la capacidad jurídica es un atributo universal inherente a todas las personas en razón de su condición humana y debe mantenerse para las personas con discapacidad en igualdad de condiciones con las demás</w:t>
      </w:r>
      <w:r>
        <w:t xml:space="preserve">…] </w:t>
      </w:r>
      <w:r w:rsidRPr="004D4555">
        <w:t>Observación general Nº 1 (2014), Artículo 12: Igual reconocimiento como persona ante la ley, CRPD/C/GC/1, 19 de mayo de 2014</w:t>
      </w:r>
      <w:r>
        <w:t xml:space="preserve">, párrafo 8. </w:t>
      </w:r>
    </w:p>
  </w:footnote>
  <w:footnote w:id="533">
    <w:p w:rsidR="00887731" w:rsidRPr="00597337" w:rsidRDefault="00887731" w:rsidP="004551E9">
      <w:pPr>
        <w:pStyle w:val="Pie"/>
        <w:rPr>
          <w:highlight w:val="yellow"/>
        </w:rPr>
      </w:pPr>
      <w:r w:rsidRPr="00597337">
        <w:rPr>
          <w:rStyle w:val="Refdenotaalpie"/>
        </w:rPr>
        <w:footnoteRef/>
      </w:r>
      <w:r w:rsidRPr="00597337">
        <w:t xml:space="preserve"> </w:t>
      </w:r>
      <w:r w:rsidRPr="00597337">
        <w:rPr>
          <w:caps/>
        </w:rPr>
        <w:t>Asís Roig R, (2000)</w:t>
      </w:r>
      <w:r w:rsidRPr="00597337">
        <w:t xml:space="preserve"> Las paradojas de los derechos fundamentales como límites al poder, </w:t>
      </w:r>
      <w:proofErr w:type="spellStart"/>
      <w:r w:rsidRPr="00597337">
        <w:t>Dykinson</w:t>
      </w:r>
      <w:proofErr w:type="spellEnd"/>
      <w:r w:rsidRPr="00597337">
        <w:t>, Madrid.</w:t>
      </w:r>
    </w:p>
  </w:footnote>
  <w:footnote w:id="534">
    <w:p w:rsidR="00887731" w:rsidRPr="00597337" w:rsidRDefault="00887731" w:rsidP="004551E9">
      <w:pPr>
        <w:pStyle w:val="Pie"/>
      </w:pPr>
      <w:r w:rsidRPr="00597337">
        <w:rPr>
          <w:rStyle w:val="Refdenotaalpie"/>
        </w:rPr>
        <w:footnoteRef/>
      </w:r>
      <w:r w:rsidRPr="00597337">
        <w:t xml:space="preserve"> BACH M., (2012) “El derecho a la capacidad jurídica a la luz de la Convención de la ONU sobre los derechos de las personas con discapacidad: conceptos fundamentales y lineamientos para una reforma legislativa” en BARIFFI F. &amp; PALACIOS A., (coord.), op. cit.</w:t>
      </w:r>
    </w:p>
  </w:footnote>
  <w:footnote w:id="535">
    <w:p w:rsidR="00887731" w:rsidRPr="00597337" w:rsidRDefault="00887731" w:rsidP="004551E9">
      <w:pPr>
        <w:pStyle w:val="Pie"/>
      </w:pPr>
      <w:r w:rsidRPr="00597337">
        <w:rPr>
          <w:rStyle w:val="Refdenotaalpie"/>
        </w:rPr>
        <w:footnoteRef/>
      </w:r>
      <w:r w:rsidRPr="004551E9">
        <w:rPr>
          <w:lang w:val="en-US"/>
        </w:rPr>
        <w:t xml:space="preserve"> Como </w:t>
      </w:r>
      <w:proofErr w:type="spellStart"/>
      <w:r w:rsidRPr="004551E9">
        <w:rPr>
          <w:lang w:val="en-US"/>
        </w:rPr>
        <w:t>destaca</w:t>
      </w:r>
      <w:proofErr w:type="spellEnd"/>
      <w:r w:rsidRPr="004551E9">
        <w:rPr>
          <w:lang w:val="en-US"/>
        </w:rPr>
        <w:t xml:space="preserve"> </w:t>
      </w:r>
      <w:proofErr w:type="spellStart"/>
      <w:r w:rsidRPr="004551E9">
        <w:rPr>
          <w:lang w:val="en-US"/>
        </w:rPr>
        <w:t>Minkowitz</w:t>
      </w:r>
      <w:proofErr w:type="spellEnd"/>
      <w:r w:rsidRPr="004551E9">
        <w:rPr>
          <w:lang w:val="en-US"/>
        </w:rPr>
        <w:t xml:space="preserve"> el </w:t>
      </w:r>
      <w:proofErr w:type="spellStart"/>
      <w:r w:rsidRPr="004551E9">
        <w:rPr>
          <w:lang w:val="en-US"/>
        </w:rPr>
        <w:t>modelo</w:t>
      </w:r>
      <w:proofErr w:type="spellEnd"/>
      <w:r w:rsidRPr="004551E9">
        <w:rPr>
          <w:lang w:val="en-US"/>
        </w:rPr>
        <w:t xml:space="preserve"> </w:t>
      </w:r>
      <w:proofErr w:type="spellStart"/>
      <w:r w:rsidRPr="004551E9">
        <w:rPr>
          <w:lang w:val="en-US"/>
        </w:rPr>
        <w:t>adoptado</w:t>
      </w:r>
      <w:proofErr w:type="spellEnd"/>
      <w:r w:rsidRPr="004551E9">
        <w:rPr>
          <w:lang w:val="en-US"/>
        </w:rPr>
        <w:t xml:space="preserve"> por la CDPD […reflects established principles in international human rights, such as universality, indivisibility, interdependence, and inter-relatedness of all human rights, and the recognition that the realization of economic, social and cultural rights are necessary to the dignity and free development of the personality of any individual…] </w:t>
      </w:r>
      <w:r w:rsidRPr="00597337">
        <w:rPr>
          <w:caps/>
        </w:rPr>
        <w:t>Minkowitz T,</w:t>
      </w:r>
      <w:r w:rsidRPr="00597337">
        <w:t xml:space="preserve"> (2006-2007) </w:t>
      </w:r>
      <w:proofErr w:type="spellStart"/>
      <w:r w:rsidRPr="00597337">
        <w:t>op</w:t>
      </w:r>
      <w:proofErr w:type="spellEnd"/>
      <w:r w:rsidRPr="00597337">
        <w:t>. cit. pp. 408-409.</w:t>
      </w:r>
    </w:p>
  </w:footnote>
  <w:footnote w:id="536">
    <w:p w:rsidR="00887731" w:rsidRPr="00597337" w:rsidRDefault="00887731" w:rsidP="004551E9">
      <w:pPr>
        <w:pStyle w:val="Pie"/>
      </w:pPr>
      <w:r w:rsidRPr="00597337">
        <w:rPr>
          <w:rStyle w:val="Refdenotaalpie"/>
        </w:rPr>
        <w:footnoteRef/>
      </w:r>
      <w:r w:rsidRPr="00597337">
        <w:t xml:space="preserve"> QUINN, G., (2012) “Personalidad y capacidad jurídica: Perspectivas sobre el cambio de paradigma del Artículo 12 de la CDPD”, en BARIFFI F. &amp; PALACIOS A., (coord.), op. cit., pp. 39-40.</w:t>
      </w:r>
    </w:p>
  </w:footnote>
  <w:footnote w:id="537">
    <w:p w:rsidR="00887731" w:rsidRPr="004551E9" w:rsidRDefault="00887731" w:rsidP="004551E9">
      <w:pPr>
        <w:pStyle w:val="Pie"/>
        <w:rPr>
          <w:lang w:val="en-US"/>
        </w:rPr>
      </w:pPr>
      <w:r w:rsidRPr="00597337">
        <w:rPr>
          <w:rStyle w:val="Refdenotaalpie"/>
        </w:rPr>
        <w:footnoteRef/>
      </w:r>
      <w:r w:rsidRPr="004551E9">
        <w:rPr>
          <w:lang w:val="en-US"/>
        </w:rPr>
        <w:t xml:space="preserve"> BACH, M., (2012) op. cit., p. 59.</w:t>
      </w:r>
    </w:p>
  </w:footnote>
  <w:footnote w:id="538">
    <w:p w:rsidR="00887731" w:rsidRPr="00597337" w:rsidRDefault="00887731" w:rsidP="004551E9">
      <w:pPr>
        <w:pStyle w:val="Pie"/>
      </w:pPr>
      <w:r w:rsidRPr="00597337">
        <w:rPr>
          <w:rStyle w:val="Refdenotaalpie"/>
        </w:rPr>
        <w:footnoteRef/>
      </w:r>
      <w:r w:rsidRPr="00597337">
        <w:t xml:space="preserve"> Véase lo señalado al respecto en el Capítulo 3, apartado 3.6.1. </w:t>
      </w:r>
    </w:p>
  </w:footnote>
  <w:footnote w:id="539">
    <w:p w:rsidR="00887731" w:rsidRPr="00597337" w:rsidRDefault="00887731" w:rsidP="004551E9">
      <w:pPr>
        <w:pStyle w:val="Pie"/>
      </w:pPr>
      <w:r w:rsidRPr="00597337">
        <w:rPr>
          <w:rStyle w:val="Refdenotaalpie"/>
        </w:rPr>
        <w:footnoteRef/>
      </w:r>
      <w:r w:rsidRPr="00597337">
        <w:t xml:space="preserve"> Estudio actualizado sobre el derecho a la alimentación, presentado por el Sr. Asbjørn Eide en cumplimiento de la decisión 1998/106 de la Subcomisión, E/CN.4/Sub.2/1999/12, 28 de junio de 1999, párrafo 52.</w:t>
      </w:r>
    </w:p>
  </w:footnote>
  <w:footnote w:id="540">
    <w:p w:rsidR="00887731" w:rsidRPr="00597337" w:rsidRDefault="00887731" w:rsidP="004551E9">
      <w:pPr>
        <w:pStyle w:val="Pie"/>
      </w:pPr>
      <w:r w:rsidRPr="00597337">
        <w:rPr>
          <w:rStyle w:val="Refdenotaalpie"/>
        </w:rPr>
        <w:footnoteRef/>
      </w:r>
      <w:r w:rsidRPr="00597337">
        <w:t xml:space="preserve"> </w:t>
      </w:r>
      <w:r w:rsidRPr="00597337">
        <w:rPr>
          <w:caps/>
        </w:rPr>
        <w:t xml:space="preserve">Sánchez de la Torre A, (2005) </w:t>
      </w:r>
      <w:r w:rsidRPr="00597337">
        <w:t xml:space="preserve">(Editor) </w:t>
      </w:r>
      <w:r w:rsidRPr="00597337">
        <w:rPr>
          <w:i/>
        </w:rPr>
        <w:t>La capacidad jurídica. Fundamentos de conocimiento jurídico</w:t>
      </w:r>
      <w:r w:rsidRPr="00597337">
        <w:t>, Dykinson, Madrid.</w:t>
      </w:r>
    </w:p>
  </w:footnote>
  <w:footnote w:id="541">
    <w:p w:rsidR="00887731" w:rsidRPr="00597337" w:rsidRDefault="00887731" w:rsidP="004551E9">
      <w:pPr>
        <w:pStyle w:val="Pie"/>
      </w:pPr>
      <w:r w:rsidRPr="00597337">
        <w:rPr>
          <w:rStyle w:val="Refdenotaalpie"/>
        </w:rPr>
        <w:footnoteRef/>
      </w:r>
      <w:r w:rsidRPr="00597337">
        <w:t xml:space="preserve"> […La autonomía de la voluntad es el elemento primordial del acto jurídico y alrededor de él giran todos los demás. El reconocimiento del valor de la voluntad jurídica constituye la exaltación del valor del individuo, de la personalidad humana (…) Este principio es de tanta importancia en el derecho privado, que toda las normas que de él tienden a interpretar la voluntad de los participantes o suplir su omisión en los casos o circunstancias no contemplados por el autor o autores del acto. El derecho privado supone, pues, que los particulares tienen voluntad autónoma…] HURTADO, A. L., (1991) </w:t>
      </w:r>
      <w:r w:rsidRPr="00597337">
        <w:rPr>
          <w:i/>
        </w:rPr>
        <w:t>La voluntad y la capacidad en los actos jurídicos</w:t>
      </w:r>
      <w:r w:rsidRPr="00597337">
        <w:t>, 4ª edición, Editorial Jurídica de Chile, p. 44.</w:t>
      </w:r>
    </w:p>
  </w:footnote>
  <w:footnote w:id="542">
    <w:p w:rsidR="00887731" w:rsidRPr="00597337" w:rsidRDefault="00887731" w:rsidP="004551E9">
      <w:pPr>
        <w:pStyle w:val="Pie"/>
      </w:pPr>
      <w:r w:rsidRPr="00597337">
        <w:rPr>
          <w:rStyle w:val="Refdenotaalpie"/>
        </w:rPr>
        <w:footnoteRef/>
      </w:r>
      <w:r w:rsidRPr="00597337">
        <w:t xml:space="preserve"> Véase por ejemplo: </w:t>
      </w:r>
      <w:r w:rsidRPr="00597337">
        <w:rPr>
          <w:caps/>
        </w:rPr>
        <w:t xml:space="preserve">Kemelmajer de Carlucci, A., </w:t>
      </w:r>
      <w:r w:rsidRPr="00597337">
        <w:t xml:space="preserve">(2007) “Las voluntades anticipadas Una apertura a favor del reconocimiento de la autonomía de la voluntad para expresar decisiones bioéticas”, en </w:t>
      </w:r>
      <w:r w:rsidRPr="00597337">
        <w:rPr>
          <w:i/>
        </w:rPr>
        <w:t>Revista Jurídica Universidad Interamericana de Puerto Rico</w:t>
      </w:r>
      <w:r w:rsidRPr="00597337">
        <w:t xml:space="preserve"> Vol. 41, p. 135 y ss; </w:t>
      </w:r>
      <w:r w:rsidRPr="00597337">
        <w:rPr>
          <w:caps/>
        </w:rPr>
        <w:t>Llorens, L. R. &amp; Rajmil, A. B.,</w:t>
      </w:r>
      <w:r w:rsidRPr="00597337">
        <w:t xml:space="preserve"> (2010) </w:t>
      </w:r>
      <w:r w:rsidRPr="00597337">
        <w:rPr>
          <w:i/>
        </w:rPr>
        <w:t>Derecho de autoprotección : previsiones para la eventual pérdida del discernimiento</w:t>
      </w:r>
      <w:r w:rsidRPr="00597337">
        <w:t xml:space="preserve">, Astrea, Buenos Aires; </w:t>
      </w:r>
      <w:r w:rsidRPr="00597337">
        <w:rPr>
          <w:caps/>
        </w:rPr>
        <w:t>Howard Zuluaga, M.,</w:t>
      </w:r>
      <w:r w:rsidRPr="00597337">
        <w:t xml:space="preserve"> (2012) “Las declaraciones de voluntad anticipada y la autonomía de la persona” en </w:t>
      </w:r>
      <w:r w:rsidRPr="00597337">
        <w:rPr>
          <w:i/>
        </w:rPr>
        <w:t>Revista de Derecho</w:t>
      </w:r>
      <w:r w:rsidRPr="00597337">
        <w:t>, Año 11, Nº. 21, pp. 171-194.</w:t>
      </w:r>
    </w:p>
    <w:p w:rsidR="00887731" w:rsidRPr="00597337" w:rsidRDefault="00887731" w:rsidP="004551E9">
      <w:pPr>
        <w:pStyle w:val="Pie"/>
      </w:pPr>
    </w:p>
  </w:footnote>
  <w:footnote w:id="543">
    <w:p w:rsidR="00887731" w:rsidRPr="00597337" w:rsidRDefault="00887731" w:rsidP="004551E9">
      <w:pPr>
        <w:pStyle w:val="Pie"/>
      </w:pPr>
      <w:r w:rsidRPr="00597337">
        <w:rPr>
          <w:rStyle w:val="Refdenotaalpie"/>
        </w:rPr>
        <w:footnoteRef/>
      </w:r>
      <w:r w:rsidRPr="00597337">
        <w:t xml:space="preserve"> DE ASIS ROIG, R., (2012) op. cit. p. 14.</w:t>
      </w:r>
    </w:p>
  </w:footnote>
  <w:footnote w:id="544">
    <w:p w:rsidR="00887731" w:rsidRPr="00597337" w:rsidRDefault="00887731" w:rsidP="004551E9">
      <w:pPr>
        <w:pStyle w:val="Pie"/>
      </w:pPr>
      <w:r w:rsidRPr="00597337">
        <w:rPr>
          <w:rStyle w:val="Refdenotaalpie"/>
        </w:rPr>
        <w:footnoteRef/>
      </w:r>
      <w:r w:rsidRPr="00597337">
        <w:t xml:space="preserve"> PALACIOS, A., (2008) op. cit.</w:t>
      </w:r>
    </w:p>
  </w:footnote>
  <w:footnote w:id="545">
    <w:p w:rsidR="00887731" w:rsidRPr="00597337" w:rsidRDefault="00887731" w:rsidP="004551E9">
      <w:pPr>
        <w:pStyle w:val="Pie"/>
      </w:pPr>
      <w:r w:rsidRPr="00597337">
        <w:rPr>
          <w:rStyle w:val="Refdenotaalpie"/>
        </w:rPr>
        <w:footnoteRef/>
      </w:r>
      <w:r w:rsidRPr="00597337">
        <w:t xml:space="preserve"> TEDH, </w:t>
      </w:r>
      <w:proofErr w:type="spellStart"/>
      <w:r w:rsidRPr="00597337">
        <w:t>Alajos</w:t>
      </w:r>
      <w:proofErr w:type="spellEnd"/>
      <w:r w:rsidRPr="00597337">
        <w:t xml:space="preserve"> </w:t>
      </w:r>
      <w:proofErr w:type="spellStart"/>
      <w:r w:rsidRPr="00597337">
        <w:t>Kiss</w:t>
      </w:r>
      <w:proofErr w:type="spellEnd"/>
      <w:r w:rsidRPr="00597337">
        <w:t xml:space="preserve"> v. Hungary, Sentencia de 20 de mayo de 2010, Applicación no. 38832/06, pp. 10-13. En este sentido el TEDH, en su reciente jurisprudencia, ha considerado desproporcionado y violatorio de los derechos humanos los efectos de la incapacidad en cuestiones tales como el voto (Alajos Kiss v Hungría), el internamiento psiquiátrico (Stanev v. Bulgaria. Sentencia de 17/01/2012), la adopción (</w:t>
      </w:r>
      <w:r w:rsidRPr="00597337">
        <w:rPr>
          <w:lang w:val="es-AR"/>
        </w:rPr>
        <w:t>X v. Croacia. Sentencia de 17/07/2008</w:t>
      </w:r>
      <w:r w:rsidRPr="00597337">
        <w:t>); o el reconocimiento de paternidad (</w:t>
      </w:r>
      <w:r w:rsidRPr="00597337">
        <w:rPr>
          <w:lang w:val="es-AR"/>
        </w:rPr>
        <w:t>Krušković. V. Croacia. Sentencia de 21/06/2011).</w:t>
      </w:r>
      <w:r w:rsidRPr="00597337">
        <w:t xml:space="preserve"> </w:t>
      </w:r>
    </w:p>
  </w:footnote>
  <w:footnote w:id="546">
    <w:p w:rsidR="00887731" w:rsidRPr="00597337" w:rsidRDefault="00887731" w:rsidP="004551E9">
      <w:pPr>
        <w:pStyle w:val="Pie"/>
      </w:pPr>
      <w:r w:rsidRPr="00597337">
        <w:rPr>
          <w:rStyle w:val="Refdenotaalpie"/>
        </w:rPr>
        <w:footnoteRef/>
      </w:r>
      <w:r w:rsidRPr="00597337">
        <w:t xml:space="preserve"> La propia esencia de los derechos personalísimos indica que los mismos son "derechos subjetivos privados, innatos y vitalicios, que tienen por objeto manifestaciones interiores de las personas y que, por ser inherentes, </w:t>
      </w:r>
      <w:proofErr w:type="spellStart"/>
      <w:r w:rsidRPr="00597337">
        <w:t>extrapatrimoniales</w:t>
      </w:r>
      <w:proofErr w:type="spellEnd"/>
      <w:r w:rsidRPr="00597337">
        <w:t xml:space="preserve"> y necesarios, no pueden trasmitirse, ni disponerse en forma absoluta y radical", CIFUENTES, S., (2008) </w:t>
      </w:r>
      <w:r w:rsidRPr="00597337">
        <w:rPr>
          <w:i/>
        </w:rPr>
        <w:t>Los derechos personalísimos</w:t>
      </w:r>
      <w:r w:rsidRPr="00597337">
        <w:t>, ASTREA, Buenos Aires, p. 157.</w:t>
      </w:r>
    </w:p>
  </w:footnote>
  <w:footnote w:id="547">
    <w:p w:rsidR="00887731" w:rsidRPr="00597337" w:rsidRDefault="00887731" w:rsidP="004551E9">
      <w:pPr>
        <w:pStyle w:val="Pie"/>
      </w:pPr>
      <w:r w:rsidRPr="00597337">
        <w:rPr>
          <w:rStyle w:val="Refdenotaalpie"/>
        </w:rPr>
        <w:footnoteRef/>
      </w:r>
      <w:r w:rsidRPr="00597337">
        <w:t xml:space="preserve"> En el ámbito patrimonial la figura del “Patrimonio Protegido” recogida por el CC Español (cfr. Ley 41/2003, de 18 de noviembre, sobre protección patrimonial de las personas con discapacidad y de modificación del Código Civil, de la Ley de Enjuiciamiento Civil de la normativa tributaria con esta finalidad), para el ámbito patrimonial y extrapatrimonial el uso de la voluntad anticipada, o acuerdos preventivos, por ejemplo: la Ley sobre Capacidad Mental de 2005 (Inglaterra y Gales) “Lasting powers of attorney”; o la Ley de Protección de los Derechos Personales y Patrimoniales de 1988 de Nueva Zelanda “Enduring powers of attorney”, o la Ley de Convenio de Representación del Estado de Columbia Británica de 1996.  </w:t>
      </w:r>
    </w:p>
  </w:footnote>
  <w:footnote w:id="548">
    <w:p w:rsidR="00887731" w:rsidRPr="00597337" w:rsidRDefault="00887731" w:rsidP="004551E9">
      <w:pPr>
        <w:pStyle w:val="Pie"/>
      </w:pPr>
      <w:r w:rsidRPr="00597337">
        <w:rPr>
          <w:rStyle w:val="Refdenotaalpie"/>
        </w:rPr>
        <w:footnoteRef/>
      </w:r>
      <w:r w:rsidRPr="00597337">
        <w:t xml:space="preserve"> BARIFFI, F., (2012) op. cit.</w:t>
      </w:r>
    </w:p>
  </w:footnote>
  <w:footnote w:id="549">
    <w:p w:rsidR="00887731" w:rsidRPr="00597337" w:rsidRDefault="00887731" w:rsidP="004551E9">
      <w:pPr>
        <w:pStyle w:val="Pie"/>
      </w:pPr>
      <w:r w:rsidRPr="00597337">
        <w:rPr>
          <w:rStyle w:val="Refdenotaalpie"/>
        </w:rPr>
        <w:footnoteRef/>
      </w:r>
      <w:r w:rsidRPr="00597337">
        <w:t xml:space="preserve"> Véase punto 4.1 supra. </w:t>
      </w:r>
    </w:p>
  </w:footnote>
  <w:footnote w:id="550">
    <w:p w:rsidR="00887731" w:rsidRPr="00597337" w:rsidRDefault="00887731" w:rsidP="004551E9">
      <w:pPr>
        <w:pStyle w:val="Pie"/>
      </w:pPr>
      <w:r w:rsidRPr="00597337">
        <w:rPr>
          <w:rStyle w:val="Refdenotaalpie"/>
        </w:rPr>
        <w:footnoteRef/>
      </w:r>
      <w:r w:rsidRPr="00597337">
        <w:t xml:space="preserve">  Tribunal Internacional de Justicia, </w:t>
      </w:r>
      <w:r w:rsidRPr="00597337">
        <w:rPr>
          <w:i/>
        </w:rPr>
        <w:t>Caso Ahmadou Sadio Diallo</w:t>
      </w:r>
      <w:r w:rsidRPr="00597337">
        <w:t>, Sentencia de 30 de noviembre de 2010, Voto Separado del Juez Cançado Trindade, párrafo 221.</w:t>
      </w:r>
    </w:p>
  </w:footnote>
  <w:footnote w:id="551">
    <w:p w:rsidR="00887731" w:rsidRPr="00597337" w:rsidRDefault="00887731" w:rsidP="004551E9">
      <w:pPr>
        <w:pStyle w:val="Pie"/>
      </w:pPr>
      <w:r w:rsidRPr="00597337">
        <w:rPr>
          <w:rStyle w:val="Refdenotaalpie"/>
        </w:rPr>
        <w:footnoteRef/>
      </w:r>
      <w:r w:rsidRPr="00597337">
        <w:rPr>
          <w:lang w:val="pt-BR"/>
        </w:rPr>
        <w:t xml:space="preserve"> </w:t>
      </w:r>
      <w:proofErr w:type="spellStart"/>
      <w:r w:rsidRPr="00597337">
        <w:rPr>
          <w:lang w:val="pt-BR"/>
        </w:rPr>
        <w:t>Véase</w:t>
      </w:r>
      <w:proofErr w:type="spellEnd"/>
      <w:r w:rsidRPr="00597337">
        <w:rPr>
          <w:lang w:val="pt-BR"/>
        </w:rPr>
        <w:t xml:space="preserve"> </w:t>
      </w:r>
      <w:r w:rsidRPr="00597337">
        <w:rPr>
          <w:lang w:val="pt-BR"/>
        </w:rPr>
        <w:tab/>
        <w:t xml:space="preserve"> CIADH. Caso Ximenes Lopes Vs. Brasil. </w:t>
      </w:r>
      <w:r w:rsidRPr="00597337">
        <w:t xml:space="preserve">Fondo, Reparaciones y Costas. Sentencia de 4 de julio de 2006. Serie C No. 149. CIADH, Caso Furlan y Familiares Vs. Argentina. Excepciones Preliminares, Fondo, Reparaciones y Costas. Sentencia de 31 de agosto de 2012 Serie C No. 246. </w:t>
      </w:r>
    </w:p>
  </w:footnote>
  <w:footnote w:id="552">
    <w:p w:rsidR="00887731" w:rsidRPr="00597337" w:rsidRDefault="00887731" w:rsidP="004551E9">
      <w:pPr>
        <w:pStyle w:val="Pie"/>
      </w:pPr>
      <w:r w:rsidRPr="00597337">
        <w:rPr>
          <w:rStyle w:val="Refdenotaalpie"/>
        </w:rPr>
        <w:footnoteRef/>
      </w:r>
      <w:r w:rsidRPr="00597337">
        <w:t xml:space="preserve"> CIADH. Caso García y Familiares Vs. Guatemala. Fondo, Reparaciones y Costas. </w:t>
      </w:r>
      <w:r w:rsidRPr="00597337">
        <w:rPr>
          <w:lang w:val="es-AR"/>
        </w:rPr>
        <w:t>Sentencia de 29 noviembre de 2012 Serie C No. 258, párrafo 109.</w:t>
      </w:r>
    </w:p>
  </w:footnote>
  <w:footnote w:id="553">
    <w:p w:rsidR="00887731" w:rsidRPr="00DD6778" w:rsidRDefault="00887731" w:rsidP="004551E9">
      <w:pPr>
        <w:pStyle w:val="Pie"/>
      </w:pPr>
      <w:r w:rsidRPr="00597337">
        <w:rPr>
          <w:rStyle w:val="Refdenotaalpie"/>
        </w:rPr>
        <w:footnoteRef/>
      </w:r>
      <w:r w:rsidRPr="00DD6778">
        <w:t xml:space="preserve"> Ídem, párrafo 197. </w:t>
      </w:r>
    </w:p>
  </w:footnote>
  <w:footnote w:id="554">
    <w:p w:rsidR="00887731" w:rsidRPr="00597337" w:rsidRDefault="00887731" w:rsidP="004551E9">
      <w:pPr>
        <w:pStyle w:val="Pie"/>
      </w:pPr>
      <w:r w:rsidRPr="00597337">
        <w:rPr>
          <w:rStyle w:val="Refdenotaalpie"/>
        </w:rPr>
        <w:footnoteRef/>
      </w:r>
      <w:r w:rsidRPr="00DD6778">
        <w:t xml:space="preserve"> CIADH. Caso Comunidad Indígena Sawhoyamaxa Vs. Paraguay. </w:t>
      </w:r>
      <w:r w:rsidRPr="00597337">
        <w:t>Fondo, Reparaciones y Costas. Sentencia de 29 de marzo de 2006. Serie C No. 146, párrafo 189.</w:t>
      </w:r>
    </w:p>
  </w:footnote>
  <w:footnote w:id="555">
    <w:p w:rsidR="00887731" w:rsidRPr="00597337" w:rsidRDefault="00887731" w:rsidP="004551E9">
      <w:pPr>
        <w:pStyle w:val="Pie"/>
      </w:pPr>
      <w:r w:rsidRPr="00597337">
        <w:rPr>
          <w:rStyle w:val="Refdenotaalpie"/>
        </w:rPr>
        <w:footnoteRef/>
      </w:r>
      <w:r w:rsidRPr="00597337">
        <w:t xml:space="preserve"> Véase por ejemplo, CIADH. Caso González Medina y familiares Vs. República Dominicana. Excepciones Preliminares, Fondo, Reparaciones y Costas. Sentencia de 27 de febrero de 2012 Serie C No. 240, párrafo 286.</w:t>
      </w:r>
    </w:p>
  </w:footnote>
  <w:footnote w:id="556">
    <w:p w:rsidR="00887731" w:rsidRPr="00597337" w:rsidRDefault="00887731" w:rsidP="004551E9">
      <w:pPr>
        <w:pStyle w:val="Pie"/>
      </w:pPr>
      <w:r w:rsidRPr="00597337">
        <w:rPr>
          <w:rStyle w:val="Refdenotaalpie"/>
        </w:rPr>
        <w:footnoteRef/>
      </w:r>
      <w:r w:rsidRPr="00597337">
        <w:t xml:space="preserve"> Véase por ejemplo, CIADH. Caso del Pueblo Saramaka. Vs. Surinam. Excepciones Preliminares, Fondo, Reparaciones y Costas. </w:t>
      </w:r>
      <w:r w:rsidRPr="00597337">
        <w:rPr>
          <w:lang w:val="es-AR"/>
        </w:rPr>
        <w:t>Sentencia de 28 de noviembre de 2007. Serie C No. 172, párrafo 174.</w:t>
      </w:r>
    </w:p>
  </w:footnote>
  <w:footnote w:id="557">
    <w:p w:rsidR="00887731" w:rsidRPr="0078741B" w:rsidRDefault="00887731" w:rsidP="004551E9">
      <w:pPr>
        <w:pStyle w:val="Pie"/>
      </w:pPr>
      <w:r w:rsidRPr="00597337">
        <w:rPr>
          <w:rStyle w:val="Refdenotaalpie"/>
        </w:rPr>
        <w:footnoteRef/>
      </w:r>
      <w:r w:rsidRPr="00597337">
        <w:t xml:space="preserve"> CIADH. Condición Jurídica y Derechos Humanos del Niño. Opinión Consultiva OC-17/02 </w:t>
      </w:r>
      <w:r w:rsidRPr="00597337">
        <w:rPr>
          <w:rStyle w:val="apple-style-span"/>
          <w:bCs/>
        </w:rPr>
        <w:t>del 28 de agosto de 2002.</w:t>
      </w:r>
      <w:r w:rsidRPr="00597337">
        <w:rPr>
          <w:rStyle w:val="apple-converted-space"/>
          <w:bCs/>
        </w:rPr>
        <w:t> </w:t>
      </w:r>
      <w:r w:rsidRPr="0078741B">
        <w:rPr>
          <w:rStyle w:val="apple-style-span"/>
        </w:rPr>
        <w:t>Serie A No. 17</w:t>
      </w:r>
      <w:r w:rsidRPr="0078741B">
        <w:t>. párr. 41.</w:t>
      </w:r>
    </w:p>
  </w:footnote>
  <w:footnote w:id="558">
    <w:p w:rsidR="00887731" w:rsidRPr="0078741B" w:rsidRDefault="00887731" w:rsidP="004551E9">
      <w:pPr>
        <w:pStyle w:val="Pie"/>
      </w:pPr>
      <w:r w:rsidRPr="00597337">
        <w:rPr>
          <w:rStyle w:val="Refdenotaalpie"/>
        </w:rPr>
        <w:footnoteRef/>
      </w:r>
      <w:r w:rsidRPr="0078741B">
        <w:t xml:space="preserve"> Ídem. párrafo 48.</w:t>
      </w:r>
    </w:p>
  </w:footnote>
  <w:footnote w:id="559">
    <w:p w:rsidR="00887731" w:rsidRPr="00597337" w:rsidRDefault="00887731" w:rsidP="004551E9">
      <w:pPr>
        <w:pStyle w:val="Pie"/>
      </w:pPr>
      <w:r w:rsidRPr="00597337">
        <w:rPr>
          <w:rStyle w:val="Refdenotaalpie"/>
        </w:rPr>
        <w:footnoteRef/>
      </w:r>
      <w:r w:rsidRPr="00597337">
        <w:t xml:space="preserve"> [...el derecho de un padre o una madre a vivir junto a su hijo o su hija es un elemento fundamental de la vida familiar, y las medidas internas que lo impiden constituyen una injerencia en el derecho protegido por el artículo 17 de la Convención. La determinación de separar a un niño de su familia debe hacerse de acuerdo a la ley, lo cual no fue cumplido en el caso, ya que el señor Fornerón manifestó su oposición a la guarda, y no consta que haya una declaración de incapacidad que hubiese obviado este requerimiento o el cumplimiento de los demás requisitos del artículo 317 del Código Civil argentino…] CIADH. Caso Forneron e hija Vs. Argentina. Fondo, Reparaciones y Costas. Sentencia de 27 de abril de 2012 Serie C No. 242, párrafo 112.</w:t>
      </w:r>
    </w:p>
  </w:footnote>
  <w:footnote w:id="560">
    <w:p w:rsidR="00887731" w:rsidRPr="00597337" w:rsidRDefault="00887731" w:rsidP="004551E9">
      <w:pPr>
        <w:pStyle w:val="Pie"/>
      </w:pPr>
      <w:r w:rsidRPr="00597337">
        <w:rPr>
          <w:rStyle w:val="Refdenotaalpie"/>
        </w:rPr>
        <w:footnoteRef/>
      </w:r>
      <w:r w:rsidRPr="00597337">
        <w:t xml:space="preserve"> TEDH, </w:t>
      </w:r>
      <w:proofErr w:type="spellStart"/>
      <w:r w:rsidRPr="00597337">
        <w:rPr>
          <w:i/>
        </w:rPr>
        <w:t>Winterwerp</w:t>
      </w:r>
      <w:proofErr w:type="spellEnd"/>
      <w:r w:rsidRPr="00597337">
        <w:rPr>
          <w:i/>
        </w:rPr>
        <w:t xml:space="preserve"> v. Netherlands</w:t>
      </w:r>
      <w:r w:rsidRPr="00597337">
        <w:t xml:space="preserve">, Sentencia de 24 de octubre de 1979, Aplicación no. 6301/73, párrafos 73-75. </w:t>
      </w:r>
    </w:p>
  </w:footnote>
  <w:footnote w:id="561">
    <w:p w:rsidR="00887731" w:rsidRPr="00597337" w:rsidRDefault="00887731" w:rsidP="004551E9">
      <w:pPr>
        <w:pStyle w:val="Pie"/>
      </w:pPr>
      <w:r w:rsidRPr="00597337">
        <w:rPr>
          <w:rStyle w:val="Refdenotaalpie"/>
        </w:rPr>
        <w:footnoteRef/>
      </w:r>
      <w:r w:rsidRPr="00597337">
        <w:t xml:space="preserve"> Véase por ejemplo: TEDH, </w:t>
      </w:r>
      <w:proofErr w:type="spellStart"/>
      <w:r w:rsidRPr="00597337">
        <w:rPr>
          <w:i/>
        </w:rPr>
        <w:t>Egger</w:t>
      </w:r>
      <w:proofErr w:type="spellEnd"/>
      <w:r w:rsidRPr="00597337">
        <w:rPr>
          <w:i/>
        </w:rPr>
        <w:t xml:space="preserve"> v. Austria</w:t>
      </w:r>
      <w:r w:rsidRPr="00597337">
        <w:t xml:space="preserve">, Sentencia de 11 de octubre de 1993, Aplicación no. 15780/89; TEDH, </w:t>
      </w:r>
      <w:r w:rsidRPr="00597337">
        <w:rPr>
          <w:i/>
        </w:rPr>
        <w:t>Bosci v. Hungary</w:t>
      </w:r>
      <w:r w:rsidRPr="00597337">
        <w:t xml:space="preserve">, Sentencia de 21 de mayo de 1998, Aplicación no. 24240/94; TEDH, </w:t>
      </w:r>
      <w:r w:rsidRPr="00597337">
        <w:rPr>
          <w:i/>
        </w:rPr>
        <w:t>Matter v. Slovakia</w:t>
      </w:r>
      <w:r w:rsidRPr="00597337">
        <w:t xml:space="preserve">, Sentencia de 5 de julio de 1999, Aplicación no. 31534/96.  </w:t>
      </w:r>
    </w:p>
  </w:footnote>
  <w:footnote w:id="562">
    <w:p w:rsidR="00887731" w:rsidRPr="00597337" w:rsidRDefault="00887731" w:rsidP="004551E9">
      <w:pPr>
        <w:pStyle w:val="Pie"/>
      </w:pPr>
      <w:r w:rsidRPr="00597337">
        <w:rPr>
          <w:rStyle w:val="Refdenotaalpie"/>
        </w:rPr>
        <w:footnoteRef/>
      </w:r>
      <w:r w:rsidRPr="00597337">
        <w:t xml:space="preserve"> TEDH, </w:t>
      </w:r>
      <w:r w:rsidRPr="00597337">
        <w:rPr>
          <w:i/>
        </w:rPr>
        <w:t>H.F. v. Slovakia</w:t>
      </w:r>
      <w:r w:rsidRPr="00597337">
        <w:t>, Sentencia de 8 de noviembre de 2005, Aplicación no. 54797/00, párrafos 47-48.</w:t>
      </w:r>
    </w:p>
  </w:footnote>
  <w:footnote w:id="563">
    <w:p w:rsidR="00887731" w:rsidRPr="00597337" w:rsidRDefault="00887731" w:rsidP="004551E9">
      <w:pPr>
        <w:pStyle w:val="Pie"/>
      </w:pPr>
      <w:r w:rsidRPr="00597337">
        <w:rPr>
          <w:rStyle w:val="Refdenotaalpie"/>
        </w:rPr>
        <w:footnoteRef/>
      </w:r>
      <w:r w:rsidRPr="00597337">
        <w:t xml:space="preserve"> TEDH, </w:t>
      </w:r>
      <w:proofErr w:type="spellStart"/>
      <w:r w:rsidRPr="00597337">
        <w:rPr>
          <w:i/>
        </w:rPr>
        <w:t>Shtukaturov</w:t>
      </w:r>
      <w:proofErr w:type="spellEnd"/>
      <w:r w:rsidRPr="00597337">
        <w:rPr>
          <w:i/>
        </w:rPr>
        <w:t xml:space="preserve"> v. Rusia, </w:t>
      </w:r>
      <w:r w:rsidRPr="00597337">
        <w:t>Sentencia de 27 de marzo de 2008, Aplicación no. 44009/05, párrafo 90.</w:t>
      </w:r>
    </w:p>
  </w:footnote>
  <w:footnote w:id="564">
    <w:p w:rsidR="00887731" w:rsidRPr="00597337" w:rsidRDefault="00887731" w:rsidP="004551E9">
      <w:pPr>
        <w:pStyle w:val="Pie"/>
      </w:pPr>
      <w:r w:rsidRPr="00597337">
        <w:rPr>
          <w:rStyle w:val="Refdenotaalpie"/>
        </w:rPr>
        <w:footnoteRef/>
      </w:r>
      <w:r w:rsidRPr="00597337">
        <w:t xml:space="preserve"> Ídem, párrafo 93. </w:t>
      </w:r>
    </w:p>
  </w:footnote>
  <w:footnote w:id="565">
    <w:p w:rsidR="00887731" w:rsidRPr="00597337" w:rsidRDefault="00887731" w:rsidP="004551E9">
      <w:pPr>
        <w:pStyle w:val="Pie"/>
      </w:pPr>
      <w:r w:rsidRPr="00597337">
        <w:rPr>
          <w:rStyle w:val="Refdenotaalpie"/>
        </w:rPr>
        <w:footnoteRef/>
      </w:r>
      <w:r w:rsidRPr="00597337">
        <w:t xml:space="preserve"> Ídem, párrafo 94.</w:t>
      </w:r>
    </w:p>
  </w:footnote>
  <w:footnote w:id="566">
    <w:p w:rsidR="00887731" w:rsidRPr="00597337" w:rsidRDefault="00887731" w:rsidP="004551E9">
      <w:pPr>
        <w:pStyle w:val="Pie"/>
      </w:pPr>
      <w:r w:rsidRPr="00597337">
        <w:rPr>
          <w:rStyle w:val="Refdenotaalpie"/>
        </w:rPr>
        <w:footnoteRef/>
      </w:r>
      <w:r w:rsidRPr="00597337">
        <w:t xml:space="preserve"> TEDH, </w:t>
      </w:r>
      <w:r w:rsidRPr="00597337">
        <w:rPr>
          <w:i/>
        </w:rPr>
        <w:t>X. v. Croatia</w:t>
      </w:r>
      <w:r w:rsidRPr="00597337">
        <w:t>, Sentencia de 17 de Julio de 2008, Aplicación no. 11223/04, párrafo 53.</w:t>
      </w:r>
    </w:p>
  </w:footnote>
  <w:footnote w:id="567">
    <w:p w:rsidR="00887731" w:rsidRPr="00597337" w:rsidRDefault="00887731" w:rsidP="004551E9">
      <w:pPr>
        <w:pStyle w:val="Pie"/>
      </w:pPr>
      <w:r w:rsidRPr="00597337">
        <w:rPr>
          <w:rStyle w:val="Refdenotaalpie"/>
        </w:rPr>
        <w:footnoteRef/>
      </w:r>
      <w:r w:rsidRPr="00597337">
        <w:t xml:space="preserve"> TEDH, </w:t>
      </w:r>
      <w:proofErr w:type="spellStart"/>
      <w:r w:rsidRPr="00597337">
        <w:rPr>
          <w:i/>
        </w:rPr>
        <w:t>Salontaji-Drobnjak</w:t>
      </w:r>
      <w:proofErr w:type="spellEnd"/>
      <w:r w:rsidRPr="00597337">
        <w:rPr>
          <w:i/>
        </w:rPr>
        <w:t xml:space="preserve"> v. Serbia, </w:t>
      </w:r>
      <w:r w:rsidRPr="00597337">
        <w:t>Sentencia de 13 de octubre de 2009, Aplicación no. 36500/05, párrafo 144.</w:t>
      </w:r>
    </w:p>
  </w:footnote>
  <w:footnote w:id="568">
    <w:p w:rsidR="00887731" w:rsidRPr="00597337" w:rsidRDefault="00887731" w:rsidP="004551E9">
      <w:pPr>
        <w:pStyle w:val="Pie"/>
      </w:pPr>
      <w:r w:rsidRPr="00597337">
        <w:rPr>
          <w:rStyle w:val="Refdenotaalpie"/>
        </w:rPr>
        <w:footnoteRef/>
      </w:r>
      <w:r w:rsidRPr="00597337">
        <w:t xml:space="preserve"> TEDH, </w:t>
      </w:r>
      <w:proofErr w:type="spellStart"/>
      <w:r w:rsidRPr="00597337">
        <w:t>Alajos</w:t>
      </w:r>
      <w:proofErr w:type="spellEnd"/>
      <w:r w:rsidRPr="00597337">
        <w:t xml:space="preserve"> </w:t>
      </w:r>
      <w:proofErr w:type="spellStart"/>
      <w:r w:rsidRPr="00597337">
        <w:t>Kiss</w:t>
      </w:r>
      <w:proofErr w:type="spellEnd"/>
      <w:r w:rsidRPr="00597337">
        <w:t xml:space="preserve"> v. Hungary, Sentencia de 20 de mayo de 2010, Applicación no. 38832/06), párrafo 42</w:t>
      </w:r>
    </w:p>
  </w:footnote>
  <w:footnote w:id="569">
    <w:p w:rsidR="00887731" w:rsidRPr="00597337" w:rsidRDefault="00887731" w:rsidP="004551E9">
      <w:pPr>
        <w:pStyle w:val="Pie"/>
      </w:pPr>
      <w:r w:rsidRPr="00597337">
        <w:rPr>
          <w:rStyle w:val="Refdenotaalpie"/>
        </w:rPr>
        <w:footnoteRef/>
      </w:r>
      <w:r w:rsidRPr="00597337">
        <w:t xml:space="preserve"> TEDH, </w:t>
      </w:r>
      <w:proofErr w:type="spellStart"/>
      <w:r w:rsidRPr="00597337">
        <w:rPr>
          <w:i/>
        </w:rPr>
        <w:t>Krušković</w:t>
      </w:r>
      <w:proofErr w:type="spellEnd"/>
      <w:r w:rsidRPr="00597337">
        <w:rPr>
          <w:i/>
        </w:rPr>
        <w:t xml:space="preserve"> v. Croatia, </w:t>
      </w:r>
      <w:r w:rsidRPr="00597337">
        <w:t>Sentencia de 21 de junio de 2011, Aplicación no. 46185/08, párrafos 30-32.</w:t>
      </w:r>
    </w:p>
  </w:footnote>
  <w:footnote w:id="570">
    <w:p w:rsidR="00887731" w:rsidRPr="00597337" w:rsidRDefault="00887731" w:rsidP="004551E9">
      <w:pPr>
        <w:pStyle w:val="Pie"/>
      </w:pPr>
      <w:r w:rsidRPr="00597337">
        <w:rPr>
          <w:rStyle w:val="Refdenotaalpie"/>
        </w:rPr>
        <w:footnoteRef/>
      </w:r>
      <w:r w:rsidRPr="00597337">
        <w:t xml:space="preserve"> TEDH, </w:t>
      </w:r>
      <w:proofErr w:type="spellStart"/>
      <w:r w:rsidRPr="00597337">
        <w:rPr>
          <w:i/>
        </w:rPr>
        <w:t>Stanev</w:t>
      </w:r>
      <w:proofErr w:type="spellEnd"/>
      <w:r w:rsidRPr="00597337">
        <w:rPr>
          <w:i/>
        </w:rPr>
        <w:t xml:space="preserve"> v. Bulgaria</w:t>
      </w:r>
      <w:r w:rsidRPr="00597337">
        <w:t>, Sentencia de 17 de enero de 2012, Aplicación no. 36760/06, párrafo 130.</w:t>
      </w:r>
    </w:p>
  </w:footnote>
  <w:footnote w:id="571">
    <w:p w:rsidR="00887731" w:rsidRPr="00597337" w:rsidRDefault="00887731" w:rsidP="004551E9">
      <w:pPr>
        <w:pStyle w:val="Pie"/>
      </w:pPr>
      <w:r w:rsidRPr="00597337">
        <w:rPr>
          <w:rStyle w:val="Refdenotaalpie"/>
        </w:rPr>
        <w:footnoteRef/>
      </w:r>
      <w:r w:rsidRPr="00597337">
        <w:t xml:space="preserve"> Ídem, párrafo 154. </w:t>
      </w:r>
    </w:p>
  </w:footnote>
  <w:footnote w:id="572">
    <w:p w:rsidR="00887731" w:rsidRPr="00597337" w:rsidRDefault="00887731" w:rsidP="004551E9">
      <w:pPr>
        <w:pStyle w:val="Pie"/>
      </w:pPr>
      <w:r w:rsidRPr="00597337">
        <w:rPr>
          <w:rStyle w:val="Refdenotaalpie"/>
        </w:rPr>
        <w:footnoteRef/>
      </w:r>
      <w:r w:rsidRPr="00597337">
        <w:t xml:space="preserve"> TEDH, </w:t>
      </w:r>
      <w:r w:rsidRPr="00597337">
        <w:rPr>
          <w:i/>
        </w:rPr>
        <w:t>D.D. v. Lithuania</w:t>
      </w:r>
      <w:r w:rsidRPr="00597337">
        <w:t>, Sentencia de 14 de febrero de 2012, Aplicación no. 13469/06, párrafo 166.</w:t>
      </w:r>
    </w:p>
  </w:footnote>
  <w:footnote w:id="573">
    <w:p w:rsidR="00887731" w:rsidRPr="00597337" w:rsidRDefault="00887731" w:rsidP="004551E9">
      <w:pPr>
        <w:pStyle w:val="Pie"/>
      </w:pPr>
      <w:r w:rsidRPr="00597337">
        <w:rPr>
          <w:rStyle w:val="Refdenotaalpie"/>
        </w:rPr>
        <w:footnoteRef/>
      </w:r>
      <w:r w:rsidRPr="00597337">
        <w:t xml:space="preserve"> TEDH, </w:t>
      </w:r>
      <w:proofErr w:type="spellStart"/>
      <w:r w:rsidRPr="00597337">
        <w:rPr>
          <w:i/>
        </w:rPr>
        <w:t>Sýkora</w:t>
      </w:r>
      <w:proofErr w:type="spellEnd"/>
      <w:r w:rsidRPr="00597337">
        <w:rPr>
          <w:i/>
        </w:rPr>
        <w:t xml:space="preserve"> v. the Czech Republic</w:t>
      </w:r>
      <w:r w:rsidRPr="00597337">
        <w:t>, Sentencia de 22 de noviembre de 2012, Aplicación no. 23419/07, párrafo 103.</w:t>
      </w:r>
    </w:p>
  </w:footnote>
  <w:footnote w:id="574">
    <w:p w:rsidR="00887731" w:rsidRPr="00597337" w:rsidRDefault="00887731" w:rsidP="004551E9">
      <w:pPr>
        <w:pStyle w:val="Pie"/>
      </w:pPr>
      <w:r w:rsidRPr="00597337">
        <w:rPr>
          <w:rStyle w:val="Refdenotaalpie"/>
        </w:rPr>
        <w:footnoteRef/>
      </w:r>
      <w:r w:rsidRPr="00597337">
        <w:t xml:space="preserve"> Observación general Nº 19 sobre “La familia (artículo 23)” del Comité de Derechos Humanos de la ONU, 39º período de sesiones (1990), párrafo 4. (HRI/GEN/1/Rev.9 (Vol.I)). </w:t>
      </w:r>
    </w:p>
  </w:footnote>
  <w:footnote w:id="575">
    <w:p w:rsidR="00887731" w:rsidRPr="00597337" w:rsidRDefault="00887731" w:rsidP="004551E9">
      <w:pPr>
        <w:pStyle w:val="Pie"/>
      </w:pPr>
      <w:r w:rsidRPr="00597337">
        <w:rPr>
          <w:rStyle w:val="Refdenotaalpie"/>
        </w:rPr>
        <w:footnoteRef/>
      </w:r>
      <w:r w:rsidRPr="00597337">
        <w:t xml:space="preserve"> Observación General No. 25, Comité de los Derechos Humanos, Artículo 25 - La participación en los asuntos públicos y el derecho de voto, 57º período de sesiones, U.N. Doc. HRI/GEN/1/Rev.7 at 194 (1996), párrafo 4. </w:t>
      </w:r>
    </w:p>
  </w:footnote>
  <w:footnote w:id="576">
    <w:p w:rsidR="00887731" w:rsidRPr="00597337" w:rsidRDefault="00887731" w:rsidP="004551E9">
      <w:pPr>
        <w:pStyle w:val="Pie"/>
      </w:pPr>
      <w:r w:rsidRPr="00597337">
        <w:rPr>
          <w:rStyle w:val="Refdenotaalpie"/>
        </w:rPr>
        <w:footnoteRef/>
      </w:r>
      <w:r w:rsidRPr="00597337">
        <w:rPr>
          <w:lang w:val="es-AR"/>
        </w:rPr>
        <w:t xml:space="preserve"> </w:t>
      </w:r>
      <w:r w:rsidRPr="00597337">
        <w:t xml:space="preserve">Observación general Nº 28, La igualdad de derechos entre hombres y mujeres (art. 3), Comité de Derechos Humanos de la ONU, </w:t>
      </w:r>
      <w:r w:rsidRPr="00597337">
        <w:rPr>
          <w:bCs/>
          <w:lang w:val="es-ES_tradnl"/>
        </w:rPr>
        <w:t>68º período de sesiones (2000)</w:t>
      </w:r>
      <w:r w:rsidRPr="00597337">
        <w:t>, párrafo 19. (HRI/GEN/1/Rev.9 (Vol.I))</w:t>
      </w:r>
    </w:p>
  </w:footnote>
  <w:footnote w:id="577">
    <w:p w:rsidR="00887731" w:rsidRPr="00597337" w:rsidRDefault="00887731" w:rsidP="004551E9">
      <w:pPr>
        <w:pStyle w:val="Pie"/>
      </w:pPr>
      <w:r w:rsidRPr="00597337">
        <w:rPr>
          <w:rStyle w:val="Refdenotaalpie"/>
        </w:rPr>
        <w:footnoteRef/>
      </w:r>
      <w:r w:rsidRPr="00597337">
        <w:t xml:space="preserve"> </w:t>
      </w:r>
      <w:r w:rsidRPr="00597337">
        <w:rPr>
          <w:lang w:val="es-ES_tradnl"/>
        </w:rPr>
        <w:t>Observación General Nro. 5, las personas con discapacidad, Comité de Derechos Económicos, Sociales y Culturales en 1994, HRI/GEN/1/Rev.7, 12 de mayo de 2004, p</w:t>
      </w:r>
      <w:r w:rsidRPr="00597337">
        <w:t>árrafo 17.</w:t>
      </w:r>
    </w:p>
  </w:footnote>
  <w:footnote w:id="578">
    <w:p w:rsidR="00887731" w:rsidRPr="00597337" w:rsidRDefault="00887731" w:rsidP="004551E9">
      <w:pPr>
        <w:pStyle w:val="Pie"/>
      </w:pPr>
      <w:r w:rsidRPr="00597337">
        <w:rPr>
          <w:rStyle w:val="Refdenotaalpie"/>
        </w:rPr>
        <w:footnoteRef/>
      </w:r>
      <w:r w:rsidRPr="00597337">
        <w:t xml:space="preserve"> Observación general Nº 16 (2005), La igualdad de derechos del hombre y la mujer al disfrute de los derechos económicos, sociales y culturales (artículo 3 del Pacto Internacional de Derechos Económicos, Sociales y Culturales), Párrafo14. </w:t>
      </w:r>
    </w:p>
  </w:footnote>
  <w:footnote w:id="579">
    <w:p w:rsidR="00887731" w:rsidRPr="00597337" w:rsidRDefault="00887731" w:rsidP="004551E9">
      <w:pPr>
        <w:pStyle w:val="Pie"/>
      </w:pPr>
      <w:r w:rsidRPr="00597337">
        <w:rPr>
          <w:rStyle w:val="Refdenotaalpie"/>
        </w:rPr>
        <w:footnoteRef/>
      </w:r>
      <w:r w:rsidRPr="00597337">
        <w:rPr>
          <w:lang w:val="es-AR"/>
        </w:rPr>
        <w:t xml:space="preserve"> Observación General n°20 del Comité </w:t>
      </w:r>
      <w:r w:rsidRPr="00597337">
        <w:t xml:space="preserve">de Derechos Económicos, Sociales y Culturales, “La no discriminación y los derechos económicos, sociales y culturales (artículo 2, párrafo 2 del Pacto Internacional de Derechos Económicos, Sociales y Culturales)”, E/C.12/GC/20, 2 de julio de 2009, párrafo 27. </w:t>
      </w:r>
    </w:p>
  </w:footnote>
  <w:footnote w:id="580">
    <w:p w:rsidR="00887731" w:rsidRPr="00597337" w:rsidRDefault="00887731" w:rsidP="004551E9">
      <w:pPr>
        <w:pStyle w:val="Pie"/>
      </w:pPr>
      <w:r w:rsidRPr="00597337">
        <w:rPr>
          <w:rStyle w:val="Refdenotaalpie"/>
        </w:rPr>
        <w:footnoteRef/>
      </w:r>
      <w:r w:rsidRPr="00597337">
        <w:t xml:space="preserve"> Recomendación General nº 21, (13º período de sesiones, 1994), La igualdad en el matrimonio y en las relaciones familiares, Comité para la Eliminación de la Discriminación contra la Mujer, Párrafo 8. </w:t>
      </w:r>
    </w:p>
  </w:footnote>
  <w:footnote w:id="581">
    <w:p w:rsidR="00887731" w:rsidRPr="0078741B" w:rsidRDefault="00887731" w:rsidP="004551E9">
      <w:pPr>
        <w:pStyle w:val="Pie"/>
      </w:pPr>
      <w:r w:rsidRPr="00597337">
        <w:rPr>
          <w:rStyle w:val="Refdenotaalpie"/>
        </w:rPr>
        <w:footnoteRef/>
      </w:r>
      <w:r w:rsidRPr="0078741B">
        <w:t xml:space="preserve"> Párrafo 28. </w:t>
      </w:r>
    </w:p>
  </w:footnote>
  <w:footnote w:id="582">
    <w:p w:rsidR="00887731" w:rsidRPr="0078741B" w:rsidRDefault="00887731" w:rsidP="004551E9">
      <w:pPr>
        <w:pStyle w:val="Pie"/>
      </w:pPr>
      <w:r w:rsidRPr="00597337">
        <w:rPr>
          <w:rStyle w:val="Refdenotaalpie"/>
        </w:rPr>
        <w:footnoteRef/>
      </w:r>
      <w:r w:rsidRPr="0078741B">
        <w:t xml:space="preserve"> Párrafo 36.</w:t>
      </w:r>
    </w:p>
  </w:footnote>
  <w:footnote w:id="583">
    <w:p w:rsidR="00887731" w:rsidRPr="00597337" w:rsidRDefault="00887731" w:rsidP="004551E9">
      <w:pPr>
        <w:pStyle w:val="Textonotapie"/>
      </w:pPr>
      <w:r w:rsidRPr="00597337">
        <w:rPr>
          <w:rStyle w:val="Refdenotaalpie"/>
        </w:rPr>
        <w:footnoteRef/>
      </w:r>
      <w:r w:rsidRPr="00597337">
        <w:t xml:space="preserve"> Recomendación general Nº XXIX </w:t>
      </w:r>
      <w:proofErr w:type="gramStart"/>
      <w:r w:rsidRPr="00597337">
        <w:t>relativa</w:t>
      </w:r>
      <w:proofErr w:type="gramEnd"/>
      <w:r w:rsidRPr="00597337">
        <w:t xml:space="preserve"> a la discriminación basada en la ascendencia, Comité para la Eliminación de la Discriminación Racial, 61º período de sesiones (2002).</w:t>
      </w:r>
    </w:p>
  </w:footnote>
  <w:footnote w:id="584">
    <w:p w:rsidR="00887731" w:rsidRPr="00597337" w:rsidRDefault="00887731" w:rsidP="004551E9">
      <w:pPr>
        <w:pStyle w:val="Pie"/>
        <w:rPr>
          <w:highlight w:val="magenta"/>
        </w:rPr>
      </w:pPr>
      <w:r w:rsidRPr="00597337">
        <w:rPr>
          <w:rStyle w:val="Refdenotaalpie"/>
        </w:rPr>
        <w:footnoteRef/>
      </w:r>
      <w:r w:rsidRPr="00597337">
        <w:t xml:space="preserve"> Observación general Nº 1 (Propósito de la Educación) Comité sobre los Derechos del Niño, 26º período de sesiones (2001) (HRI/GEN/1/Rev.9 (</w:t>
      </w:r>
      <w:proofErr w:type="spellStart"/>
      <w:r w:rsidRPr="00597337">
        <w:t>Vol.I</w:t>
      </w:r>
      <w:proofErr w:type="spellEnd"/>
      <w:r w:rsidRPr="00597337">
        <w:t xml:space="preserve">), párrafo 9. </w:t>
      </w:r>
    </w:p>
  </w:footnote>
  <w:footnote w:id="585">
    <w:p w:rsidR="00887731" w:rsidRPr="0078741B" w:rsidRDefault="00887731" w:rsidP="004551E9">
      <w:pPr>
        <w:pStyle w:val="Pie"/>
      </w:pPr>
      <w:r w:rsidRPr="00597337">
        <w:rPr>
          <w:rStyle w:val="Refdenotaalpie"/>
        </w:rPr>
        <w:footnoteRef/>
      </w:r>
      <w:r w:rsidRPr="0078741B">
        <w:t xml:space="preserve"> Observación general Nº 4(La salud y el desarrollo de los adolescentes en el contexto de la Convención sobre los Derechos del Niño)</w:t>
      </w:r>
      <w:r w:rsidRPr="00597337">
        <w:t xml:space="preserve"> Comité sobre los Derechos del Niño, </w:t>
      </w:r>
      <w:r w:rsidRPr="0078741B">
        <w:t xml:space="preserve">33º período de sesiones (2003), </w:t>
      </w:r>
      <w:r w:rsidRPr="00597337">
        <w:t>(HRI/GEN/1/Rev.9 (</w:t>
      </w:r>
      <w:proofErr w:type="spellStart"/>
      <w:r w:rsidRPr="00597337">
        <w:t>Vol.I</w:t>
      </w:r>
      <w:proofErr w:type="spellEnd"/>
      <w:r w:rsidRPr="00597337">
        <w:t>), p</w:t>
      </w:r>
      <w:r w:rsidRPr="0078741B">
        <w:t xml:space="preserve">árrafo 8. </w:t>
      </w:r>
    </w:p>
  </w:footnote>
  <w:footnote w:id="586">
    <w:p w:rsidR="00887731" w:rsidRPr="00597337" w:rsidRDefault="00887731" w:rsidP="004551E9">
      <w:pPr>
        <w:pStyle w:val="Pie"/>
      </w:pPr>
      <w:r w:rsidRPr="00597337">
        <w:rPr>
          <w:rStyle w:val="Refdenotaalpie"/>
        </w:rPr>
        <w:footnoteRef/>
      </w:r>
      <w:r w:rsidRPr="00597337">
        <w:t xml:space="preserve"> Adoptada en la Primera Reunión Extraordinaria del Comité para la Eliminación de todas las Formas de Discriminación contra las Personas con Discapacidad, OEA/ </w:t>
      </w:r>
      <w:proofErr w:type="spellStart"/>
      <w:r w:rsidRPr="00597337">
        <w:t>Ser.L</w:t>
      </w:r>
      <w:proofErr w:type="spellEnd"/>
      <w:r w:rsidRPr="00597337">
        <w:t>/XXIV.3.1 CEDDIS/doc.12 (I-E/11) Rev.1 4 y 5 de Mayo de 2011</w:t>
      </w:r>
    </w:p>
  </w:footnote>
  <w:footnote w:id="587">
    <w:p w:rsidR="00887731" w:rsidRPr="00597337" w:rsidRDefault="00887731" w:rsidP="004551E9">
      <w:pPr>
        <w:pStyle w:val="Pie"/>
      </w:pPr>
      <w:r w:rsidRPr="00597337">
        <w:rPr>
          <w:rStyle w:val="Refdenotaalpie"/>
        </w:rPr>
        <w:footnoteRef/>
      </w:r>
      <w:r w:rsidRPr="00597337">
        <w:t xml:space="preserve">  Ibídem, punto 1.</w:t>
      </w:r>
    </w:p>
  </w:footnote>
  <w:footnote w:id="588">
    <w:p w:rsidR="00887731" w:rsidRPr="00597337" w:rsidRDefault="00887731" w:rsidP="004551E9">
      <w:pPr>
        <w:pStyle w:val="Pie"/>
      </w:pPr>
      <w:r w:rsidRPr="00597337">
        <w:rPr>
          <w:rStyle w:val="Refdenotaalpie"/>
        </w:rPr>
        <w:footnoteRef/>
      </w:r>
      <w:r w:rsidRPr="00597337">
        <w:t xml:space="preserve"> Ibídem , punto 2</w:t>
      </w:r>
    </w:p>
  </w:footnote>
  <w:footnote w:id="589">
    <w:p w:rsidR="00887731" w:rsidRPr="00562DB8" w:rsidRDefault="00887731" w:rsidP="004551E9">
      <w:pPr>
        <w:pStyle w:val="Pie"/>
      </w:pPr>
      <w:r w:rsidRPr="00597337">
        <w:rPr>
          <w:rStyle w:val="Refdenotaalpie"/>
        </w:rPr>
        <w:footnoteRef/>
      </w:r>
      <w:r w:rsidRPr="00562DB8">
        <w:t xml:space="preserve"> Ibídem , punto 3</w:t>
      </w:r>
    </w:p>
  </w:footnote>
  <w:footnote w:id="590">
    <w:p w:rsidR="00887731" w:rsidRPr="004551E9" w:rsidRDefault="00887731" w:rsidP="004551E9">
      <w:pPr>
        <w:pStyle w:val="Pie"/>
        <w:rPr>
          <w:lang w:val="en-US"/>
        </w:rPr>
      </w:pPr>
      <w:r w:rsidRPr="00597337">
        <w:rPr>
          <w:rStyle w:val="Refdenotaalpie"/>
        </w:rPr>
        <w:footnoteRef/>
      </w:r>
      <w:r w:rsidRPr="004551E9">
        <w:rPr>
          <w:lang w:val="en-US"/>
        </w:rPr>
        <w:t xml:space="preserve"> BACH, M. &amp; KERZNER, L., (2010) </w:t>
      </w:r>
      <w:r w:rsidRPr="004551E9">
        <w:rPr>
          <w:i/>
          <w:lang w:val="en-US"/>
        </w:rPr>
        <w:t>A New Paradigm for Protecting Autonomy and the Right to Legal Capacity</w:t>
      </w:r>
      <w:r w:rsidRPr="004551E9">
        <w:rPr>
          <w:lang w:val="en-US"/>
        </w:rPr>
        <w:t>,  Prepared for the Law Commission of Ontario, October 2010, p. 18</w:t>
      </w:r>
    </w:p>
  </w:footnote>
  <w:footnote w:id="591">
    <w:p w:rsidR="00887731" w:rsidRPr="00597337" w:rsidRDefault="00887731" w:rsidP="004551E9">
      <w:pPr>
        <w:pStyle w:val="Pie"/>
      </w:pPr>
      <w:r w:rsidRPr="00597337">
        <w:rPr>
          <w:rStyle w:val="Refdenotaalpie"/>
        </w:rPr>
        <w:footnoteRef/>
      </w:r>
      <w:r w:rsidRPr="00597337">
        <w:t xml:space="preserve"> CRPD/C/2/3, 18 de noviembre de 2009, p. 10. </w:t>
      </w:r>
    </w:p>
  </w:footnote>
  <w:footnote w:id="592">
    <w:p w:rsidR="00887731" w:rsidRPr="00597337" w:rsidRDefault="00887731" w:rsidP="004551E9">
      <w:pPr>
        <w:pStyle w:val="Pie"/>
      </w:pPr>
      <w:r w:rsidRPr="00597337">
        <w:rPr>
          <w:rStyle w:val="Refdenotaalpie"/>
        </w:rPr>
        <w:footnoteRef/>
      </w:r>
      <w:r w:rsidRPr="00597337">
        <w:t xml:space="preserve"> CRPD/C/TUN/CO/1, 13 de mayo de 2011, párrafo 23.</w:t>
      </w:r>
    </w:p>
  </w:footnote>
  <w:footnote w:id="593">
    <w:p w:rsidR="00887731" w:rsidRPr="00597337" w:rsidRDefault="00887731" w:rsidP="004551E9">
      <w:pPr>
        <w:pStyle w:val="Pie"/>
      </w:pPr>
      <w:r w:rsidRPr="00597337">
        <w:rPr>
          <w:rStyle w:val="Refdenotaalpie"/>
        </w:rPr>
        <w:footnoteRef/>
      </w:r>
      <w:r w:rsidRPr="00597337">
        <w:t xml:space="preserve"> CRPD/C/ESP/CO/1, 19 de octubre de 2011, párrafo 34. </w:t>
      </w:r>
    </w:p>
  </w:footnote>
  <w:footnote w:id="594">
    <w:p w:rsidR="00887731" w:rsidRPr="00597337" w:rsidRDefault="00887731" w:rsidP="004551E9">
      <w:pPr>
        <w:pStyle w:val="Pie"/>
      </w:pPr>
      <w:r w:rsidRPr="00597337">
        <w:rPr>
          <w:rStyle w:val="Refdenotaalpie"/>
        </w:rPr>
        <w:footnoteRef/>
      </w:r>
      <w:r w:rsidRPr="00597337">
        <w:t xml:space="preserve"> Ídem, 29.</w:t>
      </w:r>
    </w:p>
  </w:footnote>
  <w:footnote w:id="595">
    <w:p w:rsidR="00887731" w:rsidRPr="00597337" w:rsidRDefault="00887731" w:rsidP="004551E9">
      <w:pPr>
        <w:pStyle w:val="Pie"/>
      </w:pPr>
      <w:r w:rsidRPr="00597337">
        <w:rPr>
          <w:rStyle w:val="Refdenotaalpie"/>
        </w:rPr>
        <w:footnoteRef/>
      </w:r>
      <w:r w:rsidRPr="00597337">
        <w:t xml:space="preserve"> Ídem, 36.</w:t>
      </w:r>
    </w:p>
  </w:footnote>
  <w:footnote w:id="596">
    <w:p w:rsidR="00887731" w:rsidRPr="00597337" w:rsidRDefault="00887731" w:rsidP="004551E9">
      <w:pPr>
        <w:pStyle w:val="Pie"/>
      </w:pPr>
      <w:r w:rsidRPr="00597337">
        <w:rPr>
          <w:rStyle w:val="Refdenotaalpie"/>
        </w:rPr>
        <w:footnoteRef/>
      </w:r>
      <w:r w:rsidRPr="00597337">
        <w:t xml:space="preserve"> Ídem, párrafo 47. </w:t>
      </w:r>
    </w:p>
  </w:footnote>
  <w:footnote w:id="597">
    <w:p w:rsidR="00887731" w:rsidRPr="00597337" w:rsidRDefault="00887731" w:rsidP="004551E9">
      <w:pPr>
        <w:pStyle w:val="Pie"/>
      </w:pPr>
      <w:r w:rsidRPr="00597337">
        <w:rPr>
          <w:rStyle w:val="Refdenotaalpie"/>
        </w:rPr>
        <w:footnoteRef/>
      </w:r>
      <w:r w:rsidRPr="00597337">
        <w:t xml:space="preserve"> CRPD/C/PER/CO/1, 16 de mayo de 2012, párrafos 25 y 27.</w:t>
      </w:r>
    </w:p>
  </w:footnote>
  <w:footnote w:id="598">
    <w:p w:rsidR="00887731" w:rsidRPr="00597337" w:rsidRDefault="00887731" w:rsidP="004551E9">
      <w:pPr>
        <w:pStyle w:val="Pie"/>
      </w:pPr>
      <w:r w:rsidRPr="00597337">
        <w:rPr>
          <w:rStyle w:val="Refdenotaalpie"/>
        </w:rPr>
        <w:footnoteRef/>
      </w:r>
      <w:r w:rsidRPr="00597337">
        <w:t xml:space="preserve"> Ídem, párrafo 45(a).</w:t>
      </w:r>
    </w:p>
  </w:footnote>
  <w:footnote w:id="599">
    <w:p w:rsidR="00887731" w:rsidRPr="00597337" w:rsidRDefault="00887731" w:rsidP="004551E9">
      <w:pPr>
        <w:pStyle w:val="Pie"/>
      </w:pPr>
      <w:r w:rsidRPr="00597337">
        <w:rPr>
          <w:rStyle w:val="Refdenotaalpie"/>
        </w:rPr>
        <w:footnoteRef/>
      </w:r>
      <w:r w:rsidRPr="00597337">
        <w:t xml:space="preserve"> Ídem, párrafo 34.</w:t>
      </w:r>
    </w:p>
  </w:footnote>
  <w:footnote w:id="600">
    <w:p w:rsidR="00887731" w:rsidRPr="00597337" w:rsidRDefault="00887731" w:rsidP="004551E9">
      <w:pPr>
        <w:pStyle w:val="Pie"/>
      </w:pPr>
      <w:r w:rsidRPr="00597337">
        <w:rPr>
          <w:rStyle w:val="Refdenotaalpie"/>
        </w:rPr>
        <w:footnoteRef/>
      </w:r>
      <w:r w:rsidRPr="00597337">
        <w:t xml:space="preserve"> CRPD/C/ARG/CO/1, 19 de octubre de 2012, párrafo 20.</w:t>
      </w:r>
    </w:p>
  </w:footnote>
  <w:footnote w:id="601">
    <w:p w:rsidR="00887731" w:rsidRPr="00597337" w:rsidRDefault="00887731" w:rsidP="004551E9">
      <w:pPr>
        <w:pStyle w:val="Pie"/>
      </w:pPr>
      <w:r w:rsidRPr="00597337">
        <w:rPr>
          <w:rStyle w:val="Refdenotaalpie"/>
        </w:rPr>
        <w:footnoteRef/>
      </w:r>
      <w:r w:rsidRPr="00597337">
        <w:t xml:space="preserve"> Ídem, párrafo 39.</w:t>
      </w:r>
    </w:p>
  </w:footnote>
  <w:footnote w:id="602">
    <w:p w:rsidR="00887731" w:rsidRPr="00597337" w:rsidRDefault="00887731" w:rsidP="004551E9">
      <w:pPr>
        <w:pStyle w:val="Pie"/>
      </w:pPr>
      <w:r w:rsidRPr="00597337">
        <w:rPr>
          <w:rStyle w:val="Refdenotaalpie"/>
        </w:rPr>
        <w:footnoteRef/>
      </w:r>
      <w:r w:rsidRPr="00597337">
        <w:t xml:space="preserve"> Ídem, párrafo 48. </w:t>
      </w:r>
    </w:p>
  </w:footnote>
  <w:footnote w:id="603">
    <w:p w:rsidR="00887731" w:rsidRPr="00597337" w:rsidRDefault="00887731" w:rsidP="004551E9">
      <w:pPr>
        <w:pStyle w:val="Pie"/>
      </w:pPr>
      <w:r w:rsidRPr="00597337">
        <w:rPr>
          <w:rStyle w:val="Refdenotaalpie"/>
        </w:rPr>
        <w:footnoteRef/>
      </w:r>
      <w:r w:rsidRPr="00597337">
        <w:t xml:space="preserve"> Ídem, párrafo 49.</w:t>
      </w:r>
    </w:p>
  </w:footnote>
  <w:footnote w:id="604">
    <w:p w:rsidR="00887731" w:rsidRPr="00597337" w:rsidRDefault="00887731" w:rsidP="004551E9">
      <w:pPr>
        <w:pStyle w:val="Pie"/>
      </w:pPr>
      <w:r w:rsidRPr="00597337">
        <w:rPr>
          <w:rStyle w:val="Refdenotaalpie"/>
        </w:rPr>
        <w:footnoteRef/>
      </w:r>
      <w:r w:rsidRPr="00597337">
        <w:t xml:space="preserve"> CRPD/C/CHN/CO/1, 15 de octubre de 2012, párrafo 22.</w:t>
      </w:r>
    </w:p>
  </w:footnote>
  <w:footnote w:id="605">
    <w:p w:rsidR="00887731" w:rsidRPr="00597337" w:rsidRDefault="00887731" w:rsidP="004551E9">
      <w:pPr>
        <w:pStyle w:val="Pie"/>
      </w:pPr>
      <w:r w:rsidRPr="00597337">
        <w:rPr>
          <w:rStyle w:val="Refdenotaalpie"/>
        </w:rPr>
        <w:footnoteRef/>
      </w:r>
      <w:r w:rsidRPr="00597337">
        <w:t xml:space="preserve"> Ídem, párrafo 24.</w:t>
      </w:r>
    </w:p>
  </w:footnote>
  <w:footnote w:id="606">
    <w:p w:rsidR="00887731" w:rsidRPr="00597337" w:rsidRDefault="00887731" w:rsidP="004551E9">
      <w:pPr>
        <w:pStyle w:val="Pie"/>
      </w:pPr>
      <w:r w:rsidRPr="00597337">
        <w:rPr>
          <w:rStyle w:val="Refdenotaalpie"/>
        </w:rPr>
        <w:footnoteRef/>
      </w:r>
      <w:r w:rsidRPr="00597337">
        <w:t xml:space="preserve"> </w:t>
      </w:r>
      <w:r w:rsidRPr="00597337">
        <w:rPr>
          <w:lang w:val="es-ES_tradnl"/>
        </w:rPr>
        <w:t xml:space="preserve">CRPD/C/HUN/CO/1, </w:t>
      </w:r>
      <w:r w:rsidRPr="00597337">
        <w:t>22 de octubre de 2012, párrafo 26.</w:t>
      </w:r>
    </w:p>
  </w:footnote>
  <w:footnote w:id="607">
    <w:p w:rsidR="00887731" w:rsidRPr="00597337" w:rsidRDefault="00887731" w:rsidP="004551E9">
      <w:pPr>
        <w:pStyle w:val="Pie"/>
      </w:pPr>
      <w:r w:rsidRPr="00597337">
        <w:rPr>
          <w:rStyle w:val="Refdenotaalpie"/>
        </w:rPr>
        <w:footnoteRef/>
      </w:r>
      <w:r w:rsidRPr="00597337">
        <w:rPr>
          <w:lang w:val="es-AR"/>
        </w:rPr>
        <w:t xml:space="preserve"> </w:t>
      </w:r>
      <w:r w:rsidRPr="00597337">
        <w:t>Ídem, párrafo 30.</w:t>
      </w:r>
    </w:p>
  </w:footnote>
  <w:footnote w:id="608">
    <w:p w:rsidR="00887731" w:rsidRPr="00597337" w:rsidRDefault="00887731" w:rsidP="004551E9">
      <w:pPr>
        <w:pStyle w:val="Pie"/>
      </w:pPr>
      <w:r w:rsidRPr="00597337">
        <w:rPr>
          <w:rStyle w:val="Refdenotaalpie"/>
        </w:rPr>
        <w:footnoteRef/>
      </w:r>
      <w:r w:rsidRPr="00597337">
        <w:t xml:space="preserve"> Ídem, párrafo 45.</w:t>
      </w:r>
    </w:p>
  </w:footnote>
  <w:footnote w:id="609">
    <w:p w:rsidR="00887731" w:rsidRPr="00597337" w:rsidRDefault="00887731" w:rsidP="004551E9">
      <w:pPr>
        <w:pStyle w:val="Textonotapie"/>
      </w:pPr>
      <w:r w:rsidRPr="00597337">
        <w:rPr>
          <w:rStyle w:val="Refdenotaalpie"/>
        </w:rPr>
        <w:footnoteRef/>
      </w:r>
      <w:r w:rsidRPr="00597337">
        <w:t xml:space="preserve"> CRPD/C/AUT/CO/1, 30 de septiembre de 2013. Párrafo 28.</w:t>
      </w:r>
    </w:p>
  </w:footnote>
  <w:footnote w:id="610">
    <w:p w:rsidR="00887731" w:rsidRPr="00597337" w:rsidRDefault="00887731" w:rsidP="004551E9">
      <w:pPr>
        <w:pStyle w:val="Textonotapie"/>
      </w:pPr>
      <w:r w:rsidRPr="00597337">
        <w:rPr>
          <w:rStyle w:val="Refdenotaalpie"/>
        </w:rPr>
        <w:footnoteRef/>
      </w:r>
      <w:r w:rsidRPr="00597337">
        <w:t xml:space="preserve"> CRPD/C/SLV/CO/1, 13 de septiembre de 2013. párrafo 28</w:t>
      </w:r>
    </w:p>
  </w:footnote>
  <w:footnote w:id="611">
    <w:p w:rsidR="00887731" w:rsidRPr="0078741B" w:rsidRDefault="00887731" w:rsidP="004551E9">
      <w:pPr>
        <w:pStyle w:val="Textonotapie"/>
        <w:rPr>
          <w:lang w:val="pt-BR"/>
        </w:rPr>
      </w:pPr>
      <w:r w:rsidRPr="00597337">
        <w:rPr>
          <w:rStyle w:val="Refdenotaalpie"/>
        </w:rPr>
        <w:footnoteRef/>
      </w:r>
      <w:r w:rsidRPr="0078741B">
        <w:rPr>
          <w:lang w:val="pt-BR"/>
        </w:rPr>
        <w:t xml:space="preserve"> Ídem, párrafo 32.</w:t>
      </w:r>
    </w:p>
  </w:footnote>
  <w:footnote w:id="612">
    <w:p w:rsidR="00887731" w:rsidRPr="0078741B" w:rsidRDefault="00887731" w:rsidP="004551E9">
      <w:pPr>
        <w:pStyle w:val="Textonotapie"/>
        <w:rPr>
          <w:lang w:val="pt-BR"/>
        </w:rPr>
      </w:pPr>
      <w:r w:rsidRPr="00597337">
        <w:rPr>
          <w:rStyle w:val="Refdenotaalpie"/>
        </w:rPr>
        <w:footnoteRef/>
      </w:r>
      <w:r w:rsidRPr="0078741B">
        <w:rPr>
          <w:lang w:val="pt-BR"/>
        </w:rPr>
        <w:t xml:space="preserve"> Ídem, párrafo 34.</w:t>
      </w:r>
    </w:p>
  </w:footnote>
  <w:footnote w:id="613">
    <w:p w:rsidR="00887731" w:rsidRPr="0078741B" w:rsidRDefault="00887731" w:rsidP="004551E9">
      <w:pPr>
        <w:pStyle w:val="Textonotapie"/>
        <w:rPr>
          <w:lang w:val="pt-BR"/>
        </w:rPr>
      </w:pPr>
      <w:r w:rsidRPr="00597337">
        <w:rPr>
          <w:rStyle w:val="Refdenotaalpie"/>
        </w:rPr>
        <w:footnoteRef/>
      </w:r>
      <w:r w:rsidRPr="0078741B">
        <w:rPr>
          <w:lang w:val="pt-BR"/>
        </w:rPr>
        <w:t xml:space="preserve"> Ídem, párrafo 38. </w:t>
      </w:r>
    </w:p>
  </w:footnote>
  <w:footnote w:id="614">
    <w:p w:rsidR="00887731" w:rsidRPr="0078741B" w:rsidRDefault="00887731" w:rsidP="004551E9">
      <w:pPr>
        <w:pStyle w:val="Textonotapie"/>
        <w:rPr>
          <w:lang w:val="pt-BR"/>
        </w:rPr>
      </w:pPr>
      <w:r w:rsidRPr="00597337">
        <w:rPr>
          <w:rStyle w:val="Refdenotaalpie"/>
        </w:rPr>
        <w:footnoteRef/>
      </w:r>
      <w:r w:rsidRPr="0078741B">
        <w:rPr>
          <w:lang w:val="pt-BR"/>
        </w:rPr>
        <w:t xml:space="preserve"> Ídem, párrafo 47.</w:t>
      </w:r>
    </w:p>
  </w:footnote>
  <w:footnote w:id="615">
    <w:p w:rsidR="00887731" w:rsidRPr="0078741B" w:rsidRDefault="00887731" w:rsidP="004551E9">
      <w:pPr>
        <w:pStyle w:val="Textonotapie"/>
        <w:rPr>
          <w:lang w:val="pt-BR"/>
        </w:rPr>
      </w:pPr>
      <w:r w:rsidRPr="00597337">
        <w:rPr>
          <w:rStyle w:val="Refdenotaalpie"/>
        </w:rPr>
        <w:footnoteRef/>
      </w:r>
      <w:r w:rsidRPr="0078741B">
        <w:rPr>
          <w:lang w:val="pt-BR"/>
        </w:rPr>
        <w:t xml:space="preserve"> CRPD/C/AUS/CO/1, 21 de </w:t>
      </w:r>
      <w:proofErr w:type="spellStart"/>
      <w:r w:rsidRPr="0078741B">
        <w:rPr>
          <w:lang w:val="pt-BR"/>
        </w:rPr>
        <w:t>octubre</w:t>
      </w:r>
      <w:proofErr w:type="spellEnd"/>
      <w:r w:rsidRPr="0078741B">
        <w:rPr>
          <w:lang w:val="pt-BR"/>
        </w:rPr>
        <w:t xml:space="preserve"> de 2013, </w:t>
      </w:r>
      <w:proofErr w:type="spellStart"/>
      <w:r w:rsidRPr="0078741B">
        <w:rPr>
          <w:lang w:val="pt-BR"/>
        </w:rPr>
        <w:t>párrafo</w:t>
      </w:r>
      <w:proofErr w:type="spellEnd"/>
      <w:r w:rsidRPr="0078741B">
        <w:rPr>
          <w:lang w:val="pt-BR"/>
        </w:rPr>
        <w:t xml:space="preserve"> 25.</w:t>
      </w:r>
    </w:p>
  </w:footnote>
  <w:footnote w:id="616">
    <w:p w:rsidR="00887731" w:rsidRPr="0078741B" w:rsidRDefault="00887731" w:rsidP="004551E9">
      <w:pPr>
        <w:pStyle w:val="Textonotapie"/>
        <w:rPr>
          <w:lang w:val="pt-BR"/>
        </w:rPr>
      </w:pPr>
      <w:r w:rsidRPr="00597337">
        <w:rPr>
          <w:rStyle w:val="Refdenotaalpie"/>
        </w:rPr>
        <w:footnoteRef/>
      </w:r>
      <w:r w:rsidRPr="0078741B">
        <w:rPr>
          <w:lang w:val="pt-BR"/>
        </w:rPr>
        <w:t xml:space="preserve"> Ídem, párrafo 34. </w:t>
      </w:r>
    </w:p>
  </w:footnote>
  <w:footnote w:id="617">
    <w:p w:rsidR="00887731" w:rsidRPr="00D20B0E" w:rsidRDefault="00887731" w:rsidP="004551E9">
      <w:pPr>
        <w:pStyle w:val="Textonotapie"/>
      </w:pPr>
      <w:r w:rsidRPr="00597337">
        <w:rPr>
          <w:rStyle w:val="Refdenotaalpie"/>
        </w:rPr>
        <w:footnoteRef/>
      </w:r>
      <w:r w:rsidRPr="00D20B0E">
        <w:t xml:space="preserve"> Ídem, párrafo 40.</w:t>
      </w:r>
    </w:p>
  </w:footnote>
  <w:footnote w:id="618">
    <w:p w:rsidR="00887731" w:rsidRPr="004A6F3C" w:rsidRDefault="00887731" w:rsidP="004551E9">
      <w:pPr>
        <w:pStyle w:val="Textonotapie"/>
      </w:pPr>
      <w:r>
        <w:rPr>
          <w:rStyle w:val="Refdenotaalpie"/>
        </w:rPr>
        <w:footnoteRef/>
      </w:r>
      <w:r w:rsidRPr="004A6F3C">
        <w:t xml:space="preserve"> CRPD/C/CRI/CO/1, 12 de mayo de 2014</w:t>
      </w:r>
      <w:r>
        <w:t xml:space="preserve">, párrafo 22. El mismo lenguaje es utilizado por el Comité al analizar el Informe de Suecia </w:t>
      </w:r>
      <w:r w:rsidRPr="004A6F3C">
        <w:t>CRPD/C/SWE/CO/1</w:t>
      </w:r>
      <w:r>
        <w:t xml:space="preserve">, </w:t>
      </w:r>
      <w:r w:rsidRPr="004A6F3C">
        <w:t>12 de mayo de 2014</w:t>
      </w:r>
      <w:r>
        <w:t xml:space="preserve">, párrafo 34; o de Azeibaijan </w:t>
      </w:r>
      <w:r w:rsidRPr="004A6F3C">
        <w:t>CRPD/C/AZE/CO/1</w:t>
      </w:r>
      <w:r>
        <w:t xml:space="preserve">, </w:t>
      </w:r>
      <w:r w:rsidRPr="004A6F3C">
        <w:t>12 de mayo de 2014</w:t>
      </w:r>
      <w:r>
        <w:t>, párrafo 27.</w:t>
      </w:r>
    </w:p>
  </w:footnote>
  <w:footnote w:id="619">
    <w:p w:rsidR="00887731" w:rsidRPr="004A6F3C" w:rsidRDefault="00887731" w:rsidP="004551E9">
      <w:pPr>
        <w:pStyle w:val="Pie"/>
      </w:pPr>
      <w:r w:rsidRPr="00597337">
        <w:rPr>
          <w:rStyle w:val="Refdenotaalpie"/>
        </w:rPr>
        <w:footnoteRef/>
      </w:r>
      <w:r w:rsidRPr="004A6F3C">
        <w:t xml:space="preserve"> Observaciones finales del Comité de Derechos Humanos al tercer informe periódico presentado por Bulgaria, CCPR/C/BGR/CO/3, 19 de agosto de 2011, párrafo 17.</w:t>
      </w:r>
    </w:p>
  </w:footnote>
  <w:footnote w:id="620">
    <w:p w:rsidR="00887731" w:rsidRPr="00597337" w:rsidRDefault="00887731" w:rsidP="004551E9">
      <w:pPr>
        <w:pStyle w:val="Pie"/>
      </w:pPr>
      <w:r w:rsidRPr="00597337">
        <w:rPr>
          <w:rStyle w:val="Refdenotaalpie"/>
        </w:rPr>
        <w:footnoteRef/>
      </w:r>
      <w:r w:rsidRPr="00597337">
        <w:t xml:space="preserve"> Observaciones finales del Comité de Derechos Humanos al Sexto Informe Periódico de la Federación Rusa, CCPR/C/RUS/CO/6, 24 de noviembre de 2009, párrafo 19.</w:t>
      </w:r>
    </w:p>
  </w:footnote>
  <w:footnote w:id="621">
    <w:p w:rsidR="00887731" w:rsidRPr="00597337" w:rsidRDefault="00887731" w:rsidP="004551E9">
      <w:pPr>
        <w:pStyle w:val="Pie"/>
      </w:pPr>
      <w:r w:rsidRPr="00597337">
        <w:rPr>
          <w:rStyle w:val="Refdenotaalpie"/>
        </w:rPr>
        <w:footnoteRef/>
      </w:r>
      <w:r w:rsidRPr="00597337">
        <w:t xml:space="preserve"> Observaciones finales del Comité de Derechos Humanos al Tercer Informe Periódico de Panamá, CCPR/C/PAN/CO/3, 17 de abril de 2008, párrafo 8.</w:t>
      </w:r>
    </w:p>
  </w:footnote>
  <w:footnote w:id="622">
    <w:p w:rsidR="00887731" w:rsidRPr="00597337" w:rsidRDefault="00887731" w:rsidP="004551E9">
      <w:pPr>
        <w:pStyle w:val="Pie"/>
      </w:pPr>
      <w:r w:rsidRPr="00597337">
        <w:rPr>
          <w:rStyle w:val="Refdenotaalpie"/>
        </w:rPr>
        <w:footnoteRef/>
      </w:r>
      <w:r w:rsidRPr="00597337">
        <w:t xml:space="preserve"> Observaciones finales del Comité de Derechos Humanos al Segundo Informe Periódico de la República Checa, CCPR/C/CZE/CO/2, 9 de agosto de 2007, párrafo 14.</w:t>
      </w:r>
    </w:p>
  </w:footnote>
  <w:footnote w:id="623">
    <w:p w:rsidR="00887731" w:rsidRPr="00597337" w:rsidRDefault="00887731" w:rsidP="004551E9">
      <w:pPr>
        <w:pStyle w:val="Pie"/>
      </w:pPr>
      <w:r w:rsidRPr="00597337">
        <w:rPr>
          <w:rStyle w:val="Refdenotaalpie"/>
        </w:rPr>
        <w:footnoteRef/>
      </w:r>
      <w:r w:rsidRPr="00597337">
        <w:t xml:space="preserve"> Observaciones finales del Comité de Derechos Económicos,</w:t>
      </w:r>
      <w:r w:rsidRPr="00597337">
        <w:br/>
        <w:t xml:space="preserve">Sociales y Culturales al Informe Inicial de Mauritania, E/C.12/MRT/CO/1, 10 de diciembre de 2012, párrafo 18. </w:t>
      </w:r>
    </w:p>
  </w:footnote>
  <w:footnote w:id="624">
    <w:p w:rsidR="00887731" w:rsidRPr="00597337" w:rsidRDefault="00887731" w:rsidP="004551E9">
      <w:pPr>
        <w:pStyle w:val="Pie"/>
      </w:pPr>
      <w:r w:rsidRPr="00597337">
        <w:rPr>
          <w:rStyle w:val="Refdenotaalpie"/>
        </w:rPr>
        <w:footnoteRef/>
      </w:r>
      <w:r w:rsidRPr="00597337">
        <w:t xml:space="preserve"> Observaciones finales del Comité de Derechos Económicos,</w:t>
      </w:r>
      <w:r w:rsidRPr="00597337">
        <w:br/>
        <w:t>Sociales y Culturales al Segundo Informe Periódico de la República de Moldava, E/C.12/MDA/CO/2,  12 de julio de 2011, párrafo 24.</w:t>
      </w:r>
    </w:p>
  </w:footnote>
  <w:footnote w:id="625">
    <w:p w:rsidR="00887731" w:rsidRPr="004551E9" w:rsidRDefault="00887731" w:rsidP="004551E9">
      <w:pPr>
        <w:pStyle w:val="Pie"/>
        <w:rPr>
          <w:lang w:val="en-US"/>
        </w:rPr>
      </w:pPr>
      <w:r w:rsidRPr="00597337">
        <w:rPr>
          <w:rStyle w:val="Refdenotaalpie"/>
        </w:rPr>
        <w:footnoteRef/>
      </w:r>
      <w:r w:rsidRPr="004551E9">
        <w:rPr>
          <w:lang w:val="en-US"/>
        </w:rPr>
        <w:t xml:space="preserve"> PALACIOS, A., (2008), op cit; DINERSTEIN, R. D., (2012), “Implementing Legal Capacity </w:t>
      </w:r>
      <w:proofErr w:type="gramStart"/>
      <w:r w:rsidRPr="004551E9">
        <w:rPr>
          <w:lang w:val="en-US"/>
        </w:rPr>
        <w:t>Under</w:t>
      </w:r>
      <w:proofErr w:type="gramEnd"/>
      <w:r w:rsidRPr="004551E9">
        <w:rPr>
          <w:lang w:val="en-US"/>
        </w:rPr>
        <w:t xml:space="preserve"> Article 12 of the UN Convention on the Rights of Persons with Disabilities: The Difficult Read From Guardianship to Supported Decision-Making”, en </w:t>
      </w:r>
      <w:r w:rsidRPr="004551E9">
        <w:rPr>
          <w:i/>
          <w:lang w:val="en-US"/>
        </w:rPr>
        <w:t>Human Rights Brief</w:t>
      </w:r>
      <w:r w:rsidRPr="004551E9">
        <w:rPr>
          <w:lang w:val="en-US"/>
        </w:rPr>
        <w:t xml:space="preserve">, vol. 19, Issue 2, pp.8-12. </w:t>
      </w:r>
    </w:p>
  </w:footnote>
  <w:footnote w:id="626">
    <w:p w:rsidR="00887731" w:rsidRPr="00E42262" w:rsidRDefault="00887731" w:rsidP="004551E9">
      <w:pPr>
        <w:pStyle w:val="Textonotapie"/>
      </w:pPr>
      <w:r w:rsidRPr="00597337">
        <w:rPr>
          <w:rStyle w:val="Refdenotaalpie"/>
        </w:rPr>
        <w:footnoteRef/>
      </w:r>
      <w:r w:rsidRPr="00E42262">
        <w:t xml:space="preserve"> En la Observación General Nº 1 el CteCDPD señala que: […La igualdad ante la ley es un principio básico general de la protección de los derechos humanos y es indispensable para el ejercicio de otros derechos humanos (…) En el artículo 12 de la Convención sobre los derechos de las personas con discapacidad se describe en mayor profundidad el contenido de ese derecho civil, centrándose en las esferas en que tradicionalmente se les ha denegado a las personas con discapacidad. En el artículo 12 no se establecen derechos adicionales para las personas con discapacidad; simplemente se describen los elementos específicos que los Estados partes deben tener en cuenta para garantizar a las personas con discapacidad el derecho a la igualdad ante la ley, en igualdad de condiciones con las demás…] Observación general Nº 1 (2014), Artículo 12: Igual reconocimiento como persona ante la ley, CRPD/C/GC/1</w:t>
      </w:r>
      <w:r>
        <w:t>, 19 de mayo de 2014, párrafo 1</w:t>
      </w:r>
      <w:r w:rsidRPr="00E42262">
        <w:t xml:space="preserve">. </w:t>
      </w:r>
    </w:p>
  </w:footnote>
  <w:footnote w:id="627">
    <w:p w:rsidR="00887731" w:rsidRPr="00597337" w:rsidRDefault="00887731" w:rsidP="004551E9">
      <w:pPr>
        <w:pStyle w:val="Pie"/>
      </w:pPr>
      <w:r w:rsidRPr="00597337">
        <w:rPr>
          <w:rStyle w:val="Refdenotaalpie"/>
        </w:rPr>
        <w:footnoteRef/>
      </w:r>
      <w:r w:rsidRPr="00597337">
        <w:t xml:space="preserve"> Este punto se desarrolla en detalle en el capítulo siguiente. </w:t>
      </w:r>
    </w:p>
  </w:footnote>
  <w:footnote w:id="628">
    <w:p w:rsidR="00887731" w:rsidRPr="00E42262" w:rsidRDefault="00887731" w:rsidP="004551E9">
      <w:pPr>
        <w:pStyle w:val="Pie"/>
      </w:pPr>
      <w:r w:rsidRPr="00597337">
        <w:rPr>
          <w:rStyle w:val="Refdenotaalpie"/>
        </w:rPr>
        <w:footnoteRef/>
      </w:r>
      <w:r w:rsidRPr="00597337">
        <w:t xml:space="preserve"> Aunque la jurisprudencia internacional ha hecho referencia específica al principio de no discriminación racial como norma de </w:t>
      </w:r>
      <w:proofErr w:type="spellStart"/>
      <w:r w:rsidRPr="00597337">
        <w:rPr>
          <w:i/>
        </w:rPr>
        <w:t>jus</w:t>
      </w:r>
      <w:proofErr w:type="spellEnd"/>
      <w:r w:rsidRPr="00597337">
        <w:rPr>
          <w:i/>
        </w:rPr>
        <w:t xml:space="preserve"> </w:t>
      </w:r>
      <w:proofErr w:type="spellStart"/>
      <w:r w:rsidRPr="00597337">
        <w:rPr>
          <w:i/>
        </w:rPr>
        <w:t>cogens</w:t>
      </w:r>
      <w:proofErr w:type="spellEnd"/>
      <w:r w:rsidRPr="00597337">
        <w:t xml:space="preserve">, no existe ningún motivo de peso por el cual dicha consideración no pueda hacerse extensiva a la no discriminación por otros motivos como género, edad, o discapacidad. Véase: BARIFFI F (2006), “El principio de la jurisdicción universal a la luz del carácter </w:t>
      </w:r>
      <w:r w:rsidRPr="00597337">
        <w:rPr>
          <w:i/>
        </w:rPr>
        <w:t>jus cogens</w:t>
      </w:r>
      <w:r w:rsidRPr="00597337">
        <w:t xml:space="preserve"> de ciertos crímenes internacionales”, en </w:t>
      </w:r>
      <w:r w:rsidRPr="00597337">
        <w:rPr>
          <w:i/>
        </w:rPr>
        <w:t>Revista Jurídica El Derecho, Universidad Católica de Buenos Aires</w:t>
      </w:r>
      <w:r w:rsidRPr="00597337">
        <w:t xml:space="preserve">, 18/05/2006, pp.4-9; MARIÑO MENÉNDEZ F (2005), op. cit. pp.84-87; </w:t>
      </w:r>
      <w:r w:rsidRPr="00597337">
        <w:rPr>
          <w:caps/>
        </w:rPr>
        <w:t>Brownlie I</w:t>
      </w:r>
      <w:r w:rsidRPr="00597337">
        <w:t xml:space="preserve"> (1998), </w:t>
      </w:r>
      <w:r w:rsidRPr="00597337">
        <w:rPr>
          <w:i/>
        </w:rPr>
        <w:t>Principles of Public International Law</w:t>
      </w:r>
      <w:r w:rsidRPr="00597337">
        <w:t xml:space="preserve">, fifth edition, Clarendon Press, p.515. </w:t>
      </w:r>
      <w:r w:rsidRPr="00E42262">
        <w:t>En la Observación General Nº 1 el CteCDPD señala que: […La Declaración Universal de Derechos Humanos, el Pacto Internacional de Derechos Civiles y Políticos y la Convención sobre los derechos de las personas con discapacidad especifican que el derecho al igual reconocimiento como persona ante la ley es operativo "en todas partes". En otras palabras, con arreglo al derecho internacional de los derechos humanos no hay ninguna circunstancia que permita privar a una persona del derecho al reconocimiento como tal ante la ley, o que permita limitar ese derecho…] Observación general Nº 1 (2014), Artículo 12: Igual reconocimiento como persona ante la ley, CRPD/C/GC/1</w:t>
      </w:r>
      <w:r>
        <w:t>, 19 de mayo de 2014, párrafo 5</w:t>
      </w:r>
      <w:r w:rsidRPr="00E42262">
        <w:t>.</w:t>
      </w:r>
    </w:p>
  </w:footnote>
  <w:footnote w:id="629">
    <w:p w:rsidR="00887731" w:rsidRPr="00597337" w:rsidRDefault="00887731" w:rsidP="004551E9">
      <w:pPr>
        <w:pStyle w:val="Pie"/>
      </w:pPr>
      <w:r w:rsidRPr="00597337">
        <w:rPr>
          <w:rStyle w:val="Refdenotaalpie"/>
        </w:rPr>
        <w:footnoteRef/>
      </w:r>
      <w:r w:rsidRPr="00597337">
        <w:t xml:space="preserve"> Este punto se desarrolla en detalle en el capítulo siguiente.</w:t>
      </w:r>
    </w:p>
  </w:footnote>
  <w:footnote w:id="630">
    <w:p w:rsidR="00887731" w:rsidRPr="00E42262" w:rsidRDefault="00887731" w:rsidP="004551E9">
      <w:pPr>
        <w:pStyle w:val="Textonotapie"/>
      </w:pPr>
      <w:r w:rsidRPr="00597337">
        <w:rPr>
          <w:rStyle w:val="Refdenotaalpie"/>
        </w:rPr>
        <w:footnoteRef/>
      </w:r>
      <w:r w:rsidRPr="00597337">
        <w:t xml:space="preserve"> </w:t>
      </w:r>
      <w:r w:rsidRPr="00E42262">
        <w:t xml:space="preserve">En la Observación General Nº 1 el CteCDPD señala que: […Todas las personas con discapacidad, incluidas las que tienen deficiencias físicas, mentales, intelectuales o sensoriales, pueden verse afectadas por la negación de la capacidad jurídica y la sustitución en la adopción de decisiones. No obstante, los regímenes basados en la adopción de decisiones sustitutiva y la negación de la capacidad jurídica han afectado y siguen afectando de manera </w:t>
      </w:r>
      <w:r>
        <w:t>d</w:t>
      </w:r>
      <w:r w:rsidRPr="00E42262">
        <w:t>esproporcionada a las personas con discapacidad cognitiva o psicosocial…] Observación general Nº 1 (2014), Artículo 12: Igual reconocimiento como persona ante la ley, CRPD/C/GC/1</w:t>
      </w:r>
      <w:r>
        <w:t>, 19 de mayo de 2014, párrafo 9</w:t>
      </w:r>
      <w:r w:rsidRPr="00E42262">
        <w:t>.</w:t>
      </w:r>
    </w:p>
  </w:footnote>
  <w:footnote w:id="631">
    <w:p w:rsidR="00887731" w:rsidRPr="00597337" w:rsidRDefault="00887731" w:rsidP="004551E9">
      <w:pPr>
        <w:pStyle w:val="Pie"/>
      </w:pPr>
      <w:r w:rsidRPr="00597337">
        <w:rPr>
          <w:rStyle w:val="Refdenotaalpie"/>
        </w:rPr>
        <w:footnoteRef/>
      </w:r>
      <w:r w:rsidRPr="00597337">
        <w:t xml:space="preserve"> De este modo, el artículo 12 se deberá aplicar inclusive a personas con discapacidad aunque el derecho interno las denomine o defina como “dementes”, “locos”, “insanos”, o “incapaces”. </w:t>
      </w:r>
    </w:p>
  </w:footnote>
  <w:footnote w:id="632">
    <w:p w:rsidR="00887731" w:rsidRPr="00E42262" w:rsidRDefault="00887731" w:rsidP="004551E9">
      <w:pPr>
        <w:pStyle w:val="Textonotapie"/>
      </w:pPr>
      <w:r w:rsidRPr="00597337">
        <w:rPr>
          <w:rStyle w:val="Refdenotaalpie"/>
        </w:rPr>
        <w:footnoteRef/>
      </w:r>
      <w:r w:rsidRPr="00597337">
        <w:t xml:space="preserve"> </w:t>
      </w:r>
      <w:r w:rsidRPr="00E42262">
        <w:t>En la Observación General Nº 1 el CteCDPD señala que: […Para lograr el igual reconocimiento como persona ante la ley, no debe negarse la capacidad jurídica de modo discriminatorio. El artículo 5 de la Convención garantiza la igualdad de todas las personas ante la ley y en virtud de ella y el derecho a igual protección legal, y prohíbe expresamente toda discriminación por motivos de discapacidad (…) La negación de la capacidad jurídica con el propósito o el efecto de obstaculizar el derecho de las personas con discapacidad al igual reconocimiento como persona ante la ley es una violación de los artículos 5 y 12 de la Convención…] Observación general Nº 1 (2014), Artículo 12: Igual reconocimiento como persona ante la ley, CRPD/C/GC/1, 19 de mayo de 2014, párr</w:t>
      </w:r>
      <w:r>
        <w:t>afo 32</w:t>
      </w:r>
      <w:r w:rsidRPr="00E42262">
        <w:t>.</w:t>
      </w:r>
    </w:p>
  </w:footnote>
  <w:footnote w:id="633">
    <w:p w:rsidR="00887731" w:rsidRPr="00FF543F" w:rsidRDefault="00887731" w:rsidP="004551E9">
      <w:pPr>
        <w:pStyle w:val="Pie"/>
      </w:pPr>
      <w:r w:rsidRPr="00597337">
        <w:rPr>
          <w:rStyle w:val="Refdenotaalpie"/>
        </w:rPr>
        <w:footnoteRef/>
      </w:r>
      <w:r w:rsidRPr="00597337">
        <w:t xml:space="preserve"> Este es otro elemento que afirma el distanciamiento del artículo 12 en relación con los regímenes tradicionales de tutela sustitutiva, y especialmente, de la noción de protección clásica que intenta imponer un sistema paternalista que </w:t>
      </w:r>
      <w:r w:rsidRPr="00597337">
        <w:rPr>
          <w:i/>
        </w:rPr>
        <w:t>ipso facto</w:t>
      </w:r>
      <w:r w:rsidRPr="00597337">
        <w:t xml:space="preserve"> asume, que las personas con discapacidad intelectual o mental no pueden tomar sus propias decisiones sobre actos jurídicos. Véase en este sentido, DINERSTEIN, R. D., (2012), op. cit. </w:t>
      </w:r>
      <w:r w:rsidRPr="00FF543F">
        <w:t>En la Observación General Nº 1 el CteCDPD señala que: […La no discriminación en el reconocimiento de la capacidad jurídica restablece la autonomía y respeta la dignidad humana de la persona, en consonancia con los principios consagrados en el artículo 3 a) de la Convención. La libertad de tomar las propias decisiones exige casi siempre el goce de capacidad jurídica. La independencia y la autonomía incluyen la facultad de lograr que se respeten jurídicamente las propias decisiones…] Observación general Nº 1 (2014), Artículo 12: Igual reconocimiento como persona ante la ley, CRPD/C/GC/1, 19 de mayo de 2014, párrafo 33.</w:t>
      </w:r>
    </w:p>
  </w:footnote>
  <w:footnote w:id="634">
    <w:p w:rsidR="00887731" w:rsidRPr="00597337" w:rsidRDefault="00887731" w:rsidP="004551E9">
      <w:pPr>
        <w:pStyle w:val="Pie"/>
      </w:pPr>
      <w:r w:rsidRPr="00597337">
        <w:rPr>
          <w:rStyle w:val="Refdenotaalpie"/>
        </w:rPr>
        <w:footnoteRef/>
      </w:r>
      <w:r w:rsidRPr="00597337">
        <w:t xml:space="preserve"> Véase en este sentido lo señalado en el Capítulo 4 (4.2.1)</w:t>
      </w:r>
    </w:p>
  </w:footnote>
  <w:footnote w:id="635">
    <w:p w:rsidR="00887731" w:rsidRPr="00FF543F" w:rsidRDefault="00887731" w:rsidP="004551E9">
      <w:pPr>
        <w:pStyle w:val="Textonotapie"/>
      </w:pPr>
      <w:r w:rsidRPr="00597337">
        <w:rPr>
          <w:rStyle w:val="Refdenotaalpie"/>
        </w:rPr>
        <w:footnoteRef/>
      </w:r>
      <w:r w:rsidRPr="00597337">
        <w:t xml:space="preserve"> </w:t>
      </w:r>
      <w:r w:rsidRPr="00FF543F">
        <w:t>En la Observación General Nº 1 el CteCDPD señala que: […En el artículo 12, párrafo 1, se reafirma que las personas con discapacidad tienen derecho al reconocimiento de su personalidad jurídica. Esto garantiza que todo ser humano sea respetado como una persona titular de personalidad jurídica, lo que es un requisito indispensable para que se reconozca la capacidad jurídica de la persona…] Observación general Nº 1 (2014), Artículo 12: Igual reconocimiento como persona ante la ley, CRPD/C/GC/1,</w:t>
      </w:r>
      <w:r>
        <w:t xml:space="preserve"> 19 de mayo de 2014, párrafo 11</w:t>
      </w:r>
      <w:r w:rsidRPr="00FF543F">
        <w:t>.</w:t>
      </w:r>
    </w:p>
  </w:footnote>
  <w:footnote w:id="636">
    <w:p w:rsidR="00887731" w:rsidRPr="00597337" w:rsidRDefault="00887731" w:rsidP="004551E9">
      <w:pPr>
        <w:pStyle w:val="Pie"/>
        <w:rPr>
          <w:lang w:val="es-AR"/>
        </w:rPr>
      </w:pPr>
      <w:r w:rsidRPr="00597337">
        <w:rPr>
          <w:rStyle w:val="Refdenotaalpie"/>
        </w:rPr>
        <w:footnoteRef/>
      </w:r>
      <w:r w:rsidRPr="00597337">
        <w:t xml:space="preserve"> En este sentido cabe destacar las observaciones del Comité de la ONU sobre Discapacidad respecto del informe remitido por el Estado Español en cumplimiento de lo establecido en el artículo 35 de la CDPD: [… 17. El Comité toma nota de la Ley Nº 2/2010, de 3 de marzo de 2010, sobre la salud sexual y reproductiva, que despenaliza la interrupción voluntaria del embarazo, permite que se ponga fin al embarazo durante las primeras 14 semanas e incluye dos casos específicos en los que se amplían los plazos para el aborto si el feto tiene una discapacidad: hasta las 22 semanas de gestación cuando exista un "riesgo de graves anomalías en el feto", y después de 22 semanas de gestación cuando, entre otras cosas, "se detecte en el feto una enfermedad extremadamente grave e incurable". El Comité también toma nota de las explicaciones del mantenimiento de esta distinción dadas por el Estado Parte…. 18. El Comité recomienda al Estado Parte que suprima la distinción hecha en la Ley Nº 2/2010 en cuanto al plazo dentro del cual la ley permite que se interrumpa un embarazo por motivos de discapacidad exclusivamente…] </w:t>
      </w:r>
      <w:r w:rsidRPr="00597337">
        <w:rPr>
          <w:lang w:val="es-AR"/>
        </w:rPr>
        <w:t>Observaciones</w:t>
      </w:r>
      <w:r w:rsidRPr="00597337">
        <w:rPr>
          <w:lang w:val="es-ES_tradnl"/>
        </w:rPr>
        <w:t xml:space="preserve"> finales del Comité sobre los Derechos de las</w:t>
      </w:r>
      <w:r w:rsidRPr="00597337">
        <w:rPr>
          <w:lang w:val="es-ES_tradnl"/>
        </w:rPr>
        <w:br/>
        <w:t xml:space="preserve">Personas con Discapacidad al Reino de España, CRPD/C/ESP/CO/1, 19 de octubre de 2011. </w:t>
      </w:r>
    </w:p>
  </w:footnote>
  <w:footnote w:id="637">
    <w:p w:rsidR="00887731" w:rsidRPr="00597337" w:rsidRDefault="00887731" w:rsidP="004551E9">
      <w:pPr>
        <w:pStyle w:val="Pie"/>
      </w:pPr>
      <w:r w:rsidRPr="00597337">
        <w:rPr>
          <w:rStyle w:val="Refdenotaalpie"/>
        </w:rPr>
        <w:footnoteRef/>
      </w:r>
      <w:r w:rsidRPr="00597337">
        <w:rPr>
          <w:lang w:val="es-AR"/>
        </w:rPr>
        <w:t xml:space="preserve"> </w:t>
      </w:r>
      <w:r w:rsidRPr="00597337">
        <w:t xml:space="preserve">En este sentido cabe destacar las observaciones del Comité de la ONU sobre Discapacidad respecto del informe remitido por el Estado Español en cumplimiento de lo establecido en el artículo 35 de la CDPD: […29. El Comité toma nota con satisfacción de que la Ley Nº 26/2011 modifica la reglamentación incluyendo disposiciones que reflejan el derecho a la accesibilidad cuando se consiente con conocimiento de causa en recibir tratamiento médico. Sin embargo, deplora que los tutores que representan a personas con discapacidad consideradas "legalmente incapacitadas" puedan legalmente consentir en que se terminen o se suspendan el tratamiento médico, la nutrición u otros medios de sustentación de la vida de esas personas. El Comité desea recordar al Estado Parte que el derecho a la vida es absoluto y que la sustitución en la adopción de decisiones en lo que atañe a la terminación o el retiro de medios de sustentación de la vida es incompatible con ese derecho. 30. El Comité solicita al Estado Parte que vele por que se obtenga el consentimiento, otorgado con conocimiento de causa, de todas las personas con discapacidad en todas las cuestiones relativas al tratamiento médico, especialmente la retirada del tratamiento, de la nutrición o de otros medios de sustentación de la vida…] </w:t>
      </w:r>
      <w:r w:rsidRPr="00597337">
        <w:rPr>
          <w:lang w:val="es-AR"/>
        </w:rPr>
        <w:t>Observaciones</w:t>
      </w:r>
      <w:r w:rsidRPr="00597337">
        <w:rPr>
          <w:lang w:val="es-ES_tradnl"/>
        </w:rPr>
        <w:t xml:space="preserve"> finales del Comité sobre  los Derechos de las</w:t>
      </w:r>
      <w:r w:rsidRPr="00597337">
        <w:rPr>
          <w:lang w:val="es-ES_tradnl"/>
        </w:rPr>
        <w:br/>
        <w:t xml:space="preserve">Personas con Discapacidad al Reino de España, CRPD/C/ESP/CO/1, 19 de octubre de 2011. </w:t>
      </w:r>
    </w:p>
  </w:footnote>
  <w:footnote w:id="638">
    <w:p w:rsidR="00887731" w:rsidRPr="007F3223" w:rsidRDefault="00887731" w:rsidP="004551E9">
      <w:pPr>
        <w:pStyle w:val="Pie"/>
      </w:pPr>
      <w:r w:rsidRPr="00597337">
        <w:rPr>
          <w:rStyle w:val="Refdenotaalpie"/>
        </w:rPr>
        <w:footnoteRef/>
      </w:r>
      <w:r w:rsidRPr="00597337">
        <w:rPr>
          <w:lang w:val="es-AR"/>
        </w:rPr>
        <w:t xml:space="preserve"> </w:t>
      </w:r>
      <w:r w:rsidRPr="00597337">
        <w:t xml:space="preserve">En este sentido cabe destacar las observaciones del Comité de la ONU sobre Discapacidad respecto del informe remitido por el Estado Peruano en cumplimiento de lo establecido en el artículo 35 de la CDPD: […22. Al Comité le preocupan los informes de que hay una serie de personas con discapacidad, en particular las que viven en zonas rurales y en entornos institucionales de larga permanencia, que carecen de documentos de identidad, y, en algunos casos, de nombre…23. El Comité insta al Estado Parte a que ponga en marcha de inmediato programas para expedir documentos de identidad a las personas con discapacidad, incluidas las que se encuentran en zonas rurales y en entornos institucionales de larga permanencia, y a que recopile datos completos y precisos sobre las personas con discapacidad que se encuentran en instituciones y que carecen en la actualidad de documentos de identidad o que no gozan de su derecho a tener un nombre.…] </w:t>
      </w:r>
      <w:r w:rsidRPr="00597337">
        <w:rPr>
          <w:lang w:val="es-AR"/>
        </w:rPr>
        <w:t>Observaciones</w:t>
      </w:r>
      <w:r w:rsidRPr="00597337">
        <w:rPr>
          <w:lang w:val="es-ES_tradnl"/>
        </w:rPr>
        <w:t xml:space="preserve"> finales del Comité sobre los Derechos de las Personas con Discapacidad a la República del Perú, CRPD/C/PER/CO/1, 20 de abril 2012; Del mismo también respecto del Informe de Paraguay: […45.</w:t>
      </w:r>
      <w:r w:rsidRPr="00597337">
        <w:rPr>
          <w:lang w:val="es-ES_tradnl"/>
        </w:rPr>
        <w:tab/>
        <w:t xml:space="preserve">Al Comité le preocupa que los niños y niñas con discapacidad no sean registrados en el Estado Parte y que en la actualidad no existan medidas concretas para promover la inscripción de niños y niñas con discapacidad, en particular en el área rural… 46. El Comité urge al Estado Parte que impulse un programa para la inscripción de los niños y niñas con discapacidad en el registro civil en el momento de su nacimiento, en igualdad de condiciones con los demás niños y niñas, y que los servicios de registro estén descentralizados y se puedan llevar a cabo de manera sencilla, expedita y gratuita….] </w:t>
      </w:r>
      <w:r w:rsidRPr="00597337">
        <w:rPr>
          <w:lang w:val="es-AR"/>
        </w:rPr>
        <w:t>Observaciones</w:t>
      </w:r>
      <w:r w:rsidRPr="00597337">
        <w:rPr>
          <w:lang w:val="es-ES_tradnl"/>
        </w:rPr>
        <w:t xml:space="preserve"> finales del Comité sobre los Derechos de las Personas con Discapacidad a la República del Paraguay, CRPD/C/PRY/CO/1, 15 de mayo de 2013. </w:t>
      </w:r>
      <w:r>
        <w:t>En la Observación General Nº 1 el CteCDPD señala que: […Esto no solo los priva de la ciudadanía, sino que a menudo también los priva de acceso a la atención de salud y la educación y puede incluso conducir a su muerte. Puesto que no existe ningún registro oficial de su existencia, su muerte puede ocurrir con relativa impunidad…]</w:t>
      </w:r>
      <w:r w:rsidRPr="00CC0623">
        <w:t xml:space="preserve"> </w:t>
      </w:r>
      <w:r>
        <w:t xml:space="preserve">Observación general Nº 1 (2014), Artículo 12: Igual reconocimiento como persona ante la ley, </w:t>
      </w:r>
      <w:r w:rsidRPr="00475FAE">
        <w:t>CRPD/C/GC/1</w:t>
      </w:r>
      <w:r>
        <w:t xml:space="preserve">, </w:t>
      </w:r>
      <w:r w:rsidRPr="00475FAE">
        <w:t>19 de mayo de 2014</w:t>
      </w:r>
      <w:r>
        <w:t>, párrafo 43</w:t>
      </w:r>
      <w:r w:rsidRPr="007F3223">
        <w:t>.</w:t>
      </w:r>
    </w:p>
  </w:footnote>
  <w:footnote w:id="639">
    <w:p w:rsidR="00887731" w:rsidRPr="00597337" w:rsidRDefault="00887731" w:rsidP="004551E9">
      <w:pPr>
        <w:pStyle w:val="Pie"/>
      </w:pPr>
      <w:r w:rsidRPr="00597337">
        <w:rPr>
          <w:rStyle w:val="Refdenotaalpie"/>
        </w:rPr>
        <w:footnoteRef/>
      </w:r>
      <w:r w:rsidRPr="00597337">
        <w:t xml:space="preserve"> Este punto de vista se encuentra reafirmado por lo señalado por el Artículo 12(5) el cual se analiza más adelante. </w:t>
      </w:r>
    </w:p>
  </w:footnote>
  <w:footnote w:id="640">
    <w:p w:rsidR="00887731" w:rsidRPr="004551E9" w:rsidRDefault="00887731" w:rsidP="004551E9">
      <w:pPr>
        <w:pStyle w:val="Pie"/>
        <w:rPr>
          <w:lang w:val="en-US"/>
        </w:rPr>
      </w:pPr>
      <w:r w:rsidRPr="00597337">
        <w:rPr>
          <w:rStyle w:val="Refdenotaalpie"/>
        </w:rPr>
        <w:footnoteRef/>
      </w:r>
      <w:r w:rsidRPr="004551E9">
        <w:rPr>
          <w:lang w:val="en-US"/>
        </w:rPr>
        <w:t xml:space="preserve"> </w:t>
      </w:r>
      <w:proofErr w:type="spellStart"/>
      <w:r w:rsidRPr="004551E9">
        <w:rPr>
          <w:lang w:val="en-US"/>
        </w:rPr>
        <w:t>Véase</w:t>
      </w:r>
      <w:proofErr w:type="spellEnd"/>
      <w:r w:rsidRPr="004551E9">
        <w:rPr>
          <w:lang w:val="en-US"/>
        </w:rPr>
        <w:t xml:space="preserve"> por </w:t>
      </w:r>
      <w:proofErr w:type="spellStart"/>
      <w:r w:rsidRPr="004551E9">
        <w:rPr>
          <w:lang w:val="en-US"/>
        </w:rPr>
        <w:t>ejemplo</w:t>
      </w:r>
      <w:proofErr w:type="spellEnd"/>
      <w:r w:rsidRPr="004551E9">
        <w:rPr>
          <w:lang w:val="en-US"/>
        </w:rPr>
        <w:t xml:space="preserve"> la </w:t>
      </w:r>
      <w:proofErr w:type="spellStart"/>
      <w:r w:rsidRPr="004551E9">
        <w:rPr>
          <w:lang w:val="en-US"/>
        </w:rPr>
        <w:t>reserva</w:t>
      </w:r>
      <w:proofErr w:type="spellEnd"/>
      <w:r w:rsidRPr="004551E9">
        <w:rPr>
          <w:lang w:val="en-US"/>
        </w:rPr>
        <w:t xml:space="preserve"> (</w:t>
      </w:r>
      <w:proofErr w:type="spellStart"/>
      <w:r w:rsidRPr="004551E9">
        <w:rPr>
          <w:lang w:val="en-US"/>
        </w:rPr>
        <w:t>declaración</w:t>
      </w:r>
      <w:proofErr w:type="spellEnd"/>
      <w:r w:rsidRPr="004551E9">
        <w:rPr>
          <w:lang w:val="en-US"/>
        </w:rPr>
        <w:t xml:space="preserve"> </w:t>
      </w:r>
      <w:proofErr w:type="spellStart"/>
      <w:r w:rsidRPr="004551E9">
        <w:rPr>
          <w:lang w:val="en-US"/>
        </w:rPr>
        <w:t>interpretativa</w:t>
      </w:r>
      <w:proofErr w:type="spellEnd"/>
      <w:r w:rsidRPr="004551E9">
        <w:rPr>
          <w:lang w:val="en-US"/>
        </w:rPr>
        <w:t xml:space="preserve">) de </w:t>
      </w:r>
      <w:proofErr w:type="spellStart"/>
      <w:r w:rsidRPr="004551E9">
        <w:rPr>
          <w:lang w:val="en-US"/>
        </w:rPr>
        <w:t>Egipto</w:t>
      </w:r>
      <w:proofErr w:type="spellEnd"/>
      <w:r w:rsidRPr="004551E9">
        <w:rPr>
          <w:lang w:val="en-US"/>
        </w:rPr>
        <w:t xml:space="preserve"> al </w:t>
      </w:r>
      <w:proofErr w:type="spellStart"/>
      <w:r w:rsidRPr="004551E9">
        <w:rPr>
          <w:lang w:val="en-US"/>
        </w:rPr>
        <w:t>ratificar</w:t>
      </w:r>
      <w:proofErr w:type="spellEnd"/>
      <w:r w:rsidRPr="004551E9">
        <w:rPr>
          <w:lang w:val="en-US"/>
        </w:rPr>
        <w:t xml:space="preserve"> la CDPD en la </w:t>
      </w:r>
      <w:proofErr w:type="spellStart"/>
      <w:r w:rsidRPr="004551E9">
        <w:rPr>
          <w:lang w:val="en-US"/>
        </w:rPr>
        <w:t>que</w:t>
      </w:r>
      <w:proofErr w:type="spellEnd"/>
      <w:r w:rsidRPr="004551E9">
        <w:rPr>
          <w:lang w:val="en-US"/>
        </w:rPr>
        <w:t xml:space="preserve"> se </w:t>
      </w:r>
      <w:proofErr w:type="spellStart"/>
      <w:r w:rsidRPr="004551E9">
        <w:rPr>
          <w:lang w:val="en-US"/>
        </w:rPr>
        <w:t>señala</w:t>
      </w:r>
      <w:proofErr w:type="spellEnd"/>
      <w:r w:rsidRPr="004551E9">
        <w:rPr>
          <w:lang w:val="en-US"/>
        </w:rPr>
        <w:t>: […The Arab Republic of Egypt declares that its interpretation of article 12 of the International Convention on the Protection and Promotion of the Rights of Persons with Disabilities, which deals with the recognition of persons with disabilities on an equal basis with others before the law, with regard to the concept of legal capacity dealt with in paragraph 2 of the said article, is that persons with disabilities enjoy the capacity to acquire rights and assume legal responsibility ('</w:t>
      </w:r>
      <w:proofErr w:type="spellStart"/>
      <w:r w:rsidRPr="004551E9">
        <w:rPr>
          <w:lang w:val="en-US"/>
        </w:rPr>
        <w:t>ahliyyat</w:t>
      </w:r>
      <w:proofErr w:type="spellEnd"/>
      <w:r w:rsidRPr="004551E9">
        <w:rPr>
          <w:lang w:val="en-US"/>
        </w:rPr>
        <w:t xml:space="preserve"> al-</w:t>
      </w:r>
      <w:proofErr w:type="spellStart"/>
      <w:r w:rsidRPr="004551E9">
        <w:rPr>
          <w:lang w:val="en-US"/>
        </w:rPr>
        <w:t>wujub</w:t>
      </w:r>
      <w:proofErr w:type="spellEnd"/>
      <w:r w:rsidRPr="004551E9">
        <w:rPr>
          <w:lang w:val="en-US"/>
        </w:rPr>
        <w:t>) but not the capacity to perform ('</w:t>
      </w:r>
      <w:proofErr w:type="spellStart"/>
      <w:r w:rsidRPr="004551E9">
        <w:rPr>
          <w:lang w:val="en-US"/>
        </w:rPr>
        <w:t>ahliyyat</w:t>
      </w:r>
      <w:proofErr w:type="spellEnd"/>
      <w:r w:rsidRPr="004551E9">
        <w:rPr>
          <w:lang w:val="en-US"/>
        </w:rPr>
        <w:t xml:space="preserve"> al-'</w:t>
      </w:r>
      <w:proofErr w:type="spellStart"/>
      <w:r w:rsidRPr="004551E9">
        <w:rPr>
          <w:lang w:val="en-US"/>
        </w:rPr>
        <w:t>ada</w:t>
      </w:r>
      <w:proofErr w:type="spellEnd"/>
      <w:r w:rsidRPr="004551E9">
        <w:rPr>
          <w:lang w:val="en-US"/>
        </w:rPr>
        <w:t xml:space="preserve">'), under Egyptian law…], UN Treaty Collection </w:t>
      </w:r>
      <w:r w:rsidR="00BB3E10">
        <w:fldChar w:fldCharType="begin"/>
      </w:r>
      <w:r w:rsidR="00BB3E10" w:rsidRPr="00F71B0D">
        <w:rPr>
          <w:lang w:val="en-US"/>
        </w:rPr>
        <w:instrText>HYPERLINK "http://treaties.un.org/"</w:instrText>
      </w:r>
      <w:r w:rsidR="00BB3E10">
        <w:fldChar w:fldCharType="separate"/>
      </w:r>
      <w:r w:rsidRPr="00597337">
        <w:rPr>
          <w:rStyle w:val="Hipervnculo"/>
          <w:lang w:val="en-US"/>
        </w:rPr>
        <w:t>http://treaties.un.org</w:t>
      </w:r>
      <w:r w:rsidR="00BB3E10">
        <w:fldChar w:fldCharType="end"/>
      </w:r>
    </w:p>
  </w:footnote>
  <w:footnote w:id="641">
    <w:p w:rsidR="00887731" w:rsidRPr="00C31B84" w:rsidRDefault="00887731" w:rsidP="004551E9">
      <w:pPr>
        <w:pStyle w:val="Textonotapie"/>
      </w:pPr>
      <w:r w:rsidRPr="00597337">
        <w:rPr>
          <w:rStyle w:val="Refdenotaalpie"/>
        </w:rPr>
        <w:footnoteRef/>
      </w:r>
      <w:r w:rsidRPr="00C31B84">
        <w:t xml:space="preserve"> En la Observación General Nº 1 el CteCDPD señala que: […El derecho al igual reconocimiento como persona ante la ley entraña que la capacidad jurídica es un atributo universal inherente a todas las personas en razón de su condición humana y debe mantenerse para las personas con discapacidad en igualdad de condiciones con las demás…] Observación general Nº 1 (2014), Artículo 12: Igual reconocimiento como persona ante la ley, CRPD/C/GC/1</w:t>
      </w:r>
      <w:r>
        <w:t>, 19 de mayo de 2014, párrafo 8</w:t>
      </w:r>
      <w:r w:rsidRPr="00C31B84">
        <w:t>.</w:t>
      </w:r>
    </w:p>
  </w:footnote>
  <w:footnote w:id="642">
    <w:p w:rsidR="00887731" w:rsidRPr="00597337" w:rsidRDefault="00887731" w:rsidP="004551E9">
      <w:pPr>
        <w:pStyle w:val="Pie"/>
      </w:pPr>
      <w:r w:rsidRPr="00597337">
        <w:rPr>
          <w:rStyle w:val="Refdenotaalpie"/>
        </w:rPr>
        <w:footnoteRef/>
      </w:r>
      <w:r w:rsidRPr="00597337">
        <w:t xml:space="preserve"> Véase CVDT artículo 31(2). </w:t>
      </w:r>
    </w:p>
  </w:footnote>
  <w:footnote w:id="643">
    <w:p w:rsidR="00887731" w:rsidRPr="00597337" w:rsidRDefault="00887731" w:rsidP="004551E9">
      <w:pPr>
        <w:pStyle w:val="Pie"/>
      </w:pPr>
      <w:r w:rsidRPr="00597337">
        <w:rPr>
          <w:rStyle w:val="Refdenotaalpie"/>
        </w:rPr>
        <w:footnoteRef/>
      </w:r>
      <w:r w:rsidRPr="00597337">
        <w:t xml:space="preserve"> PALACIOS, A., &amp; BARIFFI, F., (2007),  op. cit., p.65.</w:t>
      </w:r>
    </w:p>
  </w:footnote>
  <w:footnote w:id="644">
    <w:p w:rsidR="00887731" w:rsidRPr="004551E9" w:rsidRDefault="00887731" w:rsidP="004551E9">
      <w:pPr>
        <w:pStyle w:val="Pie"/>
        <w:rPr>
          <w:lang w:val="en-US"/>
        </w:rPr>
      </w:pPr>
      <w:r w:rsidRPr="00597337">
        <w:rPr>
          <w:rStyle w:val="Refdenotaalpie"/>
        </w:rPr>
        <w:footnoteRef/>
      </w:r>
      <w:r w:rsidRPr="004551E9">
        <w:rPr>
          <w:lang w:val="en-US"/>
        </w:rPr>
        <w:t xml:space="preserve"> </w:t>
      </w:r>
      <w:proofErr w:type="spellStart"/>
      <w:proofErr w:type="gramStart"/>
      <w:r w:rsidRPr="004551E9">
        <w:rPr>
          <w:lang w:val="en-US"/>
        </w:rPr>
        <w:t>Véase</w:t>
      </w:r>
      <w:proofErr w:type="spellEnd"/>
      <w:r w:rsidRPr="004551E9">
        <w:rPr>
          <w:lang w:val="en-US"/>
        </w:rPr>
        <w:t xml:space="preserve"> MINKOWITZ T, (2006-2007), op. cit.</w:t>
      </w:r>
      <w:proofErr w:type="gramEnd"/>
    </w:p>
  </w:footnote>
  <w:footnote w:id="645">
    <w:p w:rsidR="00887731" w:rsidRPr="00597337" w:rsidRDefault="00887731" w:rsidP="004551E9">
      <w:pPr>
        <w:pStyle w:val="Pie"/>
      </w:pPr>
      <w:r w:rsidRPr="00597337">
        <w:rPr>
          <w:rStyle w:val="Refdenotaalpie"/>
        </w:rPr>
        <w:footnoteRef/>
      </w:r>
      <w:r w:rsidRPr="00597337">
        <w:t xml:space="preserve"> BARIFFI, F. J., (2009), op. cit.</w:t>
      </w:r>
    </w:p>
  </w:footnote>
  <w:footnote w:id="646">
    <w:p w:rsidR="00887731" w:rsidRPr="00527833" w:rsidRDefault="00887731" w:rsidP="004551E9">
      <w:pPr>
        <w:pStyle w:val="Textonotapie"/>
      </w:pPr>
      <w:r w:rsidRPr="00597337">
        <w:rPr>
          <w:rStyle w:val="Refdenotaalpie"/>
        </w:rPr>
        <w:footnoteRef/>
      </w:r>
      <w:r w:rsidRPr="00527833">
        <w:t xml:space="preserve"> En la Observación General Nº 1 el CteCDPD reafirma que: […el hecho de que una persona tenga una discapacidad o una deficiencia (incluidas las deficiencias físicas o sensoriales) no debe ser nunca motivo para negarle la capacidad jurídica ni ninguno de los derechos establecidos en el artículo 12. Todas las prácticas cuyo propósito o efecto sea violar el artículo 12 deben ser abolidas, a fin de que las personas con discapacidad recobren la plena capacidad jurídica en igualdad de condiciones con las demás…] Observación general Nº 1 (2014), Artículo 12: Igual reconocimiento como persona ante la ley, CRPD/C/GC/1</w:t>
      </w:r>
      <w:r>
        <w:t>, 19 de mayo de 2014, párrafo 9</w:t>
      </w:r>
      <w:r w:rsidRPr="00527833">
        <w:t>.</w:t>
      </w:r>
    </w:p>
  </w:footnote>
  <w:footnote w:id="647">
    <w:p w:rsidR="00887731" w:rsidRPr="00597337" w:rsidRDefault="00887731" w:rsidP="004551E9">
      <w:pPr>
        <w:pStyle w:val="Pie"/>
      </w:pPr>
      <w:r w:rsidRPr="00597337">
        <w:rPr>
          <w:rStyle w:val="Refdenotaalpie"/>
        </w:rPr>
        <w:footnoteRef/>
      </w:r>
      <w:r w:rsidRPr="00597337">
        <w:t xml:space="preserve"> </w:t>
      </w:r>
      <w:r w:rsidRPr="00597337">
        <w:rPr>
          <w:caps/>
        </w:rPr>
        <w:t>Díez-Picazo L,</w:t>
      </w:r>
      <w:r w:rsidRPr="00597337">
        <w:t xml:space="preserve"> (2003) Sistema de derecho civil. Volumen I. Introducción, derecho de la persona, autonomía privada, persona jurídica, 11ª ed., Tecnos, Madrid; RABINOVICH BERKMAN, R D, (2000) Derecho Civil, Parte General, Astrea, Buenos Aires; </w:t>
      </w:r>
      <w:r w:rsidRPr="00597337">
        <w:rPr>
          <w:caps/>
        </w:rPr>
        <w:t>Fernández-Creuhet F,</w:t>
      </w:r>
      <w:r w:rsidRPr="00597337">
        <w:t xml:space="preserve"> (2004) “La teoría de la representación como aleph de la filosofía jurídica de F. C. Savigny”, Anuario de Filosofia del Derecho, Núm. XXI, Enero; CIFUENTES S. (2004) Negocio Jurídico, Ed. Astrea, Buenos Aires.</w:t>
      </w:r>
    </w:p>
  </w:footnote>
  <w:footnote w:id="648">
    <w:p w:rsidR="00887731" w:rsidRPr="00597337" w:rsidRDefault="00887731" w:rsidP="004551E9">
      <w:pPr>
        <w:pStyle w:val="Pie"/>
      </w:pPr>
      <w:r w:rsidRPr="00597337">
        <w:rPr>
          <w:rStyle w:val="Refdenotaalpie"/>
        </w:rPr>
        <w:footnoteRef/>
      </w:r>
      <w:r w:rsidRPr="00597337">
        <w:t xml:space="preserve"> Véase lo señalado en el Capítulo 4 (4.2)</w:t>
      </w:r>
    </w:p>
  </w:footnote>
  <w:footnote w:id="649">
    <w:p w:rsidR="00887731" w:rsidRPr="00597337" w:rsidRDefault="00887731" w:rsidP="004551E9">
      <w:pPr>
        <w:pStyle w:val="Pie"/>
      </w:pPr>
      <w:r w:rsidRPr="00597337">
        <w:rPr>
          <w:rStyle w:val="Refdenotaalpie"/>
        </w:rPr>
        <w:footnoteRef/>
      </w:r>
      <w:r w:rsidRPr="00597337">
        <w:t xml:space="preserve"> Aunque para la doctrina civilista española, el término de capacidad jurídica se suele utilizar con un significado análogo al de personalidad jurídica, a los efectos del presente trabajo, se utilizará el término capacidad jurídica como un significado análogo del de capacidad de obrar.  </w:t>
      </w:r>
    </w:p>
  </w:footnote>
  <w:footnote w:id="650">
    <w:p w:rsidR="00887731" w:rsidRPr="00527833" w:rsidRDefault="00887731" w:rsidP="004551E9">
      <w:pPr>
        <w:pStyle w:val="Textonotapie"/>
      </w:pPr>
      <w:r w:rsidRPr="00597337">
        <w:rPr>
          <w:rStyle w:val="Refdenotaalpie"/>
        </w:rPr>
        <w:footnoteRef/>
      </w:r>
      <w:r w:rsidRPr="00597337">
        <w:t xml:space="preserve"> </w:t>
      </w:r>
      <w:r w:rsidRPr="00527833">
        <w:t>En la Observación General Nº 1 el CteCDPD señala que: […En el artículo 12, párrafo 2, se reconoce que las personas con discapacidad tienen capacidad jurídica en igualdad de condiciones con las demás en todos los aspectos de la vida. La capacidad jurídica incluye la capacidad de ser titular de derechos y la de actuar en derecho. La capacidad jurídica de ser titular de derechos concede a la persona la protección plena de sus derechos por el ordenamiento jurídico. La capacidad jurídica de actuar en derecho reconoce a esa persona como actor facultado para realizar transacciones y para crear relaciones jurídicas, modificarlas o ponerles fin…] Observación general Nº 1 (2014), Artículo 12: Igual reconocimiento como persona ante la ley, CRPD/C/GC/1,</w:t>
      </w:r>
      <w:r>
        <w:t xml:space="preserve"> 19 de mayo de 2014, párrafo 12</w:t>
      </w:r>
      <w:r w:rsidRPr="00527833">
        <w:t>.</w:t>
      </w:r>
    </w:p>
  </w:footnote>
  <w:footnote w:id="651">
    <w:p w:rsidR="00887731" w:rsidRPr="00597337" w:rsidRDefault="00887731" w:rsidP="004551E9">
      <w:pPr>
        <w:pStyle w:val="Pie"/>
      </w:pPr>
      <w:r w:rsidRPr="00597337">
        <w:rPr>
          <w:rStyle w:val="Refdenotaalpie"/>
        </w:rPr>
        <w:footnoteRef/>
      </w:r>
      <w:r w:rsidRPr="00597337">
        <w:t xml:space="preserve"> Véase BARIFFI, F. J., (2009) op. cit;</w:t>
      </w:r>
    </w:p>
  </w:footnote>
  <w:footnote w:id="652">
    <w:p w:rsidR="00887731" w:rsidRPr="00EF68D3" w:rsidRDefault="00887731" w:rsidP="004551E9">
      <w:pPr>
        <w:pStyle w:val="Pie"/>
      </w:pPr>
      <w:r w:rsidRPr="00597337">
        <w:rPr>
          <w:rStyle w:val="Refdenotaalpie"/>
        </w:rPr>
        <w:footnoteRef/>
      </w:r>
      <w:r w:rsidRPr="00EF68D3">
        <w:t xml:space="preserve"> En la Observación General Nº 1 el </w:t>
      </w:r>
      <w:proofErr w:type="spellStart"/>
      <w:r w:rsidRPr="00EF68D3">
        <w:t>CteCDPD</w:t>
      </w:r>
      <w:proofErr w:type="spellEnd"/>
      <w:r w:rsidRPr="00EF68D3">
        <w:t xml:space="preserve"> señala que: […En la mayoría de los informes de los Estados partes que el Comité ha examinado hasta la fecha se mezclan los conceptos de capacidad mental y capacidad jurídica, de modo que, cuando se considera que una persona tiene una aptitud deficiente para adoptar decisiones, a menudo a causa de una discapacidad cognitiva o psicosocial, se le retira en consecuencia su capacidad jurídica para adoptar una decisión concreta. Esto se decide simplemente en función del diagnóstico de una deficiencia (criterio basado en la condición), o cuando la persona adopta una decisión que tiene consecuencias que se consideran negativas (criterio basado en los resultados), o cuando se considera que la aptitud de la persona para adoptar decisiones es deficiente (criterio funcional). El criterio funcional supone evaluar la capacidad mental y denegar la capacidad jurídica si la evaluación lo justifica. A menudo se basa en si la persona puede o no entender la naturaleza y las consecuencias de una decisión y/o en si puede utilizar o sopesar la información pertinente. Este criterio es incorrecto por dos motivos principales: a) porque se aplica en forma discriminatoria a las personas con discapacidad; y b) porque presupone que se pueda evaluar con exactitud el funcionamiento interno de la mente humana y, cuando la persona no supera la evaluación, le niega un derecho humano fundamental, el derecho al igual reconocimiento como persona ante la ley. En todos esos criterios, la discapacidad de la persona o su aptitud para adoptar decisiones se consideran motivos legítimos para negarle la capacidad jurídica y rebajar su condición como persona ante la ley. El artículo 12 no permite negar la capacidad jurídica de ese modo discriminatorio, sino que exige que se proporcione apoyo en su ejercicio…] Observación general Nº 1 (2014), Artículo 12: Igual reconocimiento como persona ante la ley, CRPD/C/GC/1,</w:t>
      </w:r>
      <w:r>
        <w:t xml:space="preserve"> 19 de mayo de 2014, párrafo 15</w:t>
      </w:r>
      <w:r w:rsidRPr="00EF68D3">
        <w:t>.</w:t>
      </w:r>
    </w:p>
  </w:footnote>
  <w:footnote w:id="653">
    <w:p w:rsidR="00887731" w:rsidRPr="00597337" w:rsidRDefault="00887731" w:rsidP="004551E9">
      <w:pPr>
        <w:pStyle w:val="Pie"/>
      </w:pPr>
      <w:r w:rsidRPr="00597337">
        <w:rPr>
          <w:rStyle w:val="Refdenotaalpie"/>
        </w:rPr>
        <w:footnoteRef/>
      </w:r>
      <w:r w:rsidRPr="00597337">
        <w:t xml:space="preserve"> </w:t>
      </w:r>
      <w:r w:rsidRPr="00597337">
        <w:rPr>
          <w:caps/>
        </w:rPr>
        <w:t>Rehof L. A,</w:t>
      </w:r>
      <w:r w:rsidRPr="00597337">
        <w:t xml:space="preserve"> (1993) Guide to the “Travaux Préparatoires” of the United Nations Convention on the Elimination of All Forms of Discrimination against Women, Martinus Nijhoff; […</w:t>
      </w:r>
      <w:r w:rsidRPr="00597337">
        <w:rPr>
          <w:lang w:val="es-ES_tradnl"/>
        </w:rPr>
        <w:t>Cuando la mujer no puede celebrar un contrato en absoluto, ni pedir créditos, o sólo puede hacerlo con el consentimiento o el aval del marido o un pariente varón, se le niega su autonomía jurídica.  Toda restricción de este género le impide poseer bienes como propietaria exclusiva y le imposibilita la administración legal de sus propios negocios o la celebración de cualquier otro tipo de contrato…]</w:t>
      </w:r>
      <w:r w:rsidRPr="00597337">
        <w:t xml:space="preserve"> </w:t>
      </w:r>
      <w:r w:rsidRPr="00597337">
        <w:rPr>
          <w:lang w:val="es-AR"/>
        </w:rPr>
        <w:t xml:space="preserve">Comité de las </w:t>
      </w:r>
      <w:r w:rsidRPr="00597337">
        <w:t xml:space="preserve">Naciones </w:t>
      </w:r>
      <w:r w:rsidRPr="00597337">
        <w:rPr>
          <w:lang w:val="es-AR"/>
        </w:rPr>
        <w:t xml:space="preserve">Unidas para la Eliminación de la Discriminación de la Mujer, Recomendación general Nº 21, La igualdad en el matrimonio y en las relaciones familiares, A/49/38, 1994, para. </w:t>
      </w:r>
      <w:r w:rsidRPr="00597337">
        <w:t>7.</w:t>
      </w:r>
    </w:p>
  </w:footnote>
  <w:footnote w:id="654">
    <w:p w:rsidR="00887731" w:rsidRPr="00597337" w:rsidRDefault="00887731" w:rsidP="004551E9">
      <w:pPr>
        <w:pStyle w:val="Pie"/>
      </w:pPr>
      <w:r w:rsidRPr="00597337">
        <w:rPr>
          <w:rStyle w:val="Refdenotaalpie"/>
        </w:rPr>
        <w:footnoteRef/>
      </w:r>
      <w:r w:rsidRPr="00597337">
        <w:t xml:space="preserve"> El propio Comité de los Derechos del Niño ha identificado los artículos 2, 3.1, 6 y 12 de la Convención como los que marcan los principios generales de la misma. Lo que añade otros artículos como principios generales. No obstante, y aunque es claro el carácter principal que tienen los artículos 2, 6 y 12.2 de la Convención, los mismos no tienen el mismo carácter esencial que el 3.1 y el 12.1 para entender las bases teóricas y legitimadoras del nuevo sistema. Los artículos 2 y 6 reconocen, respectivamente, el derecho a la no discriminación y el derecho a la vida, el desarrollo y la supervivencia. Así, en el 2 se establece </w:t>
      </w:r>
      <w:r w:rsidRPr="00597337">
        <w:rPr>
          <w:lang w:eastAsia="es-ES_tradnl"/>
        </w:rPr>
        <w:t>la o</w:t>
      </w:r>
      <w:r w:rsidRPr="00597337">
        <w:rPr>
          <w:bCs/>
        </w:rPr>
        <w:t xml:space="preserve">bligación de los Estados Partes de respetar los derechos enunciados en la Convención y de asegurar su aplicación a cada niño sujeto a su jurisdicción sin distinción alguna, y en el 6 se reconoce el derecho intrínseco que todo niño tiene a la vida y que los Estados Partes han de garantizar en la máxima medida posible su supervivencia y desarrollo. </w:t>
      </w:r>
      <w:r w:rsidRPr="00597337">
        <w:t xml:space="preserve">De esta manera, lo que ambos artículos constituyen es la base necesaria para asegurar que todos los niños puedan gozar de los derechos reconocidos en la Convención. </w:t>
      </w:r>
      <w:r w:rsidRPr="00597337">
        <w:rPr>
          <w:bCs/>
        </w:rPr>
        <w:t xml:space="preserve">Por su parte, el artículo 12.2 no deja de ser una concreción de la necesaria aplicación del principio establecido en el artículo 12.1, del respeto debido a la opinión del niño, en los correspondientes procedimientos judiciales y administrativos. </w:t>
      </w:r>
    </w:p>
  </w:footnote>
  <w:footnote w:id="655">
    <w:p w:rsidR="00887731" w:rsidRPr="00597337" w:rsidRDefault="00887731" w:rsidP="004551E9">
      <w:pPr>
        <w:pStyle w:val="Pie"/>
        <w:rPr>
          <w:szCs w:val="20"/>
        </w:rPr>
      </w:pPr>
      <w:r w:rsidRPr="00597337">
        <w:rPr>
          <w:rStyle w:val="Refdenotaalpie"/>
        </w:rPr>
        <w:footnoteRef/>
      </w:r>
      <w:r w:rsidRPr="00597337">
        <w:t xml:space="preserve"> Quizás en breve podamos hablar de un nuevo cuestionamiento al modo de regular el ejercicio de la capacidad jurídica por parte de los Estados en materia de derechos humanos de las personas mayores. Véase en este sentido las negociaciones en curso para establecer una convención interamericana sobre los derechos de las personas mayores: </w:t>
      </w:r>
      <w:r w:rsidRPr="00597337">
        <w:rPr>
          <w:szCs w:val="20"/>
        </w:rPr>
        <w:t>Grupo de Trabajo sobre la Protección de los Derechos Humanos de las Personas Mayores, Comisión de Asuntos Jurídicos y Políticos, OEA.Ser.G, CAJP/GT/DHPM-37/12 add. 16, 3 mayo 2013</w:t>
      </w:r>
      <w:r w:rsidRPr="00597337">
        <w:t>.</w:t>
      </w:r>
    </w:p>
  </w:footnote>
  <w:footnote w:id="656">
    <w:p w:rsidR="00887731" w:rsidRPr="00597337" w:rsidRDefault="00887731" w:rsidP="004551E9">
      <w:pPr>
        <w:pStyle w:val="Pie"/>
      </w:pPr>
      <w:r w:rsidRPr="00597337">
        <w:rPr>
          <w:rStyle w:val="Refdenotaalpie"/>
        </w:rPr>
        <w:footnoteRef/>
      </w:r>
      <w:r w:rsidRPr="00597337">
        <w:t xml:space="preserve"> En este sentido, resulta ilustrativa la reciente jurisprudencia del Tribunal Europeo de Derechos Humanos en especial: TEDH, </w:t>
      </w:r>
      <w:proofErr w:type="spellStart"/>
      <w:r w:rsidRPr="00597337">
        <w:t>Shtukaturov</w:t>
      </w:r>
      <w:proofErr w:type="spellEnd"/>
      <w:r w:rsidRPr="00597337">
        <w:t xml:space="preserve"> v. Rusia, Sentencia de 27 de marzo de 2008, Aplicación no. 44009/05, TEDH, H.F. v. Slovakia, Sentencia de 8 de noviembre de 2005, Aplicación no. 54797/00.</w:t>
      </w:r>
    </w:p>
  </w:footnote>
  <w:footnote w:id="657">
    <w:p w:rsidR="00887731" w:rsidRPr="00597337" w:rsidRDefault="00887731" w:rsidP="004551E9">
      <w:pPr>
        <w:pStyle w:val="Pie"/>
        <w:rPr>
          <w:lang w:val="es-AR"/>
        </w:rPr>
      </w:pPr>
      <w:r w:rsidRPr="00597337">
        <w:rPr>
          <w:rStyle w:val="Refdenotaalpie"/>
        </w:rPr>
        <w:footnoteRef/>
      </w:r>
      <w:r w:rsidRPr="004551E9">
        <w:rPr>
          <w:lang w:val="en-US"/>
        </w:rPr>
        <w:t xml:space="preserve"> </w:t>
      </w:r>
      <w:proofErr w:type="spellStart"/>
      <w:r w:rsidRPr="004551E9">
        <w:rPr>
          <w:lang w:val="en-US"/>
        </w:rPr>
        <w:t>Véase</w:t>
      </w:r>
      <w:proofErr w:type="spellEnd"/>
      <w:r w:rsidRPr="004551E9">
        <w:rPr>
          <w:lang w:val="en-US"/>
        </w:rPr>
        <w:t xml:space="preserve"> los </w:t>
      </w:r>
      <w:proofErr w:type="spellStart"/>
      <w:r w:rsidRPr="004551E9">
        <w:rPr>
          <w:lang w:val="en-US"/>
        </w:rPr>
        <w:t>principios</w:t>
      </w:r>
      <w:proofErr w:type="spellEnd"/>
      <w:r w:rsidRPr="004551E9">
        <w:rPr>
          <w:lang w:val="en-US"/>
        </w:rPr>
        <w:t xml:space="preserve"> </w:t>
      </w:r>
      <w:proofErr w:type="spellStart"/>
      <w:r w:rsidRPr="004551E9">
        <w:rPr>
          <w:lang w:val="en-US"/>
        </w:rPr>
        <w:t>para</w:t>
      </w:r>
      <w:proofErr w:type="spellEnd"/>
      <w:r w:rsidRPr="004551E9">
        <w:rPr>
          <w:lang w:val="en-US"/>
        </w:rPr>
        <w:t xml:space="preserve"> la </w:t>
      </w:r>
      <w:proofErr w:type="spellStart"/>
      <w:r w:rsidRPr="004551E9">
        <w:rPr>
          <w:lang w:val="en-US"/>
        </w:rPr>
        <w:t>implementación</w:t>
      </w:r>
      <w:proofErr w:type="spellEnd"/>
      <w:r w:rsidRPr="004551E9">
        <w:rPr>
          <w:lang w:val="en-US"/>
        </w:rPr>
        <w:t xml:space="preserve"> del </w:t>
      </w:r>
      <w:proofErr w:type="spellStart"/>
      <w:r w:rsidRPr="004551E9">
        <w:rPr>
          <w:lang w:val="en-US"/>
        </w:rPr>
        <w:t>artículo</w:t>
      </w:r>
      <w:proofErr w:type="spellEnd"/>
      <w:r w:rsidRPr="004551E9">
        <w:rPr>
          <w:lang w:val="en-US"/>
        </w:rPr>
        <w:t xml:space="preserve"> 12 de la CDPD </w:t>
      </w:r>
      <w:proofErr w:type="spellStart"/>
      <w:r w:rsidRPr="004551E9">
        <w:rPr>
          <w:lang w:val="en-US"/>
        </w:rPr>
        <w:t>adoptados</w:t>
      </w:r>
      <w:proofErr w:type="spellEnd"/>
      <w:r w:rsidRPr="004551E9">
        <w:rPr>
          <w:lang w:val="en-US"/>
        </w:rPr>
        <w:t xml:space="preserve"> por la </w:t>
      </w:r>
      <w:r w:rsidRPr="004551E9">
        <w:rPr>
          <w:i/>
          <w:lang w:val="en-US"/>
        </w:rPr>
        <w:t>International Disability Alliance</w:t>
      </w:r>
      <w:r w:rsidRPr="004551E9">
        <w:rPr>
          <w:lang w:val="en-US"/>
        </w:rPr>
        <w:t xml:space="preserve"> (IDA) entre los </w:t>
      </w:r>
      <w:proofErr w:type="spellStart"/>
      <w:r w:rsidRPr="004551E9">
        <w:rPr>
          <w:lang w:val="en-US"/>
        </w:rPr>
        <w:t>que</w:t>
      </w:r>
      <w:proofErr w:type="spellEnd"/>
      <w:r w:rsidRPr="004551E9">
        <w:rPr>
          <w:lang w:val="en-US"/>
        </w:rPr>
        <w:t xml:space="preserve"> </w:t>
      </w:r>
      <w:proofErr w:type="spellStart"/>
      <w:r w:rsidRPr="004551E9">
        <w:rPr>
          <w:lang w:val="en-US"/>
        </w:rPr>
        <w:t>cabe</w:t>
      </w:r>
      <w:proofErr w:type="spellEnd"/>
      <w:r w:rsidRPr="004551E9">
        <w:rPr>
          <w:lang w:val="en-US"/>
        </w:rPr>
        <w:t xml:space="preserve"> </w:t>
      </w:r>
      <w:proofErr w:type="spellStart"/>
      <w:r w:rsidRPr="004551E9">
        <w:rPr>
          <w:lang w:val="en-US"/>
        </w:rPr>
        <w:t>destacar</w:t>
      </w:r>
      <w:proofErr w:type="spellEnd"/>
      <w:r w:rsidRPr="004551E9">
        <w:rPr>
          <w:lang w:val="en-US"/>
        </w:rPr>
        <w:t xml:space="preserve">:  […1) "Legal capacity" is best translated as the "capacity for rights and capacity to act"; 2) "Legal capacity" for the purpose of the Convention on the Rights of Persons with Disabilities means both the capacity for rights and the capacity to act.  </w:t>
      </w:r>
      <w:r w:rsidRPr="00562DB8">
        <w:rPr>
          <w:lang w:val="en-US"/>
        </w:rPr>
        <w:t xml:space="preserve">This applies in the legal systems of all countries for all people, including those with disabilities; 3) </w:t>
      </w:r>
      <w:proofErr w:type="gramStart"/>
      <w:r w:rsidRPr="00562DB8">
        <w:rPr>
          <w:lang w:val="en-US"/>
        </w:rPr>
        <w:t>The</w:t>
      </w:r>
      <w:proofErr w:type="gramEnd"/>
      <w:r w:rsidRPr="00562DB8">
        <w:rPr>
          <w:lang w:val="en-US"/>
        </w:rPr>
        <w:t xml:space="preserve"> right to enjoy and exercise legal capacity applies equally to all people, including those with disabilities, irrespective of the nature or effects of their disability or apparent need for support.  Legal capacity cannot be questioned or challenged based on disability</w:t>
      </w:r>
      <w:proofErr w:type="gramStart"/>
      <w:r w:rsidRPr="00562DB8">
        <w:rPr>
          <w:lang w:val="en-US"/>
        </w:rPr>
        <w:t>..]</w:t>
      </w:r>
      <w:proofErr w:type="gramEnd"/>
      <w:r w:rsidRPr="00562DB8">
        <w:rPr>
          <w:lang w:val="en-US"/>
        </w:rPr>
        <w:t xml:space="preserve"> </w:t>
      </w:r>
      <w:r w:rsidRPr="00597337">
        <w:rPr>
          <w:lang w:val="es-AR"/>
        </w:rPr>
        <w:t xml:space="preserve">Accesible en </w:t>
      </w:r>
      <w:hyperlink r:id="rId30" w:history="1">
        <w:r w:rsidRPr="00597337">
          <w:rPr>
            <w:rStyle w:val="Hipervnculo"/>
            <w:lang w:val="es-AR"/>
          </w:rPr>
          <w:t>www.internationaldisabilityalliance.org</w:t>
        </w:r>
      </w:hyperlink>
    </w:p>
  </w:footnote>
  <w:footnote w:id="658">
    <w:p w:rsidR="00887731" w:rsidRPr="00597337" w:rsidRDefault="00887731" w:rsidP="004551E9">
      <w:pPr>
        <w:pStyle w:val="Pie"/>
      </w:pPr>
      <w:r w:rsidRPr="00597337">
        <w:rPr>
          <w:rStyle w:val="Refdenotaalpie"/>
        </w:rPr>
        <w:footnoteRef/>
      </w:r>
      <w:r w:rsidRPr="00597337">
        <w:t xml:space="preserve"> Véase: </w:t>
      </w:r>
      <w:r w:rsidRPr="00597337">
        <w:rPr>
          <w:caps/>
        </w:rPr>
        <w:t>Palacios A, &amp; Walls M</w:t>
      </w:r>
      <w:r w:rsidRPr="00597337">
        <w:t xml:space="preserve">, (2007) </w:t>
      </w:r>
      <w:proofErr w:type="spellStart"/>
      <w:r w:rsidRPr="00597337">
        <w:t>op</w:t>
      </w:r>
      <w:proofErr w:type="spellEnd"/>
      <w:r w:rsidRPr="00597337">
        <w:t xml:space="preserve">. cit. </w:t>
      </w:r>
    </w:p>
  </w:footnote>
  <w:footnote w:id="659">
    <w:p w:rsidR="00887731" w:rsidRPr="005B7661" w:rsidRDefault="00887731" w:rsidP="004551E9">
      <w:pPr>
        <w:pStyle w:val="Textonotapie"/>
      </w:pPr>
      <w:r w:rsidRPr="00597337">
        <w:rPr>
          <w:rStyle w:val="Refdenotaalpie"/>
        </w:rPr>
        <w:footnoteRef/>
      </w:r>
      <w:r w:rsidRPr="005B7661">
        <w:t xml:space="preserve"> En la Observación General Nº 1 el CteCDPD señala que: […Para reconocer plenamente la "capacidad jurídica universal", en virtud de la cual todas las personas, con independencia de su discapacidad o de su aptitud para adoptar decisiones, poseen una capacidad jurídica inherente, los Estados partes deben dejar de negar la capacidad jurídica cuando el propósito o efecto de esa negación sea una discriminación por motivos de discapacidad…] Observación general Nº 1 (2014), Artículo 12: Igual reconocimiento como persona ante la ley, CRPD/C/GC/1,</w:t>
      </w:r>
      <w:r>
        <w:t xml:space="preserve"> 19 de mayo de 2014, párrafo 25</w:t>
      </w:r>
      <w:r w:rsidRPr="005B7661">
        <w:t>.</w:t>
      </w:r>
    </w:p>
  </w:footnote>
  <w:footnote w:id="660">
    <w:p w:rsidR="00887731" w:rsidRPr="00597337" w:rsidRDefault="00887731" w:rsidP="004551E9">
      <w:pPr>
        <w:pStyle w:val="Pie"/>
      </w:pPr>
      <w:r w:rsidRPr="00597337">
        <w:rPr>
          <w:rStyle w:val="Refdenotaalpie"/>
        </w:rPr>
        <w:footnoteRef/>
      </w:r>
      <w:r w:rsidRPr="00597337">
        <w:t xml:space="preserve"> Recordemos que aún numerosos ordenamientos jurídicos domésticos considerar a las personas sordas como “incapaces” de ejercer su capacidad jurídica debido a su deficiencia personal. Por ejemplo el Artículo 153 del Código Civil Argentino señala que “Los sordomudos serán habidos por incapaces para los actos de la vida civil, cuando fuesen tales que no puedan darse a entender por escrito”.</w:t>
      </w:r>
    </w:p>
  </w:footnote>
  <w:footnote w:id="661">
    <w:p w:rsidR="00887731" w:rsidRPr="005B7661" w:rsidRDefault="00887731" w:rsidP="004551E9">
      <w:pPr>
        <w:pStyle w:val="Pie"/>
      </w:pPr>
      <w:r w:rsidRPr="00597337">
        <w:rPr>
          <w:rStyle w:val="Refdenotaalpie"/>
        </w:rPr>
        <w:footnoteRef/>
      </w:r>
      <w:r w:rsidRPr="00597337">
        <w:t xml:space="preserve"> Véase al respecto: BARIFFI, F., (2012) op. cit. pp. 219-331. </w:t>
      </w:r>
      <w:r w:rsidRPr="005B7661">
        <w:t>En la Observación General Nº 1 el CteCDPD señala que: […La capacidad jurídica y la capacidad mental son conceptos distintos. La capacidad jurídica es la capacidad de ser titular de derechos y obligaciones (capacidad legal) y de ejercer esos derechos y obligaciones (legitimación para actuar). Es la clave para acceder a una participación verdadera en la sociedad. La capacidad mental se refiere a la aptitud de una persona para adoptar decisiones, que naturalmente varía de una persona a otra y puede ser diferente para una persona determinada en función de muchos factores, entre ellos factores ambientales y sociales (...) En virtud del artículo 12 de la Convención, los déficits en la capacidad mental, ya sean supuestos o reales, no deben utilizarse como justificación para negar la capacidad jurídica…] Observación general Nº 1 (2014), Artículo 12: Igual reconocimiento como persona ante la ley, CRPD/C/GC/1, 19 de mayo de 2014, párrafo 13.</w:t>
      </w:r>
    </w:p>
  </w:footnote>
  <w:footnote w:id="662">
    <w:p w:rsidR="00887731" w:rsidRPr="00597337" w:rsidRDefault="00887731" w:rsidP="004551E9">
      <w:pPr>
        <w:pStyle w:val="Pie"/>
      </w:pPr>
      <w:r w:rsidRPr="00597337">
        <w:rPr>
          <w:rStyle w:val="Refdenotaalpie"/>
        </w:rPr>
        <w:footnoteRef/>
      </w:r>
      <w:r w:rsidRPr="00597337">
        <w:t xml:space="preserve"> Estudio temático preparado por la Oficina del Alto Comisionado de las Naciones Unidas para los Derechos Humanos para mejorar el conocimiento y la comprensión de la Convención sobre los derechos de las personas con discapacidad, A/HRC/10/48, 26 de enero de 2009, párrafo 24.</w:t>
      </w:r>
    </w:p>
  </w:footnote>
  <w:footnote w:id="663">
    <w:p w:rsidR="00887731" w:rsidRPr="005B7661" w:rsidRDefault="00887731" w:rsidP="004551E9">
      <w:pPr>
        <w:pStyle w:val="Textonotapie"/>
      </w:pPr>
      <w:r w:rsidRPr="00597337">
        <w:rPr>
          <w:rStyle w:val="Refdenotaalpie"/>
        </w:rPr>
        <w:footnoteRef/>
      </w:r>
      <w:r w:rsidRPr="00597337">
        <w:t xml:space="preserve"> </w:t>
      </w:r>
      <w:r w:rsidRPr="005B7661">
        <w:t>En la Observación General Nº 1 el CteCDPD señala que: […El reconocimiento de la capacidad jurídica está vinculado de manera indisoluble con el disfrute de muchos otros derechos humanos establecidos en la Convención sobre los derechos de las personas con discapacidad, entre ellos los siguientes: el derecho al acceso a la justicia (art. 13); el derecho a no ser internado contra su voluntad en una institución de salud mental y a no ser obligado a someterse a un tratamiento de salud mental (art. 14); el derecho al respeto de la integridad física y mental (art. 17) ; el derecho a la libertad de desplazamiento y a la nacionalidad (art. 18); el derecho a elegir dónde y con quién vivir (art. 19) ; el derecho a la libertad de expresión (art. 21) ; el derecho a casarse y fundar una familia (art. 23); el derecho a dar su consentimiento para el tratamiento médico (art. 25); y el derecho a votar y a presentarse como candidato en las elecciones (art. 29). El no reconocimiento de la personalidad jurídica de la persona compromete notablemente su capacidad de reivindicar, ejercer y hacer cumplir esos derechos y muchos otros derechos establecidos en la Convención…] Observación general Nº 1 (2014), Artículo 12: Igual reconocimiento como persona ante la ley, CRPD/C/GC/1, 19 de ma</w:t>
      </w:r>
      <w:r>
        <w:t>yo de 2014, párrafo 31</w:t>
      </w:r>
      <w:r w:rsidRPr="005B7661">
        <w:t>.</w:t>
      </w:r>
    </w:p>
  </w:footnote>
  <w:footnote w:id="664">
    <w:p w:rsidR="00887731" w:rsidRPr="00597337" w:rsidRDefault="00887731" w:rsidP="004551E9">
      <w:pPr>
        <w:pStyle w:val="Pie"/>
      </w:pPr>
      <w:r w:rsidRPr="00597337">
        <w:rPr>
          <w:rStyle w:val="Refdenotaalpie"/>
        </w:rPr>
        <w:footnoteRef/>
      </w:r>
      <w:r w:rsidRPr="00597337">
        <w:t xml:space="preserve"> Véase lo señalado en el Capítulo 4 (4.1) </w:t>
      </w:r>
    </w:p>
  </w:footnote>
  <w:footnote w:id="665">
    <w:p w:rsidR="00887731" w:rsidRPr="00C84A92" w:rsidRDefault="00887731" w:rsidP="004551E9">
      <w:pPr>
        <w:pStyle w:val="Textonotapie"/>
      </w:pPr>
      <w:r w:rsidRPr="00597337">
        <w:rPr>
          <w:rStyle w:val="Refdenotaalpie"/>
        </w:rPr>
        <w:footnoteRef/>
      </w:r>
      <w:r w:rsidRPr="00C84A92">
        <w:t xml:space="preserve"> En la Observación General Nº 1 el CteCDPD señala que: […El derecho a la igualdad ante la ley se reconoce desde hace mucho tiempo como un derecho civil y político, con raíces en el Pacto Internacional de Derechos Civiles y Políticos. Los derechos civiles y políticos nacen en el momento de la ratificación, y los Estados partes deben adoptar medidas para hacerlos efectivos de inmediato. Como tales, los derechos establecidos en el artículo 12 se aplican desde el momento de la ratificación y deben hacerse efectivos inmediatamente. La obligación del Estado, establecida en el artículo 12, párrafo 3, de proporcionar acceso al apoyo necesario en el ejercicio de la capacidad jurídica es una obligación para dar efectividad al derecho civil y político de gozar de igual reconocimiento como persona ante la ley. La "efectividad progresiva" (art. 4, párr. 2) no se aplica a las disposiciones del artículo 12. Tras la ratificación de la Convención, los Estados partes deben comenzar inmediatamente a adoptar medidas para hacer realidad los derechos consagrados en el artículo 12…] Observación general Nº 1 (2014), Artículo 12: Igual reconocimiento como persona ante la ley, CRPD/C/GC/1, 19 de mayo de 2014, párrafo 30.</w:t>
      </w:r>
    </w:p>
  </w:footnote>
  <w:footnote w:id="666">
    <w:p w:rsidR="00887731" w:rsidRPr="00597337" w:rsidRDefault="00887731" w:rsidP="004551E9">
      <w:pPr>
        <w:pStyle w:val="Pie"/>
        <w:rPr>
          <w:lang w:val="en-US"/>
        </w:rPr>
      </w:pPr>
      <w:r w:rsidRPr="00597337">
        <w:rPr>
          <w:rStyle w:val="Refdenotaalpie"/>
        </w:rPr>
        <w:footnoteRef/>
      </w:r>
      <w:r w:rsidRPr="00597337">
        <w:rPr>
          <w:lang w:val="es-AR"/>
        </w:rPr>
        <w:t xml:space="preserve"> En este sentido las Observaciones </w:t>
      </w:r>
      <w:r w:rsidRPr="00597337">
        <w:t>del Comité de la ONU sobre Discapacidad respecto de los informes remitidos por los Estados Parte en cumplimiento de lo establecido en el artículo 35 de la CDPD resultan concluyentes: Respecto del Informe de Túnez el Comité ha dicho: […22. Preocupa al Comité que no se hayan adoptado medidas para transformar el concepto de sustitución en la adopción de decisiones en el de asistencia para la adopción de decisiones en el ejercicio de la capacidad jurídica. 23. El Comité recomienda que el Estado Parte revise las leyes relativas a la tutela y la curatela y adopte medidas legislativas y de política para convertir esos regímenes de sustitución en la adopción de decisiones en uno de asistencia para la adopción de decisiones. Recomienda además que se imparta formación sobre esta cuestión a los funcionarios públicos que corresponda y a los demás interesados…], CRPD/C/TUN/CO/1, 13 de mayo de 2011; Respecto de España, el Comité ha señalado: […33. El Comité observa que la Ley Nº 26/2011 establece un plazo de un año desde su entrada en vigor para la presentación de un proyecto de ley que regule el alcance y la interpretación del artículo 12 de la Convención. Preocupa al Comité que no se hayan tomado medidas para reemplazar la sustitución en la adopción de decisiones por la asistencia para la toma de decisiones en el ejercicio de la capacidad jurídica. 34. El Comité recomienda al Estado Parte que revise las leyes que regulan la guarda y la tutela y que tome medidas para adoptar leyes y políticas por las que se reemplacen los regímenes de sustitución en la adopción de decisiones por una asistencia para la toma de decisiones que respete la autonomía, la voluntad y las preferencias de la persona. Se recomienda, además, que se proporcione formación sobre esta cuestión a todos los funcionarios públicos y otros interesados pertinentes…] CRPD/C/ESP/CO/1, 19 de octubre de 2011; Respecto de Perú el Comité ha señalado: […24.</w:t>
      </w:r>
      <w:r w:rsidRPr="00597337">
        <w:tab/>
        <w:t xml:space="preserve">El Comité toma nota con preocupación de que la legislación del Estado Parte (artículo 7 de la Constitución y artículos 564 y 565 del Código Civil) no está en conformidad con el artículo 12 de la Convención, ya que establece un modelo de sustitución en la toma de decisiones en lugar de un modelo de apoyo o asistencia en esa toma de decisiones y permite la suspensión de los derechos civiles de las personas con discapacidad en los casos de interdicción judicial. Preocupa también al Comité la falta de información acerca del número de personas que han estado sujetas a tutela y curatela, así como la falta de recursos y garantías jurídicas en vigor, como la realización de exámenes independientes y el derecho a recurrir, para revocar la imposición de esas medidas. 25. El Comité recomienda al Estado Parte que derogue la práctica de la interdicción judicial y revise las leyes que permiten la tutela y la curatela con objeto de garantizar su plena conformidad con el artículo 12 de la Convención. Le recomienda también que adopte medidas para cambiar el modelo de sustitución en la toma de decisiones por uno de apoyo o asistencia a las personas con discapacidad en esa toma de decisiones que respete su autonomía, voluntad y preferencias…] </w:t>
      </w:r>
      <w:r w:rsidRPr="00597337">
        <w:rPr>
          <w:lang w:val="en-US"/>
        </w:rPr>
        <w:t>CRPD/C/PER/CO/1, 20 April 2012.</w:t>
      </w:r>
    </w:p>
  </w:footnote>
  <w:footnote w:id="667">
    <w:p w:rsidR="00887731" w:rsidRPr="004551E9" w:rsidRDefault="00887731" w:rsidP="004551E9">
      <w:pPr>
        <w:pStyle w:val="Pie"/>
        <w:rPr>
          <w:lang w:val="en-US"/>
        </w:rPr>
      </w:pPr>
      <w:r w:rsidRPr="00597337">
        <w:rPr>
          <w:rStyle w:val="Refdenotaalpie"/>
        </w:rPr>
        <w:footnoteRef/>
      </w:r>
      <w:r w:rsidRPr="004551E9">
        <w:rPr>
          <w:lang w:val="en-US"/>
        </w:rPr>
        <w:t xml:space="preserve"> […The text of Article 12 does not prohibit substituted decision making and there is language which could even be used to justify substitution…] DHANDA A, (2006-2007) “Legal Capacity in the Disability Rights Convention: Stranglehold of the Past or Lodestar for the Future?” en </w:t>
      </w:r>
      <w:r w:rsidRPr="004551E9">
        <w:rPr>
          <w:i/>
          <w:lang w:val="en-US"/>
        </w:rPr>
        <w:t>Syracuse Journal of International Law and Commerce</w:t>
      </w:r>
      <w:r w:rsidRPr="004551E9">
        <w:rPr>
          <w:lang w:val="en-US"/>
        </w:rPr>
        <w:t>, vol., 34, pp.461-462.</w:t>
      </w:r>
    </w:p>
  </w:footnote>
  <w:footnote w:id="668">
    <w:p w:rsidR="00887731" w:rsidRPr="00562DB8" w:rsidRDefault="00887731" w:rsidP="004551E9">
      <w:pPr>
        <w:pStyle w:val="Pie"/>
        <w:rPr>
          <w:lang w:val="en-US"/>
        </w:rPr>
      </w:pPr>
      <w:r w:rsidRPr="00597337">
        <w:rPr>
          <w:rStyle w:val="Refdenotaalpie"/>
        </w:rPr>
        <w:footnoteRef/>
      </w:r>
      <w:r w:rsidRPr="004551E9">
        <w:rPr>
          <w:lang w:val="en-US"/>
        </w:rPr>
        <w:t xml:space="preserve"> En </w:t>
      </w:r>
      <w:proofErr w:type="spellStart"/>
      <w:r w:rsidRPr="004551E9">
        <w:rPr>
          <w:lang w:val="en-US"/>
        </w:rPr>
        <w:t>este</w:t>
      </w:r>
      <w:proofErr w:type="spellEnd"/>
      <w:r w:rsidRPr="004551E9">
        <w:rPr>
          <w:lang w:val="en-US"/>
        </w:rPr>
        <w:t xml:space="preserve"> </w:t>
      </w:r>
      <w:proofErr w:type="spellStart"/>
      <w:r w:rsidRPr="004551E9">
        <w:rPr>
          <w:lang w:val="en-US"/>
        </w:rPr>
        <w:t>sentido</w:t>
      </w:r>
      <w:proofErr w:type="spellEnd"/>
      <w:r w:rsidRPr="004551E9">
        <w:rPr>
          <w:lang w:val="en-US"/>
        </w:rPr>
        <w:t xml:space="preserve"> </w:t>
      </w:r>
      <w:proofErr w:type="spellStart"/>
      <w:r w:rsidRPr="004551E9">
        <w:rPr>
          <w:lang w:val="en-US"/>
        </w:rPr>
        <w:t>véase</w:t>
      </w:r>
      <w:proofErr w:type="spellEnd"/>
      <w:r w:rsidRPr="004551E9">
        <w:rPr>
          <w:lang w:val="en-US"/>
        </w:rPr>
        <w:t xml:space="preserve"> los </w:t>
      </w:r>
      <w:proofErr w:type="spellStart"/>
      <w:r w:rsidRPr="004551E9">
        <w:rPr>
          <w:lang w:val="en-US"/>
        </w:rPr>
        <w:t>principios</w:t>
      </w:r>
      <w:proofErr w:type="spellEnd"/>
      <w:r w:rsidRPr="004551E9">
        <w:rPr>
          <w:lang w:val="en-US"/>
        </w:rPr>
        <w:t xml:space="preserve"> </w:t>
      </w:r>
      <w:proofErr w:type="spellStart"/>
      <w:r w:rsidRPr="004551E9">
        <w:rPr>
          <w:lang w:val="en-US"/>
        </w:rPr>
        <w:t>para</w:t>
      </w:r>
      <w:proofErr w:type="spellEnd"/>
      <w:r w:rsidRPr="004551E9">
        <w:rPr>
          <w:lang w:val="en-US"/>
        </w:rPr>
        <w:t xml:space="preserve"> la </w:t>
      </w:r>
      <w:proofErr w:type="spellStart"/>
      <w:r w:rsidRPr="004551E9">
        <w:rPr>
          <w:lang w:val="en-US"/>
        </w:rPr>
        <w:t>implementación</w:t>
      </w:r>
      <w:proofErr w:type="spellEnd"/>
      <w:r w:rsidRPr="004551E9">
        <w:rPr>
          <w:lang w:val="en-US"/>
        </w:rPr>
        <w:t xml:space="preserve"> del </w:t>
      </w:r>
      <w:proofErr w:type="spellStart"/>
      <w:r w:rsidRPr="004551E9">
        <w:rPr>
          <w:lang w:val="en-US"/>
        </w:rPr>
        <w:t>artículo</w:t>
      </w:r>
      <w:proofErr w:type="spellEnd"/>
      <w:r w:rsidRPr="004551E9">
        <w:rPr>
          <w:lang w:val="en-US"/>
        </w:rPr>
        <w:t xml:space="preserve"> 12 de la CDPD </w:t>
      </w:r>
      <w:proofErr w:type="spellStart"/>
      <w:r w:rsidRPr="004551E9">
        <w:rPr>
          <w:lang w:val="en-US"/>
        </w:rPr>
        <w:t>adoptados</w:t>
      </w:r>
      <w:proofErr w:type="spellEnd"/>
      <w:r w:rsidRPr="004551E9">
        <w:rPr>
          <w:lang w:val="en-US"/>
        </w:rPr>
        <w:t xml:space="preserve"> por la </w:t>
      </w:r>
      <w:r w:rsidRPr="004551E9">
        <w:rPr>
          <w:i/>
          <w:lang w:val="en-US"/>
        </w:rPr>
        <w:t>International Disability Alliance</w:t>
      </w:r>
      <w:r w:rsidRPr="004551E9">
        <w:rPr>
          <w:lang w:val="en-US"/>
        </w:rPr>
        <w:t xml:space="preserve"> (IDA) entre los </w:t>
      </w:r>
      <w:proofErr w:type="spellStart"/>
      <w:r w:rsidRPr="004551E9">
        <w:rPr>
          <w:lang w:val="en-US"/>
        </w:rPr>
        <w:t>que</w:t>
      </w:r>
      <w:proofErr w:type="spellEnd"/>
      <w:r w:rsidRPr="004551E9">
        <w:rPr>
          <w:lang w:val="en-US"/>
        </w:rPr>
        <w:t xml:space="preserve"> </w:t>
      </w:r>
      <w:proofErr w:type="spellStart"/>
      <w:r w:rsidRPr="004551E9">
        <w:rPr>
          <w:lang w:val="en-US"/>
        </w:rPr>
        <w:t>cabe</w:t>
      </w:r>
      <w:proofErr w:type="spellEnd"/>
      <w:r w:rsidRPr="004551E9">
        <w:rPr>
          <w:lang w:val="en-US"/>
        </w:rPr>
        <w:t xml:space="preserve"> </w:t>
      </w:r>
      <w:proofErr w:type="spellStart"/>
      <w:r w:rsidRPr="004551E9">
        <w:rPr>
          <w:lang w:val="en-US"/>
        </w:rPr>
        <w:t>destacar</w:t>
      </w:r>
      <w:proofErr w:type="spellEnd"/>
      <w:r w:rsidRPr="004551E9">
        <w:rPr>
          <w:lang w:val="en-US"/>
        </w:rPr>
        <w:t xml:space="preserve">:  […1) "Legal capacity" is best translated as the "capacity for rights and capacity to act"; 2) "Legal capacity" for the purpose of the Convention on the Rights of Persons with Disabilities means both the capacity for rights and the capacity to act.  </w:t>
      </w:r>
      <w:r w:rsidRPr="00562DB8">
        <w:rPr>
          <w:lang w:val="en-US"/>
        </w:rPr>
        <w:t xml:space="preserve">This applies in the legal systems of all countries for all people, including those with disabilities; 3) </w:t>
      </w:r>
      <w:proofErr w:type="gramStart"/>
      <w:r w:rsidRPr="00562DB8">
        <w:rPr>
          <w:lang w:val="en-US"/>
        </w:rPr>
        <w:t>The</w:t>
      </w:r>
      <w:proofErr w:type="gramEnd"/>
      <w:r w:rsidRPr="00562DB8">
        <w:rPr>
          <w:lang w:val="en-US"/>
        </w:rPr>
        <w:t xml:space="preserve"> right to enjoy and exercise legal capacity applies equally to all people, including those with disabilities, irrespective of the nature or effects of their disability or apparent need for support.  Legal capacity cannot be questioned or challenged based on disability</w:t>
      </w:r>
      <w:proofErr w:type="gramStart"/>
      <w:r w:rsidRPr="00562DB8">
        <w:rPr>
          <w:lang w:val="en-US"/>
        </w:rPr>
        <w:t>..]</w:t>
      </w:r>
      <w:proofErr w:type="gramEnd"/>
      <w:r w:rsidRPr="00562DB8">
        <w:rPr>
          <w:lang w:val="en-US"/>
        </w:rPr>
        <w:t xml:space="preserve"> </w:t>
      </w:r>
      <w:r w:rsidRPr="00597337">
        <w:t xml:space="preserve">Accesible en </w:t>
      </w:r>
      <w:hyperlink r:id="rId31" w:history="1">
        <w:r w:rsidRPr="00597337">
          <w:rPr>
            <w:rStyle w:val="Hipervnculo"/>
          </w:rPr>
          <w:t>www.internationaldisabilityalliance.org</w:t>
        </w:r>
      </w:hyperlink>
      <w:r w:rsidRPr="00597337">
        <w:t xml:space="preserve">; también la postura del </w:t>
      </w:r>
      <w:proofErr w:type="spellStart"/>
      <w:r w:rsidRPr="00597337">
        <w:rPr>
          <w:i/>
        </w:rPr>
        <w:t>European</w:t>
      </w:r>
      <w:proofErr w:type="spellEnd"/>
      <w:r w:rsidRPr="00597337">
        <w:rPr>
          <w:i/>
        </w:rPr>
        <w:t xml:space="preserve"> </w:t>
      </w:r>
      <w:proofErr w:type="spellStart"/>
      <w:r w:rsidRPr="00597337">
        <w:rPr>
          <w:i/>
        </w:rPr>
        <w:t>Disability</w:t>
      </w:r>
      <w:proofErr w:type="spellEnd"/>
      <w:r w:rsidRPr="00597337">
        <w:rPr>
          <w:i/>
        </w:rPr>
        <w:t xml:space="preserve"> </w:t>
      </w:r>
      <w:proofErr w:type="spellStart"/>
      <w:r w:rsidRPr="00597337">
        <w:rPr>
          <w:i/>
        </w:rPr>
        <w:t>Forum</w:t>
      </w:r>
      <w:proofErr w:type="spellEnd"/>
      <w:r w:rsidRPr="00597337">
        <w:rPr>
          <w:i/>
        </w:rPr>
        <w:t xml:space="preserve"> </w:t>
      </w:r>
      <w:r w:rsidRPr="00597337">
        <w:t xml:space="preserve">[…Según el principio de la plena capacidad jurídica del </w:t>
      </w:r>
      <w:proofErr w:type="spellStart"/>
      <w:r w:rsidRPr="00597337">
        <w:t>articulo</w:t>
      </w:r>
      <w:proofErr w:type="spellEnd"/>
      <w:r w:rsidRPr="00597337">
        <w:t xml:space="preserve"> 12, los Estados partes tienen la obligación de poner en marcha un sistema integral de apoyo en la toma de decisiones y de garantías efectivas para todas las personas con discapacidad…] Elementos clave de un sistema de apoyo en la toma de decisiones,  Propuesta de Posicionamiento del Foro Europeo de la Discapacidad (EDF), DOC-AGA-08-05-02; o la postura de la </w:t>
      </w:r>
      <w:proofErr w:type="spellStart"/>
      <w:r w:rsidRPr="00597337">
        <w:rPr>
          <w:i/>
        </w:rPr>
        <w:t>Inclusion</w:t>
      </w:r>
      <w:proofErr w:type="spellEnd"/>
      <w:r w:rsidRPr="00597337">
        <w:rPr>
          <w:i/>
        </w:rPr>
        <w:t xml:space="preserve"> </w:t>
      </w:r>
      <w:proofErr w:type="spellStart"/>
      <w:r w:rsidRPr="00597337">
        <w:rPr>
          <w:i/>
        </w:rPr>
        <w:t>Europe</w:t>
      </w:r>
      <w:proofErr w:type="spellEnd"/>
      <w:r w:rsidRPr="00597337">
        <w:t>; […</w:t>
      </w:r>
      <w:proofErr w:type="spellStart"/>
      <w:r w:rsidRPr="00597337">
        <w:t>Supported</w:t>
      </w:r>
      <w:proofErr w:type="spellEnd"/>
      <w:r w:rsidRPr="00597337">
        <w:t xml:space="preserve"> </w:t>
      </w:r>
      <w:proofErr w:type="spellStart"/>
      <w:r w:rsidRPr="00597337">
        <w:t>decision-making</w:t>
      </w:r>
      <w:proofErr w:type="spellEnd"/>
      <w:r w:rsidRPr="00597337">
        <w:t xml:space="preserve"> as </w:t>
      </w:r>
      <w:proofErr w:type="spellStart"/>
      <w:r w:rsidRPr="00597337">
        <w:t>enshrined</w:t>
      </w:r>
      <w:proofErr w:type="spellEnd"/>
      <w:r w:rsidRPr="00597337">
        <w:t xml:space="preserve"> in </w:t>
      </w:r>
      <w:proofErr w:type="spellStart"/>
      <w:r w:rsidRPr="00597337">
        <w:t>the</w:t>
      </w:r>
      <w:proofErr w:type="spellEnd"/>
      <w:r w:rsidRPr="00597337">
        <w:t xml:space="preserve"> UN </w:t>
      </w:r>
      <w:proofErr w:type="spellStart"/>
      <w:r w:rsidRPr="00597337">
        <w:t>Convention</w:t>
      </w:r>
      <w:proofErr w:type="spellEnd"/>
      <w:r w:rsidRPr="00597337">
        <w:t xml:space="preserve">, </w:t>
      </w:r>
      <w:proofErr w:type="spellStart"/>
      <w:r w:rsidRPr="00597337">
        <w:t>starts</w:t>
      </w:r>
      <w:proofErr w:type="spellEnd"/>
      <w:r w:rsidRPr="00597337">
        <w:t xml:space="preserve"> </w:t>
      </w:r>
      <w:proofErr w:type="spellStart"/>
      <w:r w:rsidRPr="00597337">
        <w:t>from</w:t>
      </w:r>
      <w:proofErr w:type="spellEnd"/>
      <w:r w:rsidRPr="00597337">
        <w:t xml:space="preserve"> </w:t>
      </w:r>
      <w:proofErr w:type="spellStart"/>
      <w:r w:rsidRPr="00597337">
        <w:t>the</w:t>
      </w:r>
      <w:proofErr w:type="spellEnd"/>
      <w:r w:rsidRPr="00597337">
        <w:t xml:space="preserve"> full and </w:t>
      </w:r>
      <w:proofErr w:type="spellStart"/>
      <w:r w:rsidRPr="00597337">
        <w:t>equal</w:t>
      </w:r>
      <w:proofErr w:type="spellEnd"/>
      <w:r w:rsidRPr="00597337">
        <w:t xml:space="preserve"> legal </w:t>
      </w:r>
      <w:proofErr w:type="spellStart"/>
      <w:r w:rsidRPr="00597337">
        <w:t>capacity</w:t>
      </w:r>
      <w:proofErr w:type="spellEnd"/>
      <w:r w:rsidRPr="00597337">
        <w:t xml:space="preserve"> of </w:t>
      </w:r>
      <w:proofErr w:type="spellStart"/>
      <w:r w:rsidRPr="00597337">
        <w:t>all</w:t>
      </w:r>
      <w:proofErr w:type="spellEnd"/>
      <w:r w:rsidRPr="00597337">
        <w:t xml:space="preserve"> </w:t>
      </w:r>
      <w:proofErr w:type="spellStart"/>
      <w:r w:rsidRPr="00597337">
        <w:t>citizens</w:t>
      </w:r>
      <w:proofErr w:type="spellEnd"/>
      <w:r w:rsidRPr="00597337">
        <w:t xml:space="preserve">, </w:t>
      </w:r>
      <w:proofErr w:type="spellStart"/>
      <w:r w:rsidRPr="00597337">
        <w:t>even</w:t>
      </w:r>
      <w:proofErr w:type="spellEnd"/>
      <w:r w:rsidRPr="00597337">
        <w:t xml:space="preserve"> of </w:t>
      </w:r>
      <w:proofErr w:type="spellStart"/>
      <w:r w:rsidRPr="00597337">
        <w:t>those</w:t>
      </w:r>
      <w:proofErr w:type="spellEnd"/>
      <w:r w:rsidRPr="00597337">
        <w:t xml:space="preserve"> </w:t>
      </w:r>
      <w:proofErr w:type="spellStart"/>
      <w:r w:rsidRPr="00597337">
        <w:t>with</w:t>
      </w:r>
      <w:proofErr w:type="spellEnd"/>
      <w:r w:rsidRPr="00597337">
        <w:t xml:space="preserve"> </w:t>
      </w:r>
      <w:proofErr w:type="spellStart"/>
      <w:r w:rsidRPr="00597337">
        <w:t>severe</w:t>
      </w:r>
      <w:proofErr w:type="spellEnd"/>
      <w:r w:rsidRPr="00597337">
        <w:t xml:space="preserve"> and </w:t>
      </w:r>
      <w:proofErr w:type="spellStart"/>
      <w:r w:rsidRPr="00597337">
        <w:t>profound</w:t>
      </w:r>
      <w:proofErr w:type="spellEnd"/>
      <w:r w:rsidRPr="00597337">
        <w:t xml:space="preserve"> </w:t>
      </w:r>
      <w:proofErr w:type="spellStart"/>
      <w:r w:rsidRPr="00597337">
        <w:t>levels</w:t>
      </w:r>
      <w:proofErr w:type="spellEnd"/>
      <w:r w:rsidRPr="00597337">
        <w:t xml:space="preserve"> of </w:t>
      </w:r>
      <w:proofErr w:type="spellStart"/>
      <w:r w:rsidRPr="00597337">
        <w:t>disability</w:t>
      </w:r>
      <w:proofErr w:type="spellEnd"/>
      <w:r w:rsidRPr="00597337">
        <w:t xml:space="preserve">…] </w:t>
      </w:r>
      <w:r w:rsidRPr="00562DB8">
        <w:rPr>
          <w:lang w:val="en-US"/>
        </w:rPr>
        <w:t>Key Elements of a System for Supported Decision-Making, Position Paper of Inclusion Europe, Adopted at the General Assembly 2008.</w:t>
      </w:r>
    </w:p>
  </w:footnote>
  <w:footnote w:id="669">
    <w:p w:rsidR="00887731" w:rsidRPr="00597337" w:rsidRDefault="00887731" w:rsidP="004551E9">
      <w:pPr>
        <w:pStyle w:val="Pie"/>
      </w:pPr>
      <w:r w:rsidRPr="00597337">
        <w:rPr>
          <w:rStyle w:val="Refdenotaalpie"/>
        </w:rPr>
        <w:footnoteRef/>
      </w:r>
      <w:r w:rsidRPr="00562DB8">
        <w:rPr>
          <w:lang w:val="en-US"/>
        </w:rPr>
        <w:t xml:space="preserve"> […The Convention replaces the dualistic model of capacity versus incapacity with an equality-based model that complements full legal rights to individual autonomy and self-determination with entitlement to support when needed, to ensure substantial equality of opportunities to exercise those rights…]</w:t>
      </w:r>
      <w:r w:rsidRPr="00562DB8">
        <w:rPr>
          <w:caps/>
          <w:lang w:val="en-US"/>
        </w:rPr>
        <w:t xml:space="preserve"> </w:t>
      </w:r>
      <w:r w:rsidRPr="00597337">
        <w:rPr>
          <w:lang w:val="es-AR"/>
        </w:rPr>
        <w:t>MINKOWITZ T, (2006-2007)</w:t>
      </w:r>
      <w:r w:rsidRPr="00597337">
        <w:t xml:space="preserve"> op. cit, p.408.</w:t>
      </w:r>
    </w:p>
  </w:footnote>
  <w:footnote w:id="670">
    <w:p w:rsidR="00887731" w:rsidRPr="00597337" w:rsidRDefault="00887731" w:rsidP="004551E9">
      <w:pPr>
        <w:pStyle w:val="Pie"/>
      </w:pPr>
      <w:r w:rsidRPr="00597337">
        <w:rPr>
          <w:rStyle w:val="Refdenotaalpie"/>
        </w:rPr>
        <w:footnoteRef/>
      </w:r>
      <w:r w:rsidRPr="00597337">
        <w:t xml:space="preserve"> Para un análisis de los modelos de atribución de incapacidad del derecho comparado véase: BARIFFI, F. (2012c), “Capacidad jurídica y discapacidad: una visión del derecho comparado” en </w:t>
      </w:r>
      <w:r w:rsidRPr="00597337">
        <w:rPr>
          <w:caps/>
        </w:rPr>
        <w:t xml:space="preserve">Bariffi, F. &amp; Palacios A., (Coord), (2012), </w:t>
      </w:r>
      <w:r w:rsidRPr="00597337">
        <w:t xml:space="preserve">op. cit.  </w:t>
      </w:r>
    </w:p>
  </w:footnote>
  <w:footnote w:id="671">
    <w:p w:rsidR="00887731" w:rsidRPr="00C84A92" w:rsidRDefault="00887731" w:rsidP="004551E9">
      <w:pPr>
        <w:pStyle w:val="Textonotapie"/>
      </w:pPr>
      <w:r w:rsidRPr="00597337">
        <w:rPr>
          <w:rStyle w:val="Refdenotaalpie"/>
        </w:rPr>
        <w:footnoteRef/>
      </w:r>
      <w:r w:rsidRPr="00597337">
        <w:t xml:space="preserve"> </w:t>
      </w:r>
      <w:r w:rsidRPr="00C84A92">
        <w:t>En la Observación General Nº 1 el CteCDPD señala que: […El artículo 12 de la Convención afirma que todas las personas con discapacidad tienen plena capacidad jurídica (…) El derecho al igual reconocimiento como persona ante la ley entraña que la capacidad jurídica es un atributo universal inherente a todas las personas en razón de su condición humana y debe mantenerse para las personas con discapacidad en igualdad de condiciones con las demás…] Observación general Nº 1 (2014), Artículo 12: Igual reconocimiento como persona ante la ley, CRPD/C/GC/1, 19 de mayo de 2014, párrafo 8.</w:t>
      </w:r>
    </w:p>
  </w:footnote>
  <w:footnote w:id="672">
    <w:p w:rsidR="00887731" w:rsidRPr="00C84A92" w:rsidRDefault="00887731" w:rsidP="004551E9">
      <w:pPr>
        <w:pStyle w:val="Textonotapie"/>
      </w:pPr>
      <w:r w:rsidRPr="00597337">
        <w:rPr>
          <w:rStyle w:val="Refdenotaalpie"/>
        </w:rPr>
        <w:footnoteRef/>
      </w:r>
      <w:r w:rsidRPr="00C84A92">
        <w:t xml:space="preserve"> En la Observación General Nº 1 el CteCDPD señala que: […Para reconocer plenamente la "capacidad jurídica universal", en virtud de la cual todas las personas, con independencia de su discapacidad o de su aptitud para adoptar decisiones, poseen una capacidad jurídica inherente, los Estados partes deben dejar de negar la capacidad jurídica cuando el propósito o efecto de esa negación sea una discriminación por motivos de discapacidad…] Observación general Nº 1 (2014), Artículo 12: Igual reconocimiento como persona ante la ley, CRPD/C/GC/1, 19 de mayo de 2014, párrafo 25.</w:t>
      </w:r>
    </w:p>
  </w:footnote>
  <w:footnote w:id="673">
    <w:p w:rsidR="00887731" w:rsidRPr="00597337" w:rsidRDefault="00887731" w:rsidP="004551E9">
      <w:pPr>
        <w:pStyle w:val="Pie"/>
        <w:rPr>
          <w:lang w:val="es-AR"/>
        </w:rPr>
      </w:pPr>
      <w:r w:rsidRPr="00597337">
        <w:rPr>
          <w:rStyle w:val="Refdenotaalpie"/>
        </w:rPr>
        <w:footnoteRef/>
      </w:r>
      <w:r w:rsidRPr="00562DB8">
        <w:rPr>
          <w:lang w:val="en-US"/>
        </w:rPr>
        <w:t xml:space="preserve"> […the existence of a mental disorder, even a serious one cannot be the sole reason to justify full incapacitation…] </w:t>
      </w:r>
      <w:r w:rsidRPr="00597337">
        <w:rPr>
          <w:lang w:val="es-AR"/>
        </w:rPr>
        <w:t>TEDH, Shtukaturov v. Rusia, Sentencia de 27 de marzo de 2008, Aplicación no. 44009/05, pp. 18-19, para. 94.</w:t>
      </w:r>
    </w:p>
  </w:footnote>
  <w:footnote w:id="674">
    <w:p w:rsidR="00887731" w:rsidRPr="00597337" w:rsidRDefault="00887731" w:rsidP="004551E9">
      <w:pPr>
        <w:pStyle w:val="Pie"/>
      </w:pPr>
      <w:r w:rsidRPr="00597337">
        <w:rPr>
          <w:rStyle w:val="Refdenotaalpie"/>
        </w:rPr>
        <w:footnoteRef/>
      </w:r>
      <w:r w:rsidRPr="00597337">
        <w:t xml:space="preserve"> </w:t>
      </w:r>
      <w:r w:rsidRPr="00597337">
        <w:rPr>
          <w:i/>
        </w:rPr>
        <w:t xml:space="preserve">Manual de Recursos de la OMS sobre Salud Mental, </w:t>
      </w:r>
      <w:r w:rsidRPr="00597337">
        <w:t>Organización Mundial de la Salud, Ginebra, 2006, pp. 45-46.</w:t>
      </w:r>
    </w:p>
  </w:footnote>
  <w:footnote w:id="675">
    <w:p w:rsidR="00887731" w:rsidRPr="00597337" w:rsidRDefault="00887731" w:rsidP="004551E9">
      <w:pPr>
        <w:pStyle w:val="Pie"/>
      </w:pPr>
      <w:r w:rsidRPr="00597337">
        <w:rPr>
          <w:rStyle w:val="Refdenotaalpie"/>
        </w:rPr>
        <w:footnoteRef/>
      </w:r>
      <w:r w:rsidRPr="00597337">
        <w:t xml:space="preserve"> En la práctica, lo que ocurre es que en algún punto las dimensiones médica y legal son llamadas a interactuar y es allí donde habitualmente el binomio médico-juez suele transitar el camino fácil del modelo de atribución directa; esto es, el trastorno mental o intelectual severo se equipara a la falta de discernimiento y subsecuentemente a la falta de capacidad y a la incapacidad jurídica. Ello explica que un dictamen médico que acredite un trastorno mental severo tenga como consecuencia médica y jurídica la determinación de falta de discernimiento y, como consecuencia jurídica, se determine la incapacidad jurídica; de ahí que el único medio probatorio necesario bajo esa lógica, sea el dictamen médico.</w:t>
      </w:r>
    </w:p>
  </w:footnote>
  <w:footnote w:id="676">
    <w:p w:rsidR="00887731" w:rsidRPr="00597337" w:rsidRDefault="00887731" w:rsidP="004551E9">
      <w:pPr>
        <w:pStyle w:val="Pie"/>
      </w:pPr>
      <w:r w:rsidRPr="00597337">
        <w:rPr>
          <w:rStyle w:val="Refdenotaalpie"/>
        </w:rPr>
        <w:footnoteRef/>
      </w:r>
      <w:r w:rsidRPr="00597337">
        <w:t xml:space="preserve"> BARIFFI, F. &amp; PALACIOS, A., (2012), op. cit.</w:t>
      </w:r>
    </w:p>
  </w:footnote>
  <w:footnote w:id="677">
    <w:p w:rsidR="00887731" w:rsidRPr="004551E9" w:rsidRDefault="00887731" w:rsidP="004551E9">
      <w:pPr>
        <w:pStyle w:val="Pie"/>
        <w:rPr>
          <w:lang w:val="en-US"/>
        </w:rPr>
      </w:pPr>
      <w:r w:rsidRPr="00597337">
        <w:rPr>
          <w:rStyle w:val="Refdenotaalpie"/>
        </w:rPr>
        <w:footnoteRef/>
      </w:r>
      <w:r w:rsidRPr="004551E9">
        <w:rPr>
          <w:lang w:val="en-US"/>
        </w:rPr>
        <w:t xml:space="preserve"> LAWSON, A., (2006-2007), op. cit., p. 563.</w:t>
      </w:r>
    </w:p>
  </w:footnote>
  <w:footnote w:id="678">
    <w:p w:rsidR="00887731" w:rsidRPr="00597337" w:rsidRDefault="00887731" w:rsidP="004551E9">
      <w:pPr>
        <w:pStyle w:val="Pie"/>
      </w:pPr>
      <w:r w:rsidRPr="00597337">
        <w:rPr>
          <w:rStyle w:val="Refdenotaalpie"/>
        </w:rPr>
        <w:footnoteRef/>
      </w:r>
      <w:r w:rsidRPr="00597337">
        <w:t xml:space="preserve"> ORTOLEVA, S., (2011), op. cit.</w:t>
      </w:r>
    </w:p>
  </w:footnote>
  <w:footnote w:id="679">
    <w:p w:rsidR="00887731" w:rsidRPr="00597337" w:rsidRDefault="00887731" w:rsidP="004551E9">
      <w:pPr>
        <w:pStyle w:val="Pie"/>
      </w:pPr>
      <w:r w:rsidRPr="00597337">
        <w:rPr>
          <w:rStyle w:val="Refdenotaalpie"/>
        </w:rPr>
        <w:footnoteRef/>
      </w:r>
      <w:r w:rsidRPr="00597337">
        <w:t xml:space="preserve"> En este sentido el Comité de la ONU sobre los Derechos de las Personas con Discapacidad ha señalado en las Directrices relativas al documento específico sobre la Convención que deben presentar los Estados partes con arreglo al párrafo 1 del artículo 35 de la Convención sobre los derechos de las personas con discapacidad”, que en relación con el artículo 13 que: […Este artículo reconoce el derecho de las personas con discapacidad de tener acceso efectivo a la justicia en igualdad de condiciones con las demás, sin ser excluidas de los procedimientos judiciales. Los Estados partes informarán sobre: • Las medidas adoptadas para asegurar a todas las personas con discapacidad el acceso efectivo a la justicia en todas las etapas de los procedimientos judiciales, incluyendo las fases de instrucción y otras etapas preliminares; • Las medidas adoptadas para asegurar que se capacite efectivamente al personal del poder judicial y el sistema penitenciario nacionales sobre el respeto de los derechos de las personas con discapacidad; • La existencia de ajustes razonables, incluso ajustes de procedimiento en los procesos judiciales para asegurar la participación efectiva de las personas con todo tipo de discapacidad en el sistema de justicia, independientemente de la situación en que se encuentren (por ejemplo, como víctimas, acusados, testigos, miembros del jurado, etc.); • Ajustes relacionados con la edad para garantizar la participación efectiva de niños y jóvenes con discapacidad…] CRPD/C/2/3, 18 de noviembre de 2009.</w:t>
      </w:r>
    </w:p>
  </w:footnote>
  <w:footnote w:id="680">
    <w:p w:rsidR="00887731" w:rsidRPr="00FA2503" w:rsidRDefault="00887731" w:rsidP="004551E9">
      <w:pPr>
        <w:pStyle w:val="Textonotapie"/>
      </w:pPr>
      <w:r w:rsidRPr="00597337">
        <w:rPr>
          <w:rStyle w:val="Refdenotaalpie"/>
        </w:rPr>
        <w:footnoteRef/>
      </w:r>
      <w:r w:rsidRPr="00597337">
        <w:t xml:space="preserve"> </w:t>
      </w:r>
      <w:r w:rsidRPr="00FA2503">
        <w:t>En la Observación General Nº 1 el CteCDPD señala que: […Los Estados partes tienen la obligación de velar por que las personas con discapacidad tengan acceso a la justicia en igualdad de condiciones con las demás. El reconocimiento del derecho a la capacidad jurídica es esencial para el acceso a la justicia en muchos aspectos. Para que las personas con discapacidad puedan exigir el cumplimiento de sus derechos y obligaciones en igualdad de condiciones con las demás, debe reconocérseles la personalidad jurídica con la misma capacidad ante las cortes de justicia y los tribunales. Los Estados partes también deben velar por que las personas con discapacidad tengan acceso a representación jurídica en igualdad de condiciones con las demás. Se ha determinado que en muchas jurisdicciones este es un problema, que debe solucionarse, entre otros medios, garantizando que las personas que vean obstaculizado su derecho a la capacidad jurídica tengan la oportunidad de impugnar esos obstáculos —en su propio nombre o por medio de su representante legal— y de defender sus derechos ante los tribunales…] Observación general Nº 1 (2014), Artículo 12: Igual reconocimiento como persona ante la ley, CRPD/C/GC/1, 19 de mayo de 2014, párrafo 38.</w:t>
      </w:r>
    </w:p>
  </w:footnote>
  <w:footnote w:id="681">
    <w:p w:rsidR="00887731" w:rsidRPr="00FA2503" w:rsidRDefault="00887731" w:rsidP="004551E9">
      <w:pPr>
        <w:pStyle w:val="Textonotapie"/>
      </w:pPr>
      <w:r w:rsidRPr="00597337">
        <w:rPr>
          <w:rStyle w:val="Refdenotaalpie"/>
        </w:rPr>
        <w:footnoteRef/>
      </w:r>
      <w:r w:rsidRPr="00FA2503">
        <w:t xml:space="preserve"> En la Observación General Nº 1 el CteCDPD señala que: […También se debe reconocer la capacidad jurídica de las personas con discapacidad para testificar en igualdad de condiciones con las demás. El artículo 12 de la Convención garantiza el apoyo en el ejercicio de la capacidad jurídica, incluida la capacidad de testificar en las actuaciones judiciales y administrativas y otras actuaciones jurídicas…] Observación general Nº 1 (2014), Artículo 12: Igual reconocimiento como persona ante la ley, CRPD/C/GC/1, 19 de mayo de 2014, párrafo 39.</w:t>
      </w:r>
    </w:p>
  </w:footnote>
  <w:footnote w:id="682">
    <w:p w:rsidR="00887731" w:rsidRPr="008D46DF" w:rsidRDefault="00887731" w:rsidP="004551E9">
      <w:pPr>
        <w:pStyle w:val="Pie"/>
      </w:pPr>
      <w:r w:rsidRPr="00597337">
        <w:rPr>
          <w:rStyle w:val="Refdenotaalpie"/>
        </w:rPr>
        <w:footnoteRef/>
      </w:r>
      <w:r w:rsidRPr="008D46DF">
        <w:t xml:space="preserve"> CISTERNAS S., (2012), op. cit.</w:t>
      </w:r>
      <w:r w:rsidRPr="008D46DF">
        <w:rPr>
          <w:b/>
        </w:rPr>
        <w:t xml:space="preserve"> </w:t>
      </w:r>
    </w:p>
  </w:footnote>
  <w:footnote w:id="683">
    <w:p w:rsidR="00887731" w:rsidRPr="008D46DF" w:rsidRDefault="00887731" w:rsidP="004551E9">
      <w:pPr>
        <w:pStyle w:val="Pie"/>
      </w:pPr>
      <w:r w:rsidRPr="00597337">
        <w:rPr>
          <w:rStyle w:val="Refdenotaalpie"/>
        </w:rPr>
        <w:footnoteRef/>
      </w:r>
      <w:r w:rsidRPr="008D46DF">
        <w:t xml:space="preserve"> BARIFFI, F., (2011a), op. cit.</w:t>
      </w:r>
    </w:p>
  </w:footnote>
  <w:footnote w:id="684">
    <w:p w:rsidR="00887731" w:rsidRPr="008D46DF" w:rsidRDefault="00887731" w:rsidP="004551E9">
      <w:pPr>
        <w:pStyle w:val="Pie"/>
      </w:pPr>
      <w:r w:rsidRPr="00597337">
        <w:rPr>
          <w:rStyle w:val="Refdenotaalpie"/>
        </w:rPr>
        <w:footnoteRef/>
      </w:r>
      <w:r w:rsidRPr="008D46DF">
        <w:t xml:space="preserve"> BARIFFI, F., (2009), op. cit; BARIFFI, F., (2012c), op. cit.</w:t>
      </w:r>
    </w:p>
  </w:footnote>
  <w:footnote w:id="685">
    <w:p w:rsidR="00887731" w:rsidRPr="00D20B0E" w:rsidRDefault="00887731" w:rsidP="004551E9">
      <w:pPr>
        <w:pStyle w:val="Pie"/>
      </w:pPr>
      <w:r w:rsidRPr="00597337">
        <w:rPr>
          <w:rStyle w:val="Refdenotaalpie"/>
        </w:rPr>
        <w:footnoteRef/>
      </w:r>
      <w:r w:rsidRPr="00D20B0E">
        <w:t xml:space="preserve"> Asís ROIG, R., Aiello, A. L., Bariffi, F., Campoy, I., &amp; Palacios, A., (2007), op. cit.</w:t>
      </w:r>
    </w:p>
  </w:footnote>
  <w:footnote w:id="686">
    <w:p w:rsidR="00887731" w:rsidRPr="00D20B0E" w:rsidRDefault="00887731" w:rsidP="004551E9">
      <w:pPr>
        <w:pStyle w:val="Pie"/>
      </w:pPr>
      <w:r w:rsidRPr="00597337">
        <w:rPr>
          <w:rStyle w:val="Refdenotaalpie"/>
        </w:rPr>
        <w:footnoteRef/>
      </w:r>
      <w:r w:rsidRPr="00D20B0E">
        <w:t xml:space="preserve"> BARIFFI, F., BARRANCO, M., MORENO, L., PALACIOS, A., UTRAY, F., VIDA, J., (2008), op. cit.</w:t>
      </w:r>
    </w:p>
  </w:footnote>
  <w:footnote w:id="687">
    <w:p w:rsidR="00887731" w:rsidRPr="00597337" w:rsidRDefault="00887731" w:rsidP="004551E9">
      <w:pPr>
        <w:pStyle w:val="Pie"/>
      </w:pPr>
      <w:r w:rsidRPr="00597337">
        <w:rPr>
          <w:rStyle w:val="Refdenotaalpie"/>
        </w:rPr>
        <w:footnoteRef/>
      </w:r>
      <w:r w:rsidRPr="00D20B0E">
        <w:t xml:space="preserve"> TEDH. Stanev v. Bulgaria. Sentencia de 17 de enero de 2012. </w:t>
      </w:r>
      <w:r w:rsidRPr="00597337">
        <w:rPr>
          <w:lang w:val="es-AR"/>
        </w:rPr>
        <w:t>Aplicación no. 36760/06, párrafo 176.</w:t>
      </w:r>
    </w:p>
  </w:footnote>
  <w:footnote w:id="688">
    <w:p w:rsidR="00887731" w:rsidRPr="00597337" w:rsidRDefault="00887731" w:rsidP="004551E9">
      <w:pPr>
        <w:pStyle w:val="Pie"/>
      </w:pPr>
      <w:r w:rsidRPr="00597337">
        <w:rPr>
          <w:rStyle w:val="Refdenotaalpie"/>
        </w:rPr>
        <w:footnoteRef/>
      </w:r>
      <w:r w:rsidRPr="00597337">
        <w:t xml:space="preserve"> […Si bien el derecho a la asistencia letrada y a la defensa (art. 24.2. CE) se ha vinculado especialmente al proceso penal y sólo en menor medida al resto de procesos, es indudable que también despliega todo el potencial de su contenido en relación con procedimientos como el de incapacitación no sólo por lo esencial de los derechos e intereses que en el mismo se ventilan sino por la situación de presunta incapacidad del sometido a este procedimiento. Esta conclusión también cabe extraerla del arto 13 de la Convención sobre los derechos de las personas con discapacidad de 13 de diciembre de 2006 (BOE 21 de abril de 2008), en cuyo apartado primero, a los efectos de garantizar que las personas con discapacidad tengan acceso a la justicia en igualdad de condiciones, se prevé la posibilidad de ajustes de procedimiento para facilitar el desempeño de las funciones efectivas de estas personas como participantes directos e indirectos en todos los procedimientos judiciales. En su apartado segundo se incluye, además, una apelación a la necesidad de que los Estados Parte promuevan la formación adecuada de los que trabajan en la Administración de Justicia a fin de asegurar que las personas con discapacidad tengan acceso efectiva a la justicia…] STC España, de 14 de febrero de 2011. </w:t>
      </w:r>
    </w:p>
  </w:footnote>
  <w:footnote w:id="689">
    <w:p w:rsidR="00887731" w:rsidRPr="00597337" w:rsidRDefault="00887731" w:rsidP="004551E9">
      <w:pPr>
        <w:pStyle w:val="Pie"/>
      </w:pPr>
      <w:r w:rsidRPr="00597337">
        <w:rPr>
          <w:rStyle w:val="Refdenotaalpie"/>
        </w:rPr>
        <w:footnoteRef/>
      </w:r>
      <w:r w:rsidRPr="00597337">
        <w:t xml:space="preserve"> Estudio temático preparado por la Oficina del Alto Comisionado de las Naciones Unidas para los Derechos Humanos para mejorar el conocimiento y la comprensión de la Convención sobre los derechos de las personas con discapacidad, A/HRC/10/48, 26 de enero de 2009, párrafo 47.</w:t>
      </w:r>
    </w:p>
  </w:footnote>
  <w:footnote w:id="690">
    <w:p w:rsidR="00887731" w:rsidRPr="00597337" w:rsidRDefault="00887731" w:rsidP="004551E9">
      <w:pPr>
        <w:pStyle w:val="Pie"/>
      </w:pPr>
      <w:r w:rsidRPr="00597337">
        <w:rPr>
          <w:rStyle w:val="Refdenotaalpie"/>
        </w:rPr>
        <w:footnoteRef/>
      </w:r>
      <w:r w:rsidRPr="00597337">
        <w:t xml:space="preserve"> Se podría afirmar que prácticamente todos los Estados de la Comunidad Internacional contemplan en sus legislaciones internas algún tipo de instituto jurídico con las características centrales de la inimputabilidad penal. En los sistemas del </w:t>
      </w:r>
      <w:r w:rsidRPr="00597337">
        <w:rPr>
          <w:i/>
        </w:rPr>
        <w:t>common law</w:t>
      </w:r>
      <w:r w:rsidRPr="00597337">
        <w:t xml:space="preserve"> se lo suele denominar como “insanity defense”. En el derecho español se encuentra regulado principalmente por el artículo 20(1)(3) del Código Penal. </w:t>
      </w:r>
    </w:p>
  </w:footnote>
  <w:footnote w:id="691">
    <w:p w:rsidR="00887731" w:rsidRPr="00597337" w:rsidRDefault="00887731" w:rsidP="004551E9">
      <w:pPr>
        <w:pStyle w:val="Pie"/>
      </w:pPr>
      <w:r w:rsidRPr="00597337">
        <w:rPr>
          <w:rStyle w:val="Refdenotaalpie"/>
        </w:rPr>
        <w:footnoteRef/>
      </w:r>
      <w:r w:rsidRPr="00597337">
        <w:t xml:space="preserve"> Por ejemplo la Ley de Enjuiciamiento Criminal de España, señala en el artículo 381 que: “Si el Juez advirtiese en el procesado indicios de enajenación mental, le someterá inmediatamente a la observación de los Médicos forenses en el establecimiento en que estuviese preso, o en otro público si fuere más a propósito o estuviese en libertad…”</w:t>
      </w:r>
    </w:p>
  </w:footnote>
  <w:footnote w:id="692">
    <w:p w:rsidR="00887731" w:rsidRPr="00562DB8" w:rsidRDefault="00887731" w:rsidP="004551E9">
      <w:pPr>
        <w:pStyle w:val="Pie"/>
        <w:rPr>
          <w:lang w:val="en-US"/>
        </w:rPr>
      </w:pPr>
      <w:r w:rsidRPr="00597337">
        <w:rPr>
          <w:rStyle w:val="Refdenotaalpie"/>
        </w:rPr>
        <w:footnoteRef/>
      </w:r>
      <w:r w:rsidRPr="00562DB8">
        <w:rPr>
          <w:lang w:val="en-US"/>
        </w:rPr>
        <w:t xml:space="preserve"> […while the CRPD has had an immediate impact in “</w:t>
      </w:r>
      <w:proofErr w:type="spellStart"/>
      <w:r w:rsidRPr="00562DB8">
        <w:rPr>
          <w:lang w:val="en-US"/>
        </w:rPr>
        <w:t>reconceptualising</w:t>
      </w:r>
      <w:proofErr w:type="spellEnd"/>
      <w:r w:rsidRPr="00562DB8">
        <w:rPr>
          <w:lang w:val="en-US"/>
        </w:rPr>
        <w:t xml:space="preserve"> disability as a human rights issue” the implications of the Convention remain unclear in respect of persons with disabilities embroiled in the criminal justice system.   After all the issues faced by this category of persons are not the same as the issues faced by persons with disabilities facing barriers to employment or access to justice in the civil context.  The commission or alleged commission of criminal offences has consequences that can legitimately mandate punishment and restrict liberty and indeed go beyond that in terms of policies that address the perceived dangerousness and risk of offenders with mental health problems….] </w:t>
      </w:r>
      <w:r w:rsidRPr="00562DB8">
        <w:rPr>
          <w:caps/>
          <w:lang w:val="en-US"/>
        </w:rPr>
        <w:t>O’Mahony, C., (2012)</w:t>
      </w:r>
      <w:r w:rsidRPr="00562DB8">
        <w:rPr>
          <w:lang w:val="en-US"/>
        </w:rPr>
        <w:t xml:space="preserve"> “The United Nations Convention on the Rights of Persons with Disabilities and the Abolition of the Insanity </w:t>
      </w:r>
      <w:proofErr w:type="spellStart"/>
      <w:r w:rsidRPr="00562DB8">
        <w:rPr>
          <w:lang w:val="en-US"/>
        </w:rPr>
        <w:t>Defence</w:t>
      </w:r>
      <w:proofErr w:type="spellEnd"/>
      <w:r w:rsidRPr="00562DB8">
        <w:rPr>
          <w:lang w:val="en-US"/>
        </w:rPr>
        <w:t>”, Berkley</w:t>
      </w:r>
    </w:p>
  </w:footnote>
  <w:footnote w:id="693">
    <w:p w:rsidR="00887731" w:rsidRPr="00597337" w:rsidRDefault="00887731" w:rsidP="004551E9">
      <w:pPr>
        <w:pStyle w:val="Pie"/>
      </w:pPr>
      <w:r w:rsidRPr="00597337">
        <w:rPr>
          <w:rStyle w:val="Refdenotaalpie"/>
        </w:rPr>
        <w:footnoteRef/>
      </w:r>
      <w:r w:rsidRPr="00597337">
        <w:t xml:space="preserve"> En este sentido el Comité de la ONU sobre los Derechos de las Personas con Discapacidad ha señalado en las Directrices relativas al documento específico sobre la Convención que deben presentar los Estados partes con arreglo al párrafo 1 del artículo 35 de la Convención sobre los derechos de las personas con discapacidad”, que en relación con el artículo 13 que: […Este artículo asegura que las personas con discapacidad disfruten del derecho a la libertad y la seguridad personal y no sean privadas de su libertad ilegal o arbitrariamente, en razón de la existencia de una discapacidad. Los Estados partes informarán sobre: • Las medidas adoptadas por el Estado Parte para asegurar que todas las personas con cualquier tipo de discapacidad disfruten del derecho a la libertad y la seguridad de la persona y que nadie sea privado de su libertad en razón de su discapacidad; • Las medidas adoptadas para abolir toda legislación que permita la institucionalización o privación de la libertad de todas las personas con cualquier tipo de discapacidad; •Las medidas legislativas y de otra índole adoptadas para asegurar que se ofrezcan a las personas con discapacidad que han sido privadas de su libertad los ajustes razonables necesarios, y se beneficien de las mismas garantías procesales que el resto de las personas para que puedan disfrutar plenamente de los demás derechos humanos…] CRPD/C/2/3, 18 de noviembre de 2009</w:t>
      </w:r>
    </w:p>
  </w:footnote>
  <w:footnote w:id="694">
    <w:p w:rsidR="00887731" w:rsidRPr="00597337" w:rsidRDefault="00887731" w:rsidP="004551E9">
      <w:pPr>
        <w:pStyle w:val="Pie"/>
      </w:pPr>
      <w:r w:rsidRPr="00597337">
        <w:rPr>
          <w:rStyle w:val="Refdenotaalpie"/>
        </w:rPr>
        <w:footnoteRef/>
      </w:r>
      <w:r w:rsidRPr="00597337">
        <w:t xml:space="preserve"> Por una descripción de los regímenes de internamiento domésticos véase: Informe del Secretario General, Progresos realizados para velar por el pleno reconocimiento y el disfrute de los derechos humanos de las personas con discapacidad, A/58/181, 24 de julio de 2003, párrafos 31-33.</w:t>
      </w:r>
    </w:p>
  </w:footnote>
  <w:footnote w:id="695">
    <w:p w:rsidR="00887731" w:rsidRPr="00FA2503" w:rsidRDefault="00887731" w:rsidP="004551E9">
      <w:pPr>
        <w:pStyle w:val="Textonotapie"/>
      </w:pPr>
      <w:r w:rsidRPr="00597337">
        <w:rPr>
          <w:rStyle w:val="Refdenotaalpie"/>
        </w:rPr>
        <w:footnoteRef/>
      </w:r>
      <w:r w:rsidRPr="00597337">
        <w:t xml:space="preserve"> </w:t>
      </w:r>
      <w:r w:rsidRPr="00FA2503">
        <w:t>En la Observación General Nº 1 el CteCDPD señala que: […El respeto del derecho a la capacidad jurídica de las personas con discapacidad en igualdad de condiciones con los demás incluye el respeto de su derecho a la libertad y a la seguridad de la persona. La negación de la capacidad jurídica a las personas con discapacidad y su privación de libertad en instituciones contra su voluntad, sin su consentimiento o con el consentimiento del sustituto en la adopción de decisiones, es un problema habitual. Esa práctica constituye una privación arbitraria de la libertad y viola los artículos 12 y 14 de la Convención. Los Estados partes deben eliminar esas prácticas y establecer un mecanismo para examinar los casos en que se haya internado a personas con discapacidad en un entorno institucional sin su consentimiento expreso…] Observación general Nº 1 (2014), Artículo 12: Igual reconocimiento como persona ante la ley, CRPD/C/GC/1, 19 de mayo de 2014, párrafo 40.</w:t>
      </w:r>
    </w:p>
  </w:footnote>
  <w:footnote w:id="696">
    <w:p w:rsidR="00887731" w:rsidRPr="00597337" w:rsidRDefault="00887731" w:rsidP="004551E9">
      <w:pPr>
        <w:pStyle w:val="Pie"/>
      </w:pPr>
      <w:r w:rsidRPr="00597337">
        <w:rPr>
          <w:rStyle w:val="Refdenotaalpie"/>
        </w:rPr>
        <w:footnoteRef/>
      </w:r>
      <w:r w:rsidRPr="00597337">
        <w:t xml:space="preserve"> Por una análisis de la afectación del derecho a la libertad desde una perspectiva del derecho a la salud véase: Informe del Relator Especial sobre el derecho de toda persona al disfrute del más alto nivel posible de salud física y mental, Sr. Paul Hunt, E/CN.4/2005/51, 14 de febrero de 2005, párrafos 38-41.</w:t>
      </w:r>
    </w:p>
  </w:footnote>
  <w:footnote w:id="697">
    <w:p w:rsidR="00887731" w:rsidRPr="00597337" w:rsidRDefault="00887731" w:rsidP="004551E9">
      <w:pPr>
        <w:pStyle w:val="Pie"/>
      </w:pPr>
      <w:r w:rsidRPr="00597337">
        <w:rPr>
          <w:rStyle w:val="Refdenotaalpie"/>
        </w:rPr>
        <w:footnoteRef/>
      </w:r>
      <w:r w:rsidRPr="00597337">
        <w:t xml:space="preserve"> Véase en este punto lo señalado en el Capítulo 3 (3.6.1). </w:t>
      </w:r>
    </w:p>
  </w:footnote>
  <w:footnote w:id="698">
    <w:p w:rsidR="00887731" w:rsidRPr="00597337" w:rsidRDefault="00887731" w:rsidP="004551E9">
      <w:pPr>
        <w:pStyle w:val="Pie"/>
      </w:pPr>
      <w:r w:rsidRPr="00597337">
        <w:rPr>
          <w:rStyle w:val="Refdenotaalpie"/>
        </w:rPr>
        <w:footnoteRef/>
      </w:r>
      <w:r w:rsidRPr="004551E9">
        <w:rPr>
          <w:lang w:val="en-US"/>
        </w:rPr>
        <w:t xml:space="preserve"> </w:t>
      </w:r>
      <w:proofErr w:type="spellStart"/>
      <w:r w:rsidRPr="004551E9">
        <w:rPr>
          <w:lang w:val="en-US"/>
        </w:rPr>
        <w:t>Véase</w:t>
      </w:r>
      <w:proofErr w:type="spellEnd"/>
      <w:r w:rsidRPr="004551E9">
        <w:rPr>
          <w:lang w:val="en-US"/>
        </w:rPr>
        <w:t xml:space="preserve"> International Disability Alliance’s Forum for the Convention on the Rights of Persons with Disabilities, Contribution to the Office of the United Nations High Commissioner for Human Rights’ thematic study to enhance awareness and understanding of the Convention on the Rights of Persons with Disabilities, focusing on legal measures key for the ratification and effective implementation of the Convention, Geneva, September 15th 2008, 2.3. </w:t>
      </w:r>
      <w:r w:rsidRPr="00597337">
        <w:t xml:space="preserve">Disponible en: </w:t>
      </w:r>
      <w:hyperlink r:id="rId32" w:history="1">
        <w:r w:rsidRPr="00597337">
          <w:rPr>
            <w:rStyle w:val="Hipervnculo"/>
          </w:rPr>
          <w:t>http://www.internationaldisabilityalliance.org/sites/disalliance.e-presentaciones.net/files/public/files/IDA-CRPD-Forum-submission-to-the-OHCHR-thematic-study-September-15.doc</w:t>
        </w:r>
      </w:hyperlink>
      <w:r w:rsidRPr="00597337">
        <w:t xml:space="preserve"> </w:t>
      </w:r>
    </w:p>
  </w:footnote>
  <w:footnote w:id="699">
    <w:p w:rsidR="00887731" w:rsidRPr="00597337" w:rsidRDefault="00887731" w:rsidP="004551E9">
      <w:pPr>
        <w:pStyle w:val="Pie"/>
      </w:pPr>
      <w:r w:rsidRPr="00597337">
        <w:rPr>
          <w:rStyle w:val="Refdenotaalpie"/>
        </w:rPr>
        <w:footnoteRef/>
      </w:r>
      <w:r w:rsidRPr="00597337">
        <w:t xml:space="preserve"> Véase en este sentido los informes elaboradoras por las siguientes organizaciones: Mental </w:t>
      </w:r>
      <w:proofErr w:type="spellStart"/>
      <w:r w:rsidRPr="00597337">
        <w:t>Disability</w:t>
      </w:r>
      <w:proofErr w:type="spellEnd"/>
      <w:r w:rsidRPr="00597337">
        <w:t xml:space="preserve"> </w:t>
      </w:r>
      <w:proofErr w:type="spellStart"/>
      <w:r w:rsidRPr="00597337">
        <w:t>Advocacy</w:t>
      </w:r>
      <w:proofErr w:type="spellEnd"/>
      <w:r w:rsidRPr="00597337">
        <w:t xml:space="preserve"> Center: </w:t>
      </w:r>
      <w:hyperlink r:id="rId33" w:history="1">
        <w:r w:rsidRPr="00597337">
          <w:rPr>
            <w:rStyle w:val="Hipervnculo"/>
          </w:rPr>
          <w:t>http://www.mdac.info</w:t>
        </w:r>
      </w:hyperlink>
      <w:r w:rsidRPr="00597337">
        <w:t xml:space="preserve">; </w:t>
      </w:r>
      <w:proofErr w:type="spellStart"/>
      <w:r w:rsidRPr="00597337">
        <w:t>Disability</w:t>
      </w:r>
      <w:proofErr w:type="spellEnd"/>
      <w:r w:rsidRPr="00597337">
        <w:t xml:space="preserve"> </w:t>
      </w:r>
      <w:proofErr w:type="spellStart"/>
      <w:r w:rsidRPr="00597337">
        <w:t>Rights</w:t>
      </w:r>
      <w:proofErr w:type="spellEnd"/>
      <w:r w:rsidRPr="00597337">
        <w:t xml:space="preserve"> International: </w:t>
      </w:r>
      <w:hyperlink r:id="rId34" w:history="1">
        <w:r w:rsidRPr="00597337">
          <w:rPr>
            <w:rStyle w:val="Hipervnculo"/>
          </w:rPr>
          <w:t>http://www.mdri.org</w:t>
        </w:r>
      </w:hyperlink>
      <w:r w:rsidRPr="00597337">
        <w:t xml:space="preserve">; </w:t>
      </w:r>
      <w:proofErr w:type="spellStart"/>
      <w:r w:rsidRPr="00597337">
        <w:t>Human</w:t>
      </w:r>
      <w:proofErr w:type="spellEnd"/>
      <w:r w:rsidRPr="00597337">
        <w:t xml:space="preserve"> </w:t>
      </w:r>
      <w:proofErr w:type="spellStart"/>
      <w:r w:rsidRPr="00597337">
        <w:t>Rights</w:t>
      </w:r>
      <w:proofErr w:type="spellEnd"/>
      <w:r w:rsidRPr="00597337">
        <w:t xml:space="preserve"> </w:t>
      </w:r>
      <w:proofErr w:type="spellStart"/>
      <w:r w:rsidRPr="00597337">
        <w:t>Watch</w:t>
      </w:r>
      <w:proofErr w:type="spellEnd"/>
      <w:r w:rsidRPr="00597337">
        <w:t xml:space="preserve">: </w:t>
      </w:r>
      <w:hyperlink r:id="rId35" w:history="1">
        <w:r w:rsidRPr="00597337">
          <w:rPr>
            <w:rStyle w:val="Hipervnculo"/>
          </w:rPr>
          <w:t>http://www.hrw.org/es</w:t>
        </w:r>
      </w:hyperlink>
      <w:r w:rsidRPr="00597337">
        <w:t xml:space="preserve"> </w:t>
      </w:r>
    </w:p>
  </w:footnote>
  <w:footnote w:id="700">
    <w:p w:rsidR="00887731" w:rsidRPr="00597337" w:rsidRDefault="00887731" w:rsidP="004551E9">
      <w:pPr>
        <w:pStyle w:val="Pie"/>
      </w:pPr>
      <w:r w:rsidRPr="00597337">
        <w:rPr>
          <w:rStyle w:val="Refdenotaalpie"/>
        </w:rPr>
        <w:footnoteRef/>
      </w:r>
      <w:r w:rsidRPr="00597337">
        <w:t xml:space="preserve"> Véase </w:t>
      </w:r>
      <w:r w:rsidRPr="00597337">
        <w:rPr>
          <w:caps/>
        </w:rPr>
        <w:t>Ferreirós Marcos, M. E.,</w:t>
      </w:r>
      <w:r w:rsidRPr="00597337">
        <w:t xml:space="preserve"> (2007), Salud mental y derechos humanos: la cuestión del tratamiento ambulatorio involuntario, Colección CERMI nº 27; Cinca, Madrid. </w:t>
      </w:r>
    </w:p>
  </w:footnote>
  <w:footnote w:id="701">
    <w:p w:rsidR="00887731" w:rsidRPr="00597337" w:rsidRDefault="00887731" w:rsidP="004551E9">
      <w:pPr>
        <w:pStyle w:val="Pie"/>
      </w:pPr>
      <w:r w:rsidRPr="00597337">
        <w:rPr>
          <w:rStyle w:val="Refdenotaalpie"/>
        </w:rPr>
        <w:footnoteRef/>
      </w:r>
      <w:r w:rsidRPr="00562DB8">
        <w:rPr>
          <w:lang w:val="en-US"/>
        </w:rPr>
        <w:t xml:space="preserve"> </w:t>
      </w:r>
      <w:proofErr w:type="spellStart"/>
      <w:r w:rsidRPr="00562DB8">
        <w:rPr>
          <w:lang w:val="en-US"/>
        </w:rPr>
        <w:t>Véase</w:t>
      </w:r>
      <w:proofErr w:type="spellEnd"/>
      <w:r w:rsidRPr="00562DB8">
        <w:rPr>
          <w:lang w:val="en-US"/>
        </w:rPr>
        <w:t xml:space="preserve"> Implementation Manual for the United Nations Convention on the Rights of Persons with Disabilities, World Network of Users and Survivors of Psychiatry, February 2008. </w:t>
      </w:r>
      <w:r w:rsidRPr="00597337">
        <w:t xml:space="preserve">Disponible en: </w:t>
      </w:r>
      <w:hyperlink r:id="rId36" w:history="1">
        <w:r w:rsidRPr="00597337">
          <w:rPr>
            <w:rStyle w:val="Hipervnculo"/>
          </w:rPr>
          <w:t>http://wnusp.rafus.dk/documents/WNUSP_CRPD_Manual.pdf</w:t>
        </w:r>
      </w:hyperlink>
    </w:p>
  </w:footnote>
  <w:footnote w:id="702">
    <w:p w:rsidR="00887731" w:rsidRPr="00597337" w:rsidRDefault="00887731" w:rsidP="004551E9">
      <w:pPr>
        <w:pStyle w:val="Pie"/>
      </w:pPr>
      <w:r w:rsidRPr="00597337">
        <w:rPr>
          <w:rStyle w:val="Refdenotaalpie"/>
        </w:rPr>
        <w:footnoteRef/>
      </w:r>
      <w:r w:rsidRPr="00597337">
        <w:t xml:space="preserve"> En este sentido las Observaciones del Comité de la ONU sobre Discapacidad respecto de los informes remitidos por los Estados Parte en cumplimiento de lo establecido en el artículo 35 de la CDPD resultan concluyentes: Respecto del Informe de Túnez el Comité ha dicho: […24. En relación con el artículo 14 de la Convención, preocupa al Comité que el hecho de padecer una discapacidad, intelectual o psicosocial por ejemplo, pueda constituir motivo para la privación de libertad en virtud de la legislación vigente. 25. El Comité recomienda que el Estado Parte derogue las disposiciones legislativas que autorizan la privación de la libertad en razón de la discapacidad, incluso de carácter psicosocial o intelectual. El Comité recomienda además que, hasta que se promulgue una nueva legislación, todos los casos de personas con discapacidad que sean privadas de su libertad sean sometidos a revisión y que esta incluya la posibilidad de apelar…], CRPD/C/TUN/CO/1, 13 de mayo de 2011; Respecto de España, el Comité ha señalado: […35. El Comité toma nota del régimen jurídico que permite el internamiento de las personas con discapacidad, incluidas las personas con discapacidad intelectual y psicosocial ("enfermedad mental"), en establecimientos especiales. Le preocupa que, según se informa, se tienda a recurrir a medidas urgentes de internamiento que contienen solo salvaguardias ex post facto para las personas afectadas. Le inquietan igualmente los malos tratos de que, según se informa, son objeto las personas con discapacidad internadas en centros residenciales o en hospitales psiquiátricos. 36. El Comité recomienda al Estado Parte que revise sus disposiciones legislativas que autorizan la privación de libertad por motivos de discapacidad, incluidas las discapacidades mentales, psicológicas o intelectuales; que derogue las disposiciones que autorizan el internamiento forzoso a causa de una incapacidad manifiesta o diagnosticada, y que adopte medidas para que los servicios médicos, incluyendo todos los servicios relacionados con la salud mental, se basen en el consentimiento otorgado con conocimiento de causa por el interesado.…] CRPD/C/ESP/CO/1, 19 de octubre de 2011; Respecto de Perú el Comité ha señalado:  […28.</w:t>
      </w:r>
      <w:r w:rsidRPr="00597337">
        <w:tab/>
        <w:t>El Comité toma nota con preocupación de que el artículo 11 de la Ley general de salud Nº 26842 del Estado Parte permite el internamiento forzoso de personas aquejadas de "problemas de salud mental", término que incluye a personas con discapacidad psicosocial, así como a personas con "discapacidad percibida" (personas con dependencia de los estupefacientes o el alcohol). 29. El Comité exhorta al Estado Parte a que derogue la Ley Nº 29737 por la que se modifica el artículo 11 de la Ley general de salud con el fin de prohibir la privación de libertad de una persona en razón de su discapacidad, incluida la discapacidad psicosocial, intelectual o percibida..…] CRPD/C/PER/CO/1, 20 April 2012</w:t>
      </w:r>
    </w:p>
  </w:footnote>
  <w:footnote w:id="703">
    <w:p w:rsidR="00887731" w:rsidRPr="00597337" w:rsidRDefault="00887731" w:rsidP="004551E9">
      <w:pPr>
        <w:pStyle w:val="Pie"/>
      </w:pPr>
      <w:r w:rsidRPr="00597337">
        <w:rPr>
          <w:rStyle w:val="Refdenotaalpie"/>
        </w:rPr>
        <w:footnoteRef/>
      </w:r>
      <w:r w:rsidRPr="00597337">
        <w:t xml:space="preserve"> Examen de los informes presentados por los estados partes con arreglo al artículo 40 del Pacto, Observaciones finales del Comité de Derechos Humanos: Bélgica: […19. Al Comité le sigue preocupando la práctica de ingresar a enfermos mentales en las prisiones y los pabellones psiquiátricos de las cárceles belgas, y el largo período de espera que se les impone antes de su transferencia a los establecimientos de asistencia social (EDS) (arts. 7, 9 y 10). El Estado Parte debería, tal como recomendó el Comité en sus anteriores observaciones finales, tratar de poner fin a  la práctica de la detención de enfermos mentales en las prisiones y los pabellones psiquiátricos. Debería igualmente aumentar el número de plazas de internamiento en los establecimientos de defensa social y mejorar las condiciones de vida de los enfermos...] CCPR/C/BEL/CO/5, 18 de noviembre de 2010. Argentina: […24. Preocupa al Comité la información recibida respeto a las deficiencias en la atención de los usuarios de los servicios de salud mental, en particular en lo relativo al derecho a ser oídos y a gozar de asistencia jurídica en decisiones relativas a su internamiento (art. 26 del Pacto). El Estado Parte debe tomar medidas con miras a proteger los derechos de estas personas de conformidad con el Pacto, y de adecuar la legislación y práctica a los estándares internacionales relativos a los derechos de las personas con discapacidad…] CCPR/C/ARG/CO/4, 31 de marzo de 2010; Noruega: […10. Al Comité le preocupan los informes sobre el uso excesivo de fuerza coercitiva con pacientes psiquiátricos y los deficientes mecanismos de las comisiones de control para vigilar las instituciones de atención de la salud mental (arts. 7, 9 y 10). El Estado Parte debe tomar disposiciones concretas para poner fin al uso injustificado de la fuerza coercitiva y las medidas de restricción de la libertad con los pacientes psiquiátricos. A este respecto, debe garantizar que toda decisión de emplear fuerza coercitiva o medidas de restricción de la  libertad irá precedida  de una evaluación médica detenida y profesional que establezca el nivel  de la fuerza coercitiva o la restricción que deba aplicarse al paciente. Además, el Estado Parte debe reforzar su sistema de vigilancia y presentación de informes sobre las instituciones de atención de la salud mental para impedir los abusos…] CCPR/C/NOR/CO/6, 18 de noviembre de 2011. Adicionalmente también se han efectuado observaciones similares en relación con la Federación Rusa, CCPR/C/RUS/CO/6, 24 de noviembre de 2009, párrafo 19, o respecto de Croacia, CCPR/C/HRV/CO/2, 4 de noviembre de 2009, párrafo 12.</w:t>
      </w:r>
    </w:p>
  </w:footnote>
  <w:footnote w:id="704">
    <w:p w:rsidR="00887731" w:rsidRPr="00A1509C" w:rsidRDefault="00887731" w:rsidP="004551E9">
      <w:pPr>
        <w:pStyle w:val="Pie"/>
        <w:rPr>
          <w:lang w:val="pt-BR"/>
        </w:rPr>
      </w:pPr>
      <w:r w:rsidRPr="00597337">
        <w:rPr>
          <w:rStyle w:val="Refdenotaalpie"/>
        </w:rPr>
        <w:footnoteRef/>
      </w:r>
      <w:r w:rsidRPr="00562DB8">
        <w:rPr>
          <w:lang w:val="en-US"/>
        </w:rPr>
        <w:t xml:space="preserve"> </w:t>
      </w:r>
      <w:proofErr w:type="spellStart"/>
      <w:r w:rsidRPr="00562DB8">
        <w:rPr>
          <w:lang w:val="en-US"/>
        </w:rPr>
        <w:t>Concretamente</w:t>
      </w:r>
      <w:proofErr w:type="spellEnd"/>
      <w:r w:rsidRPr="00562DB8">
        <w:rPr>
          <w:lang w:val="en-US"/>
        </w:rPr>
        <w:t xml:space="preserve"> el TEDH ha </w:t>
      </w:r>
      <w:proofErr w:type="spellStart"/>
      <w:r w:rsidRPr="00562DB8">
        <w:rPr>
          <w:lang w:val="en-US"/>
        </w:rPr>
        <w:t>dicho</w:t>
      </w:r>
      <w:proofErr w:type="spellEnd"/>
      <w:r w:rsidRPr="00562DB8">
        <w:rPr>
          <w:lang w:val="en-US"/>
        </w:rPr>
        <w:t xml:space="preserve">: […The Court observes at the outset that it is unnecessary in the present case to determine whether, in general terms, any placement of a legally incapacitated person in a social care institution constitutes a “deprivation of liberty” within the meaning of Article 5 § 1…] </w:t>
      </w:r>
      <w:r w:rsidRPr="00597337">
        <w:t xml:space="preserve">TEDH, </w:t>
      </w:r>
      <w:proofErr w:type="spellStart"/>
      <w:r w:rsidRPr="00597337">
        <w:t>Stanev</w:t>
      </w:r>
      <w:proofErr w:type="spellEnd"/>
      <w:r w:rsidRPr="00597337">
        <w:t xml:space="preserve"> v. Bulgaria, Sentencia de 17 de enero de 2012, Aplicación no. 36760/06, para. </w:t>
      </w:r>
      <w:r w:rsidRPr="00A1509C">
        <w:rPr>
          <w:lang w:val="pt-BR"/>
        </w:rPr>
        <w:t>121.</w:t>
      </w:r>
    </w:p>
  </w:footnote>
  <w:footnote w:id="705">
    <w:p w:rsidR="00887731" w:rsidRPr="00597337" w:rsidRDefault="00887731" w:rsidP="004551E9">
      <w:pPr>
        <w:pStyle w:val="Pie"/>
      </w:pPr>
      <w:r w:rsidRPr="00597337">
        <w:rPr>
          <w:rStyle w:val="Refdenotaalpie"/>
        </w:rPr>
        <w:footnoteRef/>
      </w:r>
      <w:r w:rsidRPr="00597337">
        <w:t xml:space="preserve"> </w:t>
      </w:r>
      <w:proofErr w:type="spellStart"/>
      <w:r w:rsidRPr="00597337">
        <w:t>Idem</w:t>
      </w:r>
      <w:proofErr w:type="spellEnd"/>
      <w:r w:rsidRPr="00597337">
        <w:t>. paras. 124-129.</w:t>
      </w:r>
    </w:p>
  </w:footnote>
  <w:footnote w:id="706">
    <w:p w:rsidR="00887731" w:rsidRPr="00597337" w:rsidRDefault="00887731" w:rsidP="004551E9">
      <w:pPr>
        <w:pStyle w:val="Pie"/>
      </w:pPr>
      <w:r w:rsidRPr="00597337">
        <w:rPr>
          <w:rStyle w:val="Refdenotaalpie"/>
        </w:rPr>
        <w:footnoteRef/>
      </w:r>
      <w:r w:rsidRPr="00597337">
        <w:t xml:space="preserve"> Idem, para.130.</w:t>
      </w:r>
    </w:p>
  </w:footnote>
  <w:footnote w:id="707">
    <w:p w:rsidR="00887731" w:rsidRPr="00597337" w:rsidRDefault="00887731" w:rsidP="004551E9">
      <w:pPr>
        <w:pStyle w:val="Pie"/>
      </w:pPr>
      <w:r w:rsidRPr="00597337">
        <w:rPr>
          <w:rStyle w:val="Refdenotaalpie"/>
        </w:rPr>
        <w:footnoteRef/>
      </w:r>
      <w:r w:rsidRPr="00597337">
        <w:t xml:space="preserve"> </w:t>
      </w:r>
      <w:proofErr w:type="spellStart"/>
      <w:r w:rsidRPr="00597337">
        <w:t>Idem</w:t>
      </w:r>
      <w:proofErr w:type="spellEnd"/>
      <w:r w:rsidRPr="00597337">
        <w:t>. para. 130.</w:t>
      </w:r>
    </w:p>
  </w:footnote>
  <w:footnote w:id="708">
    <w:p w:rsidR="00887731" w:rsidRPr="00597337" w:rsidRDefault="00887731" w:rsidP="004551E9">
      <w:pPr>
        <w:pStyle w:val="Pie"/>
      </w:pPr>
      <w:r w:rsidRPr="00597337">
        <w:rPr>
          <w:rStyle w:val="Refdenotaalpie"/>
        </w:rPr>
        <w:footnoteRef/>
      </w:r>
      <w:r w:rsidRPr="00597337">
        <w:t xml:space="preserve"> Idem. 145.</w:t>
      </w:r>
    </w:p>
  </w:footnote>
  <w:footnote w:id="709">
    <w:p w:rsidR="00887731" w:rsidRPr="00597337" w:rsidRDefault="00887731" w:rsidP="004551E9">
      <w:pPr>
        <w:pStyle w:val="Pie"/>
      </w:pPr>
      <w:r w:rsidRPr="00597337">
        <w:rPr>
          <w:rStyle w:val="Refdenotaalpie"/>
        </w:rPr>
        <w:footnoteRef/>
      </w:r>
      <w:r w:rsidRPr="00597337">
        <w:rPr>
          <w:lang w:val="pt-BR"/>
        </w:rPr>
        <w:t xml:space="preserve"> </w:t>
      </w:r>
      <w:proofErr w:type="spellStart"/>
      <w:r w:rsidRPr="00597337">
        <w:rPr>
          <w:lang w:val="pt-BR"/>
        </w:rPr>
        <w:t>Comité</w:t>
      </w:r>
      <w:proofErr w:type="spellEnd"/>
      <w:r w:rsidRPr="00597337">
        <w:rPr>
          <w:lang w:val="pt-BR"/>
        </w:rPr>
        <w:t xml:space="preserve"> de </w:t>
      </w:r>
      <w:proofErr w:type="spellStart"/>
      <w:r w:rsidRPr="00597337">
        <w:rPr>
          <w:lang w:val="pt-BR"/>
        </w:rPr>
        <w:t>Derechos</w:t>
      </w:r>
      <w:proofErr w:type="spellEnd"/>
      <w:r w:rsidRPr="00597337">
        <w:rPr>
          <w:lang w:val="pt-BR"/>
        </w:rPr>
        <w:t xml:space="preserve"> Humanos. </w:t>
      </w:r>
      <w:r w:rsidRPr="00597337">
        <w:rPr>
          <w:lang w:eastAsia="es-ES"/>
        </w:rPr>
        <w:t xml:space="preserve">Bozena Fijalkowska Vs. Polonia. </w:t>
      </w:r>
      <w:r w:rsidRPr="00597337">
        <w:rPr>
          <w:bCs/>
          <w:lang w:eastAsia="es-ES"/>
        </w:rPr>
        <w:t xml:space="preserve">Comunicación No 1061/2002. </w:t>
      </w:r>
      <w:r w:rsidRPr="00597337">
        <w:rPr>
          <w:lang w:eastAsia="es-ES"/>
        </w:rPr>
        <w:t xml:space="preserve">4 de agosto de 2005. párr. 8.3; </w:t>
      </w:r>
      <w:r w:rsidRPr="00597337">
        <w:rPr>
          <w:iCs/>
          <w:lang w:eastAsia="es-ES"/>
        </w:rPr>
        <w:t>A. Vs. Nueva Zelanda.</w:t>
      </w:r>
      <w:r w:rsidRPr="00597337">
        <w:rPr>
          <w:lang w:eastAsia="es-ES"/>
        </w:rPr>
        <w:t xml:space="preserve"> Comunicación No 754/1997. 15 de julio de 1999.</w:t>
      </w:r>
    </w:p>
  </w:footnote>
  <w:footnote w:id="710">
    <w:p w:rsidR="00887731" w:rsidRPr="00597337" w:rsidRDefault="00887731" w:rsidP="004551E9">
      <w:pPr>
        <w:pStyle w:val="Pie"/>
      </w:pPr>
      <w:r w:rsidRPr="00597337">
        <w:rPr>
          <w:rStyle w:val="Refdenotaalpie"/>
        </w:rPr>
        <w:footnoteRef/>
      </w:r>
      <w:r w:rsidRPr="00597337">
        <w:t xml:space="preserve"> Pensemos por ejemplo en los Principios para la protección de los enfermos mentales y el mejoramiento de la atención de la salud mental, que en el principio 16 establece que: […1. Una persona sólo podrá ser admitida como paciente involuntario en una institución psiquiátrica o ser retenida como paciente involuntario en una institución psiquiátrica a la que ya hubiera sido admitida como paciente voluntario cuando un médico calificado y autorizado por ley a esos efectos determine, de conformidad con el principio 4 supra, que esa persona padece una enfermedad mental y considere: a) Que debido a esa enfermedad mental existe un riesgo grave de daño inmediato o inminente para esa persona o para terceros; o b) Que, en el caso de una persona cuya enfermedad mental sea grave y cuya capacidad de juicio esté afectada, el hecho de que no se la admita o retenga puede llevar a un deterioro considerable de su condición o impedir que se le proporcione un tratamiento adecuado que sólo puede aplicarse si se admite al paciente en una institución psiquiátrica de conformidad con el principio de la opción menos restrictiva. En el caso a que se refiere el apartado b del presente párrafo, se debe consultar en lo posible a un segundo profesional de salud mental, independiente del primero. De realizarse esa consulta, la admisión o la retención involuntaria no tendrá lugar a menos que el segundo profesional convenga en ello…] .G. res. 46/119, 46 U.N. GAOR Supp. (No. 49) p. 189, ONU Doc. A/46/49 (1991). En este sentido véase el documento de posición sobre estos principios adoptado por la Red Mundial de Usuarios y Supervivientes de la Psiquiatría, disponible en: </w:t>
      </w:r>
      <w:hyperlink r:id="rId37" w:history="1">
        <w:r w:rsidRPr="00597337">
          <w:rPr>
            <w:rStyle w:val="Hipervnculo"/>
          </w:rPr>
          <w:t>http://wnusp.rafus.dk/pdf/position-paper-on-principles-for-the-protection-of-persons-with-mental-illness.pdf</w:t>
        </w:r>
      </w:hyperlink>
    </w:p>
  </w:footnote>
  <w:footnote w:id="711">
    <w:p w:rsidR="00887731" w:rsidRPr="00597337" w:rsidRDefault="00887731" w:rsidP="004551E9">
      <w:pPr>
        <w:pStyle w:val="Pie"/>
      </w:pPr>
      <w:r w:rsidRPr="00597337">
        <w:rPr>
          <w:rStyle w:val="Refdenotaalpie"/>
        </w:rPr>
        <w:footnoteRef/>
      </w:r>
      <w:r w:rsidRPr="00597337">
        <w:t xml:space="preserve"> Adicionalmente ha sostenido que: […Deben abolirse las normas que autorizan el internamiento en una institución de las personas con discapacidad en razón de ésta y sin su consentimiento libre e informado.  Ello debe incluir la derogación de las disposiciones que autorizan el internamiento de las personas con discapacidad para su atención y tratamiento sin su consentimiento libre e informado, así como las que autorizan la privación preventiva de libertad de las personas con discapacidad por motivos tales como la posibilidad de que puedan ponerse en peligro a sí mismas o a otros, en todos los casos en que los motivos de la atención, el tratamiento y la seguridad pública estén vinculados en la legislación a una enfermedad mental aparente o diagnosticada.  Esto no debe interpretarse en el sentido de que las personas con discapacidad no puedan ser legalmente internadas para su atención y tratamiento o privadas preventivamente de libertad, sino que el fundamento jurídico que determina la restricción de libertad debe estar desvinculado de la discapacidad y definido sin referencia a ésta, de manera que se aplique a todas las personas en igualdad de condiciones…] </w:t>
      </w:r>
      <w:r w:rsidRPr="00597337">
        <w:rPr>
          <w:lang w:val="es-AR"/>
        </w:rPr>
        <w:t xml:space="preserve">Estudio temático preparado por la Oficina del Alto Comisionado de las Naciones Unidas para los Derechos Humanos para mejorar el conocimiento y la comprensión de la Convención sobre los derechos de las personas con discapacidad, A/HRC/10/48, 26 de enero de 2009, párrafos 48 y 49. </w:t>
      </w:r>
    </w:p>
  </w:footnote>
  <w:footnote w:id="712">
    <w:p w:rsidR="00887731" w:rsidRPr="00597337" w:rsidRDefault="00887731" w:rsidP="004551E9">
      <w:pPr>
        <w:pStyle w:val="Pie"/>
      </w:pPr>
      <w:r w:rsidRPr="00597337">
        <w:rPr>
          <w:rStyle w:val="Refdenotaalpie"/>
        </w:rPr>
        <w:footnoteRef/>
      </w:r>
      <w:r w:rsidRPr="00597337">
        <w:t xml:space="preserve"> Véase Vidas arrasadas: (2007) La segregación de las personas en los asilos psiquiátricos argentinos, Mental </w:t>
      </w:r>
      <w:proofErr w:type="spellStart"/>
      <w:r w:rsidRPr="00597337">
        <w:t>Disability</w:t>
      </w:r>
      <w:proofErr w:type="spellEnd"/>
      <w:r w:rsidRPr="00597337">
        <w:t xml:space="preserve"> </w:t>
      </w:r>
      <w:proofErr w:type="spellStart"/>
      <w:r w:rsidRPr="00597337">
        <w:t>Rights</w:t>
      </w:r>
      <w:proofErr w:type="spellEnd"/>
      <w:r w:rsidRPr="00597337">
        <w:t xml:space="preserve"> International y Centro de Estudios Legales y Sociales, disponible en: </w:t>
      </w:r>
      <w:hyperlink r:id="rId38" w:history="1">
        <w:r w:rsidRPr="00597337">
          <w:rPr>
            <w:rStyle w:val="Hipervnculo"/>
          </w:rPr>
          <w:t>http://www.cels.org.ar/common/documentos/mdri_cels.pdf</w:t>
        </w:r>
      </w:hyperlink>
    </w:p>
  </w:footnote>
  <w:footnote w:id="713">
    <w:p w:rsidR="00887731" w:rsidRPr="00597337" w:rsidRDefault="00887731" w:rsidP="004551E9">
      <w:pPr>
        <w:pStyle w:val="Pie"/>
      </w:pPr>
      <w:r w:rsidRPr="00597337">
        <w:rPr>
          <w:rStyle w:val="Refdenotaalpie"/>
        </w:rPr>
        <w:footnoteRef/>
      </w:r>
      <w:r w:rsidRPr="00597337">
        <w:t xml:space="preserve"> En este sentido el Comité de la ONU sobre los Derechos de las Personas con Discapacidad ha señalado en las Directrices relativas al documento específico sobre la Convención que deben presentar los Estados partes con arreglo al párrafo 1 del artículo 35 de la Convención sobre los derechos de las personas con discapacidad”, que en relación con el artículo 19 que: […Este artículo reconoce el derecho de las personas con discapacidad a vivir en forma independiente y a participar en la comunidad. Los Estados partes informarán sobre: • La existencia de sistemas de vida independiente, incluida la posibilidad de disponer de asistentes personales, en el caso de quienes los requieran; • La existencia de servicios de apoyo domiciliarios que permitan a las personas con discapacidad poder vivir en su comunidad; • La existencia y diversidad de opciones en materia de servicios residenciales que permitan diversas fórmulas de vida, incluyendo viviendas compartidas y protegidas que tengan en cuenta el tipo de discapacidad; • El grado de accesibilidad de las personas con discapacidad a los servicios e instalaciones comunitarias de que dispone la población en general…] CRPD/C/2/3, 18 de noviembre de 2009</w:t>
      </w:r>
    </w:p>
  </w:footnote>
  <w:footnote w:id="714">
    <w:p w:rsidR="00887731" w:rsidRPr="00597337" w:rsidRDefault="00887731" w:rsidP="004551E9">
      <w:pPr>
        <w:pStyle w:val="Pie"/>
      </w:pPr>
      <w:r w:rsidRPr="00597337">
        <w:rPr>
          <w:rStyle w:val="Refdenotaalpie"/>
        </w:rPr>
        <w:footnoteRef/>
      </w:r>
      <w:r w:rsidRPr="00597337">
        <w:t xml:space="preserve"> España es un claro ejemplo de ello, a través de la Ley 39/2006, de 14 de diciembre, de Promoción de la Autonomía Personal y Atención a las personas en situación de dependencia. </w:t>
      </w:r>
    </w:p>
  </w:footnote>
  <w:footnote w:id="715">
    <w:p w:rsidR="00887731" w:rsidRPr="00D20B0E" w:rsidRDefault="00887731" w:rsidP="004551E9">
      <w:pPr>
        <w:pStyle w:val="Textonotapie"/>
      </w:pPr>
      <w:r w:rsidRPr="00597337">
        <w:rPr>
          <w:rStyle w:val="Refdenotaalpie"/>
        </w:rPr>
        <w:footnoteRef/>
      </w:r>
      <w:r w:rsidRPr="00597337">
        <w:t xml:space="preserve"> </w:t>
      </w:r>
      <w:r w:rsidRPr="00D20B0E">
        <w:t>En la Observación General Nº 1 el CteCDPD señala que: […La segregación de las personas con discapacidad en instituciones sigue siendo un problema generalizado e insidioso que viola varios de los derechos garantizados en la Convención (…) A fin de cumplir lo dispuesto en la Convención y respetar los derechos humanos de las personas con discapacidad, se debe proceder a la desinstitucionalización, y todas las personas con discapacidad deben recobrar la capacidad jurídica y poder elegir dónde y con quién vivir (art. 19). La elección que haga la persona de dónde y con quién vivir no debe afectar a su derecho a acceder al apoyo en el ejercicio de su capacidad jurídica…] Observación general Nº 1 (2014), Artículo 12: Igual reconocimiento como persona ante la ley, CRPD/C/GC/1, 19 de mayo de 2014, párrafo 46.</w:t>
      </w:r>
    </w:p>
  </w:footnote>
  <w:footnote w:id="716">
    <w:p w:rsidR="00887731" w:rsidRPr="00597337" w:rsidRDefault="00887731" w:rsidP="004551E9">
      <w:pPr>
        <w:pStyle w:val="Pie"/>
      </w:pPr>
      <w:r w:rsidRPr="00597337">
        <w:rPr>
          <w:rStyle w:val="Refdenotaalpie"/>
        </w:rPr>
        <w:footnoteRef/>
      </w:r>
      <w:r w:rsidRPr="00597337">
        <w:t xml:space="preserve"> Estudio temático preparado por la Oficina del Alto Comisionado de las Naciones Unidas para los Derechos Humanos para mejorar el conocimiento y la comprensión de la Convención sobre los derechos de las personas con discapacidad, A/HRC/10/48, 26 de enero de 2009, párrafo 50.</w:t>
      </w:r>
    </w:p>
  </w:footnote>
  <w:footnote w:id="717">
    <w:p w:rsidR="00887731" w:rsidRPr="00D20B0E" w:rsidRDefault="00887731" w:rsidP="004551E9">
      <w:pPr>
        <w:pStyle w:val="Pie"/>
      </w:pPr>
      <w:r w:rsidRPr="00597337">
        <w:rPr>
          <w:rStyle w:val="Refdenotaalpie"/>
        </w:rPr>
        <w:footnoteRef/>
      </w:r>
      <w:r w:rsidRPr="00D20B0E">
        <w:t xml:space="preserve"> </w:t>
      </w:r>
      <w:proofErr w:type="spellStart"/>
      <w:r w:rsidRPr="00D20B0E">
        <w:t>Idem</w:t>
      </w:r>
      <w:proofErr w:type="spellEnd"/>
      <w:r w:rsidRPr="00D20B0E">
        <w:t xml:space="preserve">, párrafo 51. </w:t>
      </w:r>
    </w:p>
  </w:footnote>
  <w:footnote w:id="718">
    <w:p w:rsidR="00887731" w:rsidRPr="00D20B0E" w:rsidRDefault="00887731" w:rsidP="004551E9">
      <w:pPr>
        <w:pStyle w:val="Textonotapie"/>
      </w:pPr>
      <w:r w:rsidRPr="00597337">
        <w:rPr>
          <w:rStyle w:val="Refdenotaalpie"/>
        </w:rPr>
        <w:footnoteRef/>
      </w:r>
      <w:r w:rsidRPr="00D20B0E">
        <w:t xml:space="preserve"> En la Observación General Nº 1 el CteCDPD señala que: […La interpretación del artículo 12, párrafo 3, a la luz del derecho a vivir en la comunidad (art. 19) supone que el apoyo en el ejercicio de la capacidad jurídica debe proporcionarse mediante un enfoque basado en la comunidad…] Observación general Nº 1 (2014), Artículo 12: Igual reconocimiento como persona ante la ley, CRPD/C/GC/1, 19 de mayo de 2014, párrafo 45.</w:t>
      </w:r>
    </w:p>
  </w:footnote>
  <w:footnote w:id="719">
    <w:p w:rsidR="00887731" w:rsidRPr="00597337" w:rsidRDefault="00887731" w:rsidP="004551E9">
      <w:pPr>
        <w:pStyle w:val="Pie"/>
      </w:pPr>
      <w:r w:rsidRPr="00597337">
        <w:rPr>
          <w:rStyle w:val="Refdenotaalpie"/>
        </w:rPr>
        <w:footnoteRef/>
      </w:r>
      <w:r w:rsidRPr="00597337">
        <w:t xml:space="preserve"> Véase MINKOWITZ, T., (2012), “No discriminación, capacidad jurídica y derecho a no ser sometido a tratamiento médico obligatorio”, en BARIFFI F. &amp; PALACIOS A., (coord.), op. cit., pp.527-550. </w:t>
      </w:r>
    </w:p>
  </w:footnote>
  <w:footnote w:id="720">
    <w:p w:rsidR="00887731" w:rsidRPr="007F3223" w:rsidRDefault="00887731" w:rsidP="004551E9">
      <w:pPr>
        <w:pStyle w:val="Pie"/>
      </w:pPr>
      <w:r w:rsidRPr="00597337">
        <w:rPr>
          <w:rStyle w:val="Refdenotaalpie"/>
        </w:rPr>
        <w:footnoteRef/>
      </w:r>
      <w:r w:rsidRPr="00597337">
        <w:t xml:space="preserve"> Sin perjuicio de lo señalado es necesario aclara que la cuestión del internamiento forzoso y la posible privación ilegítima de la libertad, también ha sido abordada desde el marco jurídico de protección contra la tortura. Por ejemplo el Relator Juan Méndez señala que: […Como la reclusión en un contexto psiquiátrico puede dar lugar a un tratamiento psiquiátrico no consentido, el titular del mandato declaró que la privación de libertad basada en la existencia de una discapacidad podría infligir también una pena o un sufrimiento graves a la persona, con lo que entraría en el ámbito de aplicación de la Convención contra la Tortura (A/63/175, párr. 65). Al hacer esa evaluación deberían tenerse en cuenta factores como el temor y la ansiedad producidos por la detención por tiempo indefinido, la administración forzosa de medicamentos o de electrochoque, la inmovilización y la reclusión, y la separación de la familia y la comunidad, entre otras cosas…] </w:t>
      </w:r>
      <w:r w:rsidRPr="007F3223">
        <w:t>A/HRC/22/23, 1 de febrero de 2013, párrafo 69.</w:t>
      </w:r>
    </w:p>
  </w:footnote>
  <w:footnote w:id="721">
    <w:p w:rsidR="00887731" w:rsidRPr="00D20B0E" w:rsidRDefault="00887731" w:rsidP="004551E9">
      <w:pPr>
        <w:pStyle w:val="Textonotapie"/>
      </w:pPr>
      <w:r w:rsidRPr="00597337">
        <w:rPr>
          <w:rStyle w:val="Refdenotaalpie"/>
        </w:rPr>
        <w:footnoteRef/>
      </w:r>
      <w:r w:rsidRPr="00D20B0E">
        <w:t xml:space="preserve"> En la Observación General Nº 1 el CteCDPD señala que: […Como ha afirmado el Comité en varias observaciones finales, el tratamiento forzoso por parte de profesionales de la psiquiatría y otros profesionales de la salud y la medicina es una violación del derecho al igual reconocimiento como persona ante la ley y una infracción del derecho a la integridad personal (art. 17), el derecho a la protección contra la tortura (art. 15) y el derecho a la protección contra la violencia, la explotación y el abuso (art. 16). Esa práctica niega la capacidad jurídica de una persona de elegir el tratamiento médico que ha de recibir y por lo tanto constituye una violación del artículo 12 de la Convención…] Observación general Nº 1 (2014), Artículo 12: Igual reconocimiento como persona ante la ley, CRPD/C/GC/1, 19 de mayo de 2014, párrafo 42.</w:t>
      </w:r>
    </w:p>
  </w:footnote>
  <w:footnote w:id="722">
    <w:p w:rsidR="00887731" w:rsidRPr="00597337" w:rsidRDefault="00887731" w:rsidP="004551E9">
      <w:pPr>
        <w:pStyle w:val="Pie"/>
      </w:pPr>
      <w:r w:rsidRPr="00597337">
        <w:rPr>
          <w:rStyle w:val="Refdenotaalpie"/>
        </w:rPr>
        <w:footnoteRef/>
      </w:r>
      <w:r w:rsidRPr="00597337">
        <w:t xml:space="preserve"> Véase Informe provisional del Relator Especial sobre la cuestión de la tortura y otros tratos o penas crueles, inhumanos o degradantes, A/63/175, 28 de julio de 2008, párrafos 52-54, y CIADH, Caso </w:t>
      </w:r>
      <w:proofErr w:type="spellStart"/>
      <w:r w:rsidRPr="00597337">
        <w:t>Ximenes</w:t>
      </w:r>
      <w:proofErr w:type="spellEnd"/>
      <w:r w:rsidRPr="00597337">
        <w:t xml:space="preserve"> </w:t>
      </w:r>
      <w:proofErr w:type="spellStart"/>
      <w:r w:rsidRPr="00597337">
        <w:t>Lopes</w:t>
      </w:r>
      <w:proofErr w:type="spellEnd"/>
      <w:r w:rsidRPr="00597337">
        <w:t xml:space="preserve"> Vs. Brasil. Sentencia de 4 de julio de 2006. Serie C No. 149, párrafos 132-150.</w:t>
      </w:r>
    </w:p>
  </w:footnote>
  <w:footnote w:id="723">
    <w:p w:rsidR="00887731" w:rsidRPr="00597337" w:rsidRDefault="00887731" w:rsidP="004551E9">
      <w:pPr>
        <w:pStyle w:val="Pie"/>
      </w:pPr>
      <w:r w:rsidRPr="00597337">
        <w:rPr>
          <w:rStyle w:val="Refdenotaalpie"/>
        </w:rPr>
        <w:footnoteRef/>
      </w:r>
      <w:r w:rsidRPr="00597337">
        <w:t xml:space="preserve"> Comienza el Relator sosteniendo que […40. Las personas con discapacidad son sometidas a experimentos médicos y tratamientos médicos alteradores e irreversibles sin su consentimiento (por ejemplo, esterilizaciones, abortos e intervenciones encaminadas a corregir o aliviar una discapacidad, como el electrochoque y la administración de fármacos psicotrópicos, en particular los neurolépticos).  </w:t>
      </w:r>
    </w:p>
    <w:p w:rsidR="00887731" w:rsidRPr="00597337" w:rsidRDefault="00887731" w:rsidP="004551E9">
      <w:pPr>
        <w:pStyle w:val="Pie"/>
      </w:pPr>
      <w:r w:rsidRPr="00597337">
        <w:t xml:space="preserve">41. Preocupa al Relator Especial que en muchos casos esas intervenciones, cuando se practican en personas con discapacidad, pasen inadvertidas o se justifiquen y  no se las considere una forma de tortura u otros tratos o penas crueles, inhumanos o degradantes. Tras la reciente entrada en vigor de la Convención sobre los derechos de las personas con discapacidad y su Protocolo Facultativo, sería  oportuno examinar el marco contra la tortura en relación con las personas con discapacidad…] Informe provisional del Relator Especial sobre la cuestión de la tortura y otros tratos o penas crueles, inhumanos o degradantes, A/63/175, 28 de julio de 2008. </w:t>
      </w:r>
    </w:p>
  </w:footnote>
  <w:footnote w:id="724">
    <w:p w:rsidR="00887731" w:rsidRPr="00597337" w:rsidRDefault="00887731" w:rsidP="004551E9">
      <w:pPr>
        <w:pStyle w:val="Pie"/>
      </w:pPr>
      <w:r w:rsidRPr="00597337">
        <w:rPr>
          <w:rStyle w:val="Refdenotaalpie"/>
        </w:rPr>
        <w:footnoteRef/>
      </w:r>
      <w:r w:rsidRPr="00597337">
        <w:t xml:space="preserve"> </w:t>
      </w:r>
      <w:proofErr w:type="spellStart"/>
      <w:r w:rsidRPr="00597337">
        <w:t>Idem</w:t>
      </w:r>
      <w:proofErr w:type="spellEnd"/>
      <w:r w:rsidRPr="00597337">
        <w:t>, párrafo, 44.</w:t>
      </w:r>
    </w:p>
  </w:footnote>
  <w:footnote w:id="725">
    <w:p w:rsidR="00887731" w:rsidRPr="00597337" w:rsidRDefault="00887731" w:rsidP="004551E9">
      <w:pPr>
        <w:pStyle w:val="Pie"/>
      </w:pPr>
      <w:r w:rsidRPr="00597337">
        <w:rPr>
          <w:rStyle w:val="Refdenotaalpie"/>
        </w:rPr>
        <w:footnoteRef/>
      </w:r>
      <w:r w:rsidRPr="00597337">
        <w:t xml:space="preserve"> </w:t>
      </w:r>
      <w:proofErr w:type="spellStart"/>
      <w:r w:rsidRPr="00597337">
        <w:t>Idem</w:t>
      </w:r>
      <w:proofErr w:type="spellEnd"/>
      <w:r w:rsidRPr="00597337">
        <w:t>, párrafos 55-69.</w:t>
      </w:r>
    </w:p>
  </w:footnote>
  <w:footnote w:id="726">
    <w:p w:rsidR="00887731" w:rsidRPr="00B05B9B" w:rsidRDefault="00887731" w:rsidP="004551E9">
      <w:pPr>
        <w:pStyle w:val="Pie"/>
      </w:pPr>
      <w:r w:rsidRPr="00597337">
        <w:rPr>
          <w:rStyle w:val="Refdenotaalpie"/>
        </w:rPr>
        <w:footnoteRef/>
      </w:r>
      <w:r w:rsidRPr="00B05B9B">
        <w:t xml:space="preserve"> A/HRC/22/53, 1 de febrero de 2013, párrafo 61.</w:t>
      </w:r>
    </w:p>
  </w:footnote>
  <w:footnote w:id="727">
    <w:p w:rsidR="00887731" w:rsidRPr="00597337" w:rsidRDefault="00887731" w:rsidP="004551E9">
      <w:pPr>
        <w:pStyle w:val="Pie"/>
      </w:pPr>
      <w:r w:rsidRPr="00597337">
        <w:rPr>
          <w:rStyle w:val="Refdenotaalpie"/>
        </w:rPr>
        <w:footnoteRef/>
      </w:r>
      <w:r w:rsidRPr="00597337">
        <w:t xml:space="preserve"> Idem, párrafo 35.</w:t>
      </w:r>
    </w:p>
  </w:footnote>
  <w:footnote w:id="728">
    <w:p w:rsidR="00887731" w:rsidRPr="00597337" w:rsidRDefault="00887731" w:rsidP="004551E9">
      <w:pPr>
        <w:pStyle w:val="Pie"/>
      </w:pPr>
      <w:r w:rsidRPr="00597337">
        <w:rPr>
          <w:rStyle w:val="Refdenotaalpie"/>
        </w:rPr>
        <w:footnoteRef/>
      </w:r>
      <w:r w:rsidRPr="00597337">
        <w:t xml:space="preserve"> Idem, párrafo 64.</w:t>
      </w:r>
    </w:p>
  </w:footnote>
  <w:footnote w:id="729">
    <w:p w:rsidR="00887731" w:rsidRPr="00597337" w:rsidRDefault="00887731" w:rsidP="004551E9">
      <w:pPr>
        <w:pStyle w:val="Pie"/>
      </w:pPr>
      <w:r w:rsidRPr="00597337">
        <w:rPr>
          <w:rStyle w:val="Refdenotaalpie"/>
        </w:rPr>
        <w:footnoteRef/>
      </w:r>
      <w:r w:rsidRPr="00597337">
        <w:t xml:space="preserve"> En este sentido las Observaciones del Comité de la ONU sobre Discapacidad respecto de los informes remitidos por los Estados Parte en cumplimiento de lo establecido en el artículo 35 de la CDPD resultan concluyentes: Respecto del Informe de Perú</w:t>
      </w:r>
      <w:proofErr w:type="gramStart"/>
      <w:r w:rsidRPr="00597337">
        <w:t>:  [</w:t>
      </w:r>
      <w:proofErr w:type="gramEnd"/>
      <w:r w:rsidRPr="00597337">
        <w:t>...30. El Comité expresa su preocupación por las numerosas informaciones sobre el recurso continuado a la ingesta forzada de medicamentos, incluidos los neurolépticos, y las precarias condiciones materiales de las instituciones psiquiátricas, como el Hospital Larco Herrera, donde algunas personas han estado internadas durante más de diez años sin recibir servicios de rehabilitación adecuados. 31. El Comité insta al Estado Parte a que investigue sin demora las denuncias de tratos crueles, inhumanos o degradantes en instituciones psiquiátricas, examine exhaustivamente la legalidad del internamiento de pacientes en esas instituciones, y establezca servicios de tratamiento de salud mental voluntarios, con el fin de que las personas con discapacidad puedan ser incluidas en la comunidad y abandonar las instituciones donde estén internadas...] CRPD/C/PER/CO/1, 20 April 2012; Respecto de China: [...27. Por lo que se refiere a las personas con una discapacidad intelectual y psicosocial real o percibida internadas involuntariamente en instituciones, preocupa al Comité que la "terapia correctiva" impartida en las instituciones psiquiátricas constituya un trato inhumano y degradante. Además, el Comité está preocupado por que la legislación china no prohíbe todos los ensayos médicos sin consentimiento libre e informado. 28. El Comité insta al Estado Parte a que renuncie a su política de someter a las personas con discapacidad real o percibida a este tipo de terapias y se abstenga de internarlas en instituciones en contra de su voluntad. Insta además al Estado Parte a que derogue las leyes que permitan los ensayos médicos con personas con discapacidad sin su consentimiento libre e informado...] CRPD/C/CHN/CO/1, 15 de octubre de 2012; Respecto de Hungría: [...29. Preocupa al Comité que la Ley Nº CLIV de atención de la salud, de 1997, establezca un marco jurídico que permite someter a las personas con discapacidad cuya capacidad jurídica esté limitada a experimentos médicos sin su consentimiento libre e informado, dado que pueden autorizarlo sus tutores legales. El Comité también observa con preocupación que no existe ningún órgano médico independiente al que se confíe el mandato de examinar las presuntas víctimas de tortura y garantizar el respeto de la dignidad humana durante los exámenes médicos, como ha señalado el Comité de Derechos Humanos (CCPR/C/HUN/CO/5). 30. El Comité insta al Estado Parte a que modifique la Ley Nº CLIV de atención de la salud y a que derogue las disposiciones de esta que establecen un marco jurídico que permite someter a las personas con discapacidad cuya capacidad jurídica esté limitada a experimentos médicos sin su consentimiento libre e informado. Asimismo, le recomienda que aplique la recomendación hecha por el Comité de Derechos Humanos en 2010 (CCPR/C/HUN/CO/5) de establecer "un órgano médico independiente al que se confíe el mandato de examinar a las pretendidas víctimas de tortura y garantizar el respeto de la dignidad humana durante los exámenes médicos"...] CRPD/C/HUN/CO/1, 22 de octubre de 2012.</w:t>
      </w:r>
    </w:p>
  </w:footnote>
  <w:footnote w:id="730">
    <w:p w:rsidR="00887731" w:rsidRPr="00597337" w:rsidRDefault="00887731" w:rsidP="004551E9">
      <w:pPr>
        <w:pStyle w:val="Pie"/>
      </w:pPr>
      <w:r w:rsidRPr="00597337">
        <w:rPr>
          <w:rStyle w:val="Refdenotaalpie"/>
        </w:rPr>
        <w:footnoteRef/>
      </w:r>
      <w:r w:rsidRPr="00597337">
        <w:t xml:space="preserve"> Véase en este punto lo señalado en el Capítulo 3 (3.7.2)</w:t>
      </w:r>
    </w:p>
  </w:footnote>
  <w:footnote w:id="731">
    <w:p w:rsidR="00887731" w:rsidRPr="00597337" w:rsidRDefault="00887731" w:rsidP="004551E9">
      <w:pPr>
        <w:pStyle w:val="Pie"/>
      </w:pPr>
      <w:r w:rsidRPr="00597337">
        <w:rPr>
          <w:rStyle w:val="Refdenotaalpie"/>
        </w:rPr>
        <w:footnoteRef/>
      </w:r>
      <w:r w:rsidRPr="00597337">
        <w:t xml:space="preserve"> No solo respecto de la Convención Internacional con la Tortura y otros tratados sino también Protocolo Facultativo de la Convención contra la Tortura y Otros Tratos o Penas Crueles, Inhumanos o Degradantes.</w:t>
      </w:r>
    </w:p>
  </w:footnote>
  <w:footnote w:id="732">
    <w:p w:rsidR="00887731" w:rsidRPr="00597337" w:rsidRDefault="00887731" w:rsidP="004551E9">
      <w:pPr>
        <w:pStyle w:val="Pie"/>
      </w:pPr>
      <w:r w:rsidRPr="00597337">
        <w:rPr>
          <w:rStyle w:val="Refdenotaalpie"/>
        </w:rPr>
        <w:footnoteRef/>
      </w:r>
      <w:r w:rsidRPr="00597337">
        <w:t xml:space="preserve"> Por ejemplo la Ley Nacional de Salud Mental de Argentina (nº 26.657) señala en su artículo 29 que “A los efectos de garantizar los derechos humanos de las personas en su relación con los servicios de salud mental, los integrantes, profesionales y no profesionales del equipo de salud son responsables de informar al órgano de revisión creado por la presente ley y al juez competente, sobre cualquier sospecha de irregularidad que implicara un trato indigno o inhumano a personas bajo tratamiento o limitación indebida de su autonomía. La sola comunicación a un superior jerárquico dentro de la institución no relevará al equipo de salud de tal responsabilidad si la situación irregular persistiera. Dicho procedimiento se podrá realizar bajo reserva de identidad y contará con las garantías debidas del resguardo a su fuente laboral y no será considerado como violación al secreto profesional”. </w:t>
      </w:r>
    </w:p>
  </w:footnote>
  <w:footnote w:id="733">
    <w:p w:rsidR="00887731" w:rsidRPr="007F3223" w:rsidRDefault="00887731" w:rsidP="004551E9">
      <w:pPr>
        <w:pStyle w:val="Pie"/>
      </w:pPr>
      <w:r w:rsidRPr="00597337">
        <w:rPr>
          <w:rStyle w:val="Refdenotaalpie"/>
        </w:rPr>
        <w:footnoteRef/>
      </w:r>
      <w:r w:rsidRPr="00597337">
        <w:t xml:space="preserve"> Como ha señalado el Relator contra la Tortura Juan Méndez; […Tal como reconoció el Relator Especial sobre el derecho a la salud, si bien los ordenamientos jurídicos nacionales consagran el consentimiento informado, este con frecuencia corre peligro en el entorno de la atención de salud. Las desigualdades estructurales, como el desequilibrio en las relaciones de poder entre médicos y pacientes, agravadas por el estigma y la discriminación, hacen que personas de determinados grupos se vean, de forma desproporcionada, en la tesitura de no poder ejercer su derecho al consentimiento informado…] </w:t>
      </w:r>
      <w:r w:rsidRPr="007F3223">
        <w:t>A/HRC/22/53, 1 de febrero de 2013, párrafo 29.</w:t>
      </w:r>
    </w:p>
  </w:footnote>
  <w:footnote w:id="734">
    <w:p w:rsidR="00887731" w:rsidRPr="00D20B0E" w:rsidRDefault="00887731" w:rsidP="004551E9">
      <w:pPr>
        <w:pStyle w:val="Textonotapie"/>
      </w:pPr>
      <w:r w:rsidRPr="00597337">
        <w:rPr>
          <w:rStyle w:val="Refdenotaalpie"/>
        </w:rPr>
        <w:footnoteRef/>
      </w:r>
      <w:r w:rsidRPr="00D20B0E">
        <w:t xml:space="preserve"> En la Observación General Nº 1 el CteCDPD señala que: […El Comité recomienda que los Estados partes velen por que las decisiones relativas a la integridad física o mental de una persona solo se puedan adoptar con el consentimiento libre e informado de la persona en cuestión…] Observación general Nº 1 (2014), Artículo 12: Igual reconocimiento como persona ante la ley, CRPD/C/GC/1, 19 de mayo de 2014, párrafo 42.</w:t>
      </w:r>
    </w:p>
  </w:footnote>
  <w:footnote w:id="735">
    <w:p w:rsidR="00887731" w:rsidRPr="00597337" w:rsidRDefault="00887731" w:rsidP="004551E9">
      <w:pPr>
        <w:pStyle w:val="Pie"/>
      </w:pPr>
      <w:r w:rsidRPr="00597337">
        <w:rPr>
          <w:rStyle w:val="Refdenotaalpie"/>
        </w:rPr>
        <w:footnoteRef/>
      </w:r>
      <w:r w:rsidRPr="00597337">
        <w:t xml:space="preserve"> Pensemos por ejemplo en casos de emergencia sanitaria, pero también en casos individuales donde el Estado considera necesario forzar a una persona a someterse a un tratamiento médico determinado.</w:t>
      </w:r>
    </w:p>
  </w:footnote>
  <w:footnote w:id="736">
    <w:p w:rsidR="00887731" w:rsidRPr="004551E9" w:rsidRDefault="00887731" w:rsidP="004551E9">
      <w:pPr>
        <w:pStyle w:val="Pie"/>
        <w:rPr>
          <w:lang w:val="en-US"/>
        </w:rPr>
      </w:pPr>
      <w:r w:rsidRPr="00597337">
        <w:rPr>
          <w:rStyle w:val="Refdenotaalpie"/>
        </w:rPr>
        <w:footnoteRef/>
      </w:r>
      <w:r w:rsidRPr="004551E9">
        <w:rPr>
          <w:lang w:val="en-US"/>
        </w:rPr>
        <w:t xml:space="preserve"> </w:t>
      </w:r>
      <w:proofErr w:type="spellStart"/>
      <w:r w:rsidRPr="004551E9">
        <w:rPr>
          <w:lang w:val="en-US"/>
        </w:rPr>
        <w:t>Véase</w:t>
      </w:r>
      <w:proofErr w:type="spellEnd"/>
      <w:r w:rsidRPr="004551E9">
        <w:rPr>
          <w:lang w:val="en-US"/>
        </w:rPr>
        <w:t xml:space="preserve"> en </w:t>
      </w:r>
      <w:proofErr w:type="spellStart"/>
      <w:r w:rsidRPr="004551E9">
        <w:rPr>
          <w:lang w:val="en-US"/>
        </w:rPr>
        <w:t>este</w:t>
      </w:r>
      <w:proofErr w:type="spellEnd"/>
      <w:r w:rsidRPr="004551E9">
        <w:rPr>
          <w:lang w:val="en-US"/>
        </w:rPr>
        <w:t xml:space="preserve"> </w:t>
      </w:r>
      <w:proofErr w:type="spellStart"/>
      <w:r w:rsidRPr="004551E9">
        <w:rPr>
          <w:lang w:val="en-US"/>
        </w:rPr>
        <w:t>sentido</w:t>
      </w:r>
      <w:proofErr w:type="spellEnd"/>
      <w:r w:rsidRPr="004551E9">
        <w:rPr>
          <w:lang w:val="en-US"/>
        </w:rPr>
        <w:t xml:space="preserve">: BARIFFI, F. &amp; SMITH, M., (2013) “Same Old Game but with Some New Players: Assessing the Impact of Argentina’s National Mental Health Law on </w:t>
      </w:r>
      <w:proofErr w:type="spellStart"/>
      <w:r w:rsidRPr="004551E9">
        <w:rPr>
          <w:lang w:val="en-US"/>
        </w:rPr>
        <w:t>Realising</w:t>
      </w:r>
      <w:proofErr w:type="spellEnd"/>
      <w:r w:rsidRPr="004551E9">
        <w:rPr>
          <w:lang w:val="en-US"/>
        </w:rPr>
        <w:t xml:space="preserve"> its Obligations under the U.N. Convention on the Rights of Persons with Disabilities in Regard to the Rights to Liberty and Legal Capacity”, </w:t>
      </w:r>
      <w:r w:rsidRPr="004551E9">
        <w:rPr>
          <w:i/>
          <w:lang w:val="en-US"/>
        </w:rPr>
        <w:t>Nordic Journal of Human Rights</w:t>
      </w:r>
      <w:r w:rsidRPr="004551E9">
        <w:rPr>
          <w:lang w:val="en-US"/>
        </w:rPr>
        <w:t>, Vol. 31(3).</w:t>
      </w:r>
    </w:p>
  </w:footnote>
  <w:footnote w:id="737">
    <w:p w:rsidR="00887731" w:rsidRPr="00597337" w:rsidRDefault="00887731" w:rsidP="004551E9">
      <w:pPr>
        <w:pStyle w:val="Pie"/>
      </w:pPr>
      <w:r w:rsidRPr="00597337">
        <w:rPr>
          <w:rStyle w:val="Refdenotaalpie"/>
        </w:rPr>
        <w:footnoteRef/>
      </w:r>
      <w:r w:rsidRPr="00597337">
        <w:t xml:space="preserve"> En este sentido el Comité de la ONU sobre los Derechos de las Personas con Discapacidad ha señalado en las Directrices relativas al documento específico sobre la Convención que deben presentar los Estados partes con arreglo al párrafo 1 del artículo 35 de la Convención sobre los derechos de las personas con discapacidad”, que en relación con el artículo 29 que: […Este artículo garantiza los derechos políticos de las personas con discapacidad. </w:t>
      </w:r>
      <w:r w:rsidRPr="00597337">
        <w:tab/>
        <w:t>Los Estados partes informarán sobre: • La legislación y las medidas de otra índole para garantizar a las personas con discapacidad, en particular las personas con discapacidad mental o intelectual, derechos políticos, incluyendo, si procede, las limitaciones existentes y las medidas adoptadas para superarlas;…] CRPD/C/2/3, 18 de noviembre de 2009.</w:t>
      </w:r>
    </w:p>
  </w:footnote>
  <w:footnote w:id="738">
    <w:p w:rsidR="00887731" w:rsidRPr="00597337" w:rsidRDefault="00887731" w:rsidP="004551E9">
      <w:pPr>
        <w:pStyle w:val="Pie"/>
      </w:pPr>
      <w:r w:rsidRPr="00597337">
        <w:rPr>
          <w:rStyle w:val="Refdenotaalpie"/>
        </w:rPr>
        <w:footnoteRef/>
      </w:r>
      <w:r w:rsidRPr="00597337">
        <w:t xml:space="preserve"> Véase en este sentido lo señalado por Agencia de los Derechos Fundamentales de la Unión Europea, “</w:t>
      </w:r>
      <w:proofErr w:type="spellStart"/>
      <w:r w:rsidRPr="00597337">
        <w:t>The</w:t>
      </w:r>
      <w:proofErr w:type="spellEnd"/>
      <w:r w:rsidRPr="00597337">
        <w:t xml:space="preserve"> </w:t>
      </w:r>
      <w:proofErr w:type="spellStart"/>
      <w:r w:rsidRPr="00597337">
        <w:t>Right</w:t>
      </w:r>
      <w:proofErr w:type="spellEnd"/>
      <w:r w:rsidRPr="00597337">
        <w:t xml:space="preserve"> </w:t>
      </w:r>
      <w:proofErr w:type="spellStart"/>
      <w:r w:rsidRPr="00597337">
        <w:t>to</w:t>
      </w:r>
      <w:proofErr w:type="spellEnd"/>
      <w:r w:rsidRPr="00597337">
        <w:t xml:space="preserve"> </w:t>
      </w:r>
      <w:proofErr w:type="spellStart"/>
      <w:r w:rsidRPr="00597337">
        <w:t>Political</w:t>
      </w:r>
      <w:proofErr w:type="spellEnd"/>
      <w:r w:rsidRPr="00597337">
        <w:t xml:space="preserve"> </w:t>
      </w:r>
      <w:proofErr w:type="spellStart"/>
      <w:r w:rsidRPr="00597337">
        <w:t>Participation</w:t>
      </w:r>
      <w:proofErr w:type="spellEnd"/>
      <w:r w:rsidRPr="00597337">
        <w:t xml:space="preserve"> </w:t>
      </w:r>
      <w:proofErr w:type="spellStart"/>
      <w:r w:rsidRPr="00597337">
        <w:t>for</w:t>
      </w:r>
      <w:proofErr w:type="spellEnd"/>
      <w:r w:rsidRPr="00597337">
        <w:t xml:space="preserve"> </w:t>
      </w:r>
      <w:proofErr w:type="spellStart"/>
      <w:r w:rsidRPr="00597337">
        <w:t>People</w:t>
      </w:r>
      <w:proofErr w:type="spellEnd"/>
      <w:r w:rsidRPr="00597337">
        <w:t xml:space="preserve"> </w:t>
      </w:r>
      <w:proofErr w:type="spellStart"/>
      <w:r w:rsidRPr="00597337">
        <w:t>with</w:t>
      </w:r>
      <w:proofErr w:type="spellEnd"/>
      <w:r w:rsidRPr="00597337">
        <w:t xml:space="preserve"> Mental </w:t>
      </w:r>
      <w:proofErr w:type="spellStart"/>
      <w:r w:rsidRPr="00597337">
        <w:t>Health</w:t>
      </w:r>
      <w:proofErr w:type="spellEnd"/>
      <w:r w:rsidRPr="00597337">
        <w:t xml:space="preserve"> </w:t>
      </w:r>
      <w:proofErr w:type="spellStart"/>
      <w:r w:rsidRPr="00597337">
        <w:t>Problems</w:t>
      </w:r>
      <w:proofErr w:type="spellEnd"/>
      <w:r w:rsidRPr="00597337">
        <w:t xml:space="preserve"> and </w:t>
      </w:r>
      <w:proofErr w:type="spellStart"/>
      <w:r w:rsidRPr="00597337">
        <w:t>Persons</w:t>
      </w:r>
      <w:proofErr w:type="spellEnd"/>
      <w:r w:rsidRPr="00597337">
        <w:t xml:space="preserve"> </w:t>
      </w:r>
      <w:proofErr w:type="spellStart"/>
      <w:r w:rsidRPr="00597337">
        <w:t>with</w:t>
      </w:r>
      <w:proofErr w:type="spellEnd"/>
      <w:r w:rsidRPr="00597337">
        <w:t xml:space="preserve"> </w:t>
      </w:r>
      <w:proofErr w:type="spellStart"/>
      <w:r w:rsidRPr="00597337">
        <w:t>Intellectual</w:t>
      </w:r>
      <w:proofErr w:type="spellEnd"/>
      <w:r w:rsidRPr="00597337">
        <w:t xml:space="preserve"> </w:t>
      </w:r>
      <w:proofErr w:type="spellStart"/>
      <w:r w:rsidRPr="00597337">
        <w:t>Disabilities</w:t>
      </w:r>
      <w:proofErr w:type="spellEnd"/>
      <w:r w:rsidRPr="00597337">
        <w:t xml:space="preserve">”, octubre de 2010, p. 15, disponible en: http://fra.europa.eu/fraWebsite/attachments/Report-vote-disability_EN.pdf </w:t>
      </w:r>
    </w:p>
  </w:footnote>
  <w:footnote w:id="739">
    <w:p w:rsidR="00887731" w:rsidRPr="00597337" w:rsidRDefault="00887731" w:rsidP="004551E9">
      <w:pPr>
        <w:pStyle w:val="Pie"/>
      </w:pPr>
      <w:r w:rsidRPr="00597337">
        <w:rPr>
          <w:rStyle w:val="Refdenotaalpie"/>
        </w:rPr>
        <w:footnoteRef/>
      </w:r>
      <w:r w:rsidRPr="00597337">
        <w:t xml:space="preserve"> Véase el informe: “Yo quiero ser una ciudadana como cualquier otra” Obstáculos para la participación política de personas con discapacidad en Perú, </w:t>
      </w:r>
      <w:proofErr w:type="spellStart"/>
      <w:r w:rsidRPr="00597337">
        <w:t>Human</w:t>
      </w:r>
      <w:proofErr w:type="spellEnd"/>
      <w:r w:rsidRPr="00597337">
        <w:t xml:space="preserve"> </w:t>
      </w:r>
      <w:proofErr w:type="spellStart"/>
      <w:r w:rsidRPr="00597337">
        <w:t>Rights</w:t>
      </w:r>
      <w:proofErr w:type="spellEnd"/>
      <w:r w:rsidRPr="00597337">
        <w:t xml:space="preserve"> </w:t>
      </w:r>
      <w:proofErr w:type="spellStart"/>
      <w:r w:rsidRPr="00597337">
        <w:t>Watch</w:t>
      </w:r>
      <w:proofErr w:type="spellEnd"/>
      <w:r w:rsidRPr="00597337">
        <w:t xml:space="preserve">, p. 46. Disponible en: </w:t>
      </w:r>
      <w:hyperlink r:id="rId39" w:history="1">
        <w:r w:rsidRPr="00597337">
          <w:rPr>
            <w:rStyle w:val="Hipervnculo"/>
          </w:rPr>
          <w:t>http://www.hrw.org/sites/default/files/reports/peru0512spForUpload_0.pdf</w:t>
        </w:r>
      </w:hyperlink>
    </w:p>
  </w:footnote>
  <w:footnote w:id="740">
    <w:p w:rsidR="00887731" w:rsidRPr="00597337" w:rsidRDefault="00887731" w:rsidP="004551E9">
      <w:pPr>
        <w:pStyle w:val="Pie"/>
      </w:pPr>
      <w:r w:rsidRPr="00597337">
        <w:rPr>
          <w:rStyle w:val="Refdenotaalpie"/>
        </w:rPr>
        <w:footnoteRef/>
      </w:r>
      <w:r w:rsidRPr="00597337">
        <w:t xml:space="preserve"> España se encontraría en un caso intermedio puesto que la sentencia de incapacidad puede pronunciarse expresamente sobre la cuestión del voto, cfr. Artículo 3, párrafo 1, incisos b y c.  Ley Orgánica 5/1985, de 19 de junio, del Régimen Electoral General.</w:t>
      </w:r>
    </w:p>
  </w:footnote>
  <w:footnote w:id="741">
    <w:p w:rsidR="00887731" w:rsidRPr="00597337" w:rsidRDefault="00887731" w:rsidP="004551E9">
      <w:pPr>
        <w:pStyle w:val="Pie"/>
      </w:pPr>
      <w:r w:rsidRPr="00597337">
        <w:rPr>
          <w:rStyle w:val="Refdenotaalpie"/>
        </w:rPr>
        <w:footnoteRef/>
      </w:r>
      <w:r w:rsidRPr="00597337">
        <w:t xml:space="preserve"> En este sentido el Comité de la ONU sobre los Derechos de las Personas con Discapacidad ha expresado su preocupación al estado peruano respecto de que: […El elevado número de casos de personas internadas en instituciones que no han podido ejercer su derecho de voto porque carecen de documentos de identidad, se les prohíbe salir de la institución, no disponen de asistencia especial o se encuentran a distancia del colegio electoral…], Observaciones del Comité de la ONU sobre Discapacidad respecto del informe remitido por el Estado Peruano en cumplimiento de lo establecido en el artículo 35 de la CDPD, ,CRPD/C/PER/CO/1, 20 Abril 2012, párrafo 44(c).</w:t>
      </w:r>
    </w:p>
  </w:footnote>
  <w:footnote w:id="742">
    <w:p w:rsidR="00887731" w:rsidRPr="00597337" w:rsidRDefault="00887731" w:rsidP="004551E9">
      <w:pPr>
        <w:pStyle w:val="Pie"/>
      </w:pPr>
      <w:r w:rsidRPr="00597337">
        <w:rPr>
          <w:rStyle w:val="Refdenotaalpie"/>
        </w:rPr>
        <w:footnoteRef/>
      </w:r>
      <w:r w:rsidRPr="00597337">
        <w:t xml:space="preserve"> Observación General No. 25, Comentarios generales adoptados por el Comité de los Derechos Humanos, Artículo 25 - La participación en los asuntos públicos y el derecho de voto, 57º período de sesiones, U.N. Doc. HRI/GEN/1/Rev.7 at 194 (1996), párrafo 4. </w:t>
      </w:r>
    </w:p>
  </w:footnote>
  <w:footnote w:id="743">
    <w:p w:rsidR="00887731" w:rsidRPr="00597337" w:rsidRDefault="00887731" w:rsidP="004551E9">
      <w:pPr>
        <w:pStyle w:val="Pie"/>
      </w:pPr>
      <w:r w:rsidRPr="00597337">
        <w:rPr>
          <w:rStyle w:val="Refdenotaalpie"/>
        </w:rPr>
        <w:footnoteRef/>
      </w:r>
      <w:r w:rsidRPr="00597337">
        <w:t xml:space="preserve"> Observaciones del Comité de la ONU sobre Discapacidad respecto del informe remitido por el Estado tunecino en cumplimiento de lo establecido en el artículo 35 de la CDPD, CRPD/C/TUN/CO/1, 13 de mayo de 2011, párrafo 35.</w:t>
      </w:r>
    </w:p>
  </w:footnote>
  <w:footnote w:id="744">
    <w:p w:rsidR="00887731" w:rsidRPr="007F3223" w:rsidRDefault="00887731" w:rsidP="004551E9">
      <w:pPr>
        <w:pStyle w:val="Pie"/>
      </w:pPr>
      <w:r w:rsidRPr="00597337">
        <w:rPr>
          <w:rStyle w:val="Refdenotaalpie"/>
        </w:rPr>
        <w:footnoteRef/>
      </w:r>
      <w:r w:rsidRPr="00597337">
        <w:t xml:space="preserve"> Observaciones del Comité de la ONU sobre Discapacidad respecto del informe remitido por el Estado Español en cumplimiento de lo establecido en el artículo 35 de la CDPD, </w:t>
      </w:r>
      <w:r w:rsidRPr="00597337">
        <w:rPr>
          <w:lang w:val="es-ES_tradnl"/>
        </w:rPr>
        <w:t>CRPD/C/ESP/CO/1, 19 de octubre de 2011, párrafo 47. Asimismo véase la preocupación expresada por el Comité de la ONU sobre los Derechos de las Personas con Discapacidad al estado peruano respecto de que: […</w:t>
      </w:r>
      <w:r w:rsidRPr="00597337">
        <w:t>El hecho de que las personas con discapacidad que hubieran sido objeto de interdicción judicial continúen sin poder ejercer su derecho de voto y de que aún no se haya inscrito en el registro electoral a todas las personas que fueron excluidas de él;</w:t>
      </w:r>
      <w:r w:rsidRPr="00597337">
        <w:rPr>
          <w:lang w:val="es-ES_tradnl"/>
        </w:rPr>
        <w:t xml:space="preserve"> …], Observaciones del Comité de la ONU sobre Discapacidad respecto del informe remitido por el Estado Peruano en cumplimiento de lo establecido en el artículo 35 de la CDPD, ,CRPD/C/PER/CO/1, 20 Abril 2012, párrafo 44(a). Similares observaciones se han formulado respecto de Argentina, CRPD/C/ARG/CO/1, 19 de octubre de 2012, párrafo 47; China, CRPD/C/CHN/CO/1, 15 de octubre de 2012, párrafo 45; Hungría, CRPD/C/HUN/CO/1, </w:t>
      </w:r>
      <w:r w:rsidRPr="00597337">
        <w:t xml:space="preserve">22 de octubre de 2012, párrafo 45; y Paraguay, CRPD/C/PRY/CO/1, 15 de mayo  de 2013, párrafo 61. </w:t>
      </w:r>
      <w:r>
        <w:t>En la Observación General Nº 1 el CteCDPD señala que: […La negación o la limitación de la capacidad jurídica han sido utilizadas para negar la participación política, especialmente el derecho de voto, a determinadas personas con discapacidad. Para hacer plenamente efectivo el reconocimiento de la capacidad jurídica en igualdad de condiciones en todos los aspectos de la vida, es importante que se reconozca la capacidad jurídica de las personas con discapacidad en la vida pública y política (art. 29). Esto significa que la capacidad de adoptar decisiones no puede justificar que se excluya a las personas con discapacidad del ejercicio de los derechos políticos, incluidos el derecho de voto, el derecho a presentarse como candidatas en las elecciones y el derecho a ser miembros de un jurado…]</w:t>
      </w:r>
      <w:r w:rsidRPr="00CC0623">
        <w:t xml:space="preserve"> </w:t>
      </w:r>
      <w:r>
        <w:t xml:space="preserve">Observación general Nº 1 (2014), Artículo 12: Igual reconocimiento como persona ante la ley, </w:t>
      </w:r>
      <w:r w:rsidRPr="00475FAE">
        <w:t>CRPD/C/GC/1</w:t>
      </w:r>
      <w:r>
        <w:t xml:space="preserve">, </w:t>
      </w:r>
      <w:r w:rsidRPr="00475FAE">
        <w:t>19 de mayo de 2014</w:t>
      </w:r>
      <w:r>
        <w:t>, párrafo 48</w:t>
      </w:r>
      <w:r w:rsidRPr="007F3223">
        <w:t>.</w:t>
      </w:r>
    </w:p>
  </w:footnote>
  <w:footnote w:id="745">
    <w:p w:rsidR="00887731" w:rsidRPr="004551E9" w:rsidRDefault="00887731" w:rsidP="004551E9">
      <w:pPr>
        <w:pStyle w:val="Pie"/>
        <w:rPr>
          <w:lang w:val="en-US"/>
        </w:rPr>
      </w:pPr>
      <w:r w:rsidRPr="00597337">
        <w:rPr>
          <w:rStyle w:val="Refdenotaalpie"/>
        </w:rPr>
        <w:footnoteRef/>
      </w:r>
      <w:r w:rsidRPr="004551E9">
        <w:rPr>
          <w:lang w:val="en-US"/>
        </w:rPr>
        <w:t xml:space="preserve"> </w:t>
      </w:r>
      <w:proofErr w:type="spellStart"/>
      <w:proofErr w:type="gramStart"/>
      <w:r w:rsidRPr="004551E9">
        <w:rPr>
          <w:lang w:val="en-US"/>
        </w:rPr>
        <w:t>Declaración</w:t>
      </w:r>
      <w:proofErr w:type="spellEnd"/>
      <w:r w:rsidRPr="004551E9">
        <w:rPr>
          <w:lang w:val="en-US"/>
        </w:rPr>
        <w:t xml:space="preserve"> de Thomas </w:t>
      </w:r>
      <w:proofErr w:type="spellStart"/>
      <w:r w:rsidRPr="004551E9">
        <w:rPr>
          <w:lang w:val="en-US"/>
        </w:rPr>
        <w:t>Hammarberg</w:t>
      </w:r>
      <w:proofErr w:type="spellEnd"/>
      <w:r w:rsidRPr="004551E9">
        <w:rPr>
          <w:lang w:val="en-US"/>
        </w:rPr>
        <w:t xml:space="preserve">, “Persons with disabilities must not be denied the right to vote”, 22 de </w:t>
      </w:r>
      <w:proofErr w:type="spellStart"/>
      <w:r w:rsidRPr="004551E9">
        <w:rPr>
          <w:lang w:val="en-US"/>
        </w:rPr>
        <w:t>marzo</w:t>
      </w:r>
      <w:proofErr w:type="spellEnd"/>
      <w:r w:rsidRPr="004551E9">
        <w:rPr>
          <w:lang w:val="en-US"/>
        </w:rPr>
        <w:t xml:space="preserve"> de 2011, </w:t>
      </w:r>
      <w:hyperlink r:id="rId40" w:history="1">
        <w:r w:rsidRPr="00597337">
          <w:rPr>
            <w:rStyle w:val="Hipervnculo"/>
            <w:lang w:val="en-US"/>
          </w:rPr>
          <w:t>http://commissioner.cws.coe.int/tiki-view_blog_post.php?postId=127</w:t>
        </w:r>
      </w:hyperlink>
      <w:r w:rsidRPr="004551E9">
        <w:rPr>
          <w:lang w:val="en-US"/>
        </w:rPr>
        <w:t>.</w:t>
      </w:r>
      <w:proofErr w:type="gramEnd"/>
      <w:r w:rsidRPr="004551E9">
        <w:rPr>
          <w:lang w:val="en-US"/>
        </w:rPr>
        <w:t xml:space="preserve"> </w:t>
      </w:r>
    </w:p>
  </w:footnote>
  <w:footnote w:id="746">
    <w:p w:rsidR="00887731" w:rsidRPr="00562DB8" w:rsidRDefault="00887731" w:rsidP="004551E9">
      <w:pPr>
        <w:pStyle w:val="Pie"/>
        <w:rPr>
          <w:lang w:val="en-US"/>
        </w:rPr>
      </w:pPr>
      <w:r w:rsidRPr="00597337">
        <w:rPr>
          <w:rStyle w:val="Refdenotaalpie"/>
        </w:rPr>
        <w:footnoteRef/>
      </w:r>
      <w:r w:rsidRPr="00562DB8">
        <w:rPr>
          <w:lang w:val="en-US"/>
        </w:rPr>
        <w:t xml:space="preserve"> Revised interpretative declaration to the Code of Good Practice in electoral matters on the participation of people with disabilities in elections, Adopted by the Council for Democratic </w:t>
      </w:r>
      <w:proofErr w:type="gramStart"/>
      <w:r w:rsidRPr="00562DB8">
        <w:rPr>
          <w:lang w:val="en-US"/>
        </w:rPr>
        <w:t>Elections ,</w:t>
      </w:r>
      <w:proofErr w:type="gramEnd"/>
      <w:r w:rsidRPr="00562DB8">
        <w:rPr>
          <w:lang w:val="en-US"/>
        </w:rPr>
        <w:t xml:space="preserve"> at its 39th meeting (Venice, 15 December 2011) and by the Venice Commission at its 89th plenary session (Venice, 16-17 December 2011), </w:t>
      </w:r>
      <w:proofErr w:type="spellStart"/>
      <w:r w:rsidRPr="00562DB8">
        <w:rPr>
          <w:lang w:val="en-US"/>
        </w:rPr>
        <w:t>disponible</w:t>
      </w:r>
      <w:proofErr w:type="spellEnd"/>
      <w:r w:rsidRPr="00562DB8">
        <w:rPr>
          <w:lang w:val="en-US"/>
        </w:rPr>
        <w:t xml:space="preserve"> en: </w:t>
      </w:r>
      <w:hyperlink r:id="rId41" w:history="1">
        <w:r w:rsidRPr="0062736C">
          <w:rPr>
            <w:rStyle w:val="Hipervnculo"/>
            <w:lang w:val="en-US"/>
          </w:rPr>
          <w:t>http://www.venice.coe.int/webforms/documents/?pdf=CDL-AD(2011)045-e</w:t>
        </w:r>
      </w:hyperlink>
      <w:r w:rsidRPr="00562DB8">
        <w:rPr>
          <w:lang w:val="en-US"/>
        </w:rPr>
        <w:t xml:space="preserve">. </w:t>
      </w:r>
      <w:proofErr w:type="spellStart"/>
      <w:r w:rsidRPr="00562DB8">
        <w:rPr>
          <w:lang w:val="en-US"/>
        </w:rPr>
        <w:t>Sobre</w:t>
      </w:r>
      <w:proofErr w:type="spellEnd"/>
      <w:r w:rsidRPr="00562DB8">
        <w:rPr>
          <w:lang w:val="en-US"/>
        </w:rPr>
        <w:t xml:space="preserve"> </w:t>
      </w:r>
      <w:proofErr w:type="spellStart"/>
      <w:r w:rsidRPr="00562DB8">
        <w:rPr>
          <w:lang w:val="en-US"/>
        </w:rPr>
        <w:t>este</w:t>
      </w:r>
      <w:proofErr w:type="spellEnd"/>
      <w:r w:rsidRPr="00562DB8">
        <w:rPr>
          <w:lang w:val="en-US"/>
        </w:rPr>
        <w:t xml:space="preserve"> </w:t>
      </w:r>
      <w:proofErr w:type="spellStart"/>
      <w:r w:rsidRPr="00562DB8">
        <w:rPr>
          <w:lang w:val="en-US"/>
        </w:rPr>
        <w:t>documento</w:t>
      </w:r>
      <w:proofErr w:type="spellEnd"/>
      <w:r w:rsidRPr="00562DB8">
        <w:rPr>
          <w:lang w:val="en-US"/>
        </w:rPr>
        <w:t xml:space="preserve"> </w:t>
      </w:r>
      <w:proofErr w:type="spellStart"/>
      <w:r w:rsidRPr="00562DB8">
        <w:rPr>
          <w:lang w:val="en-US"/>
        </w:rPr>
        <w:t>cabe</w:t>
      </w:r>
      <w:proofErr w:type="spellEnd"/>
      <w:r w:rsidRPr="00562DB8">
        <w:rPr>
          <w:lang w:val="en-US"/>
        </w:rPr>
        <w:t xml:space="preserve"> </w:t>
      </w:r>
      <w:proofErr w:type="spellStart"/>
      <w:r w:rsidRPr="00562DB8">
        <w:rPr>
          <w:lang w:val="en-US"/>
        </w:rPr>
        <w:t>señalar</w:t>
      </w:r>
      <w:proofErr w:type="spellEnd"/>
      <w:r w:rsidRPr="00562DB8">
        <w:rPr>
          <w:lang w:val="en-US"/>
        </w:rPr>
        <w:t xml:space="preserve"> </w:t>
      </w:r>
      <w:proofErr w:type="spellStart"/>
      <w:r w:rsidRPr="00562DB8">
        <w:rPr>
          <w:lang w:val="en-US"/>
        </w:rPr>
        <w:t>que</w:t>
      </w:r>
      <w:proofErr w:type="spellEnd"/>
      <w:r w:rsidRPr="00562DB8">
        <w:rPr>
          <w:lang w:val="en-US"/>
        </w:rPr>
        <w:t xml:space="preserve">: […The Venice Commission’s previous text stated, “No person with a disability can be excluded from the right to vote or to stand for election on the basis of her/his physical and/or mental disability unless the deprivation of the right to vote and to be elected is imposed by an individual decision of a court of law because of proven mental disability.” The revised text rejects this approach…], Mental Disability Advocacy Center, </w:t>
      </w:r>
      <w:r w:rsidR="00BB3E10">
        <w:fldChar w:fldCharType="begin"/>
      </w:r>
      <w:r w:rsidR="00BB3E10" w:rsidRPr="00F71B0D">
        <w:rPr>
          <w:lang w:val="en-US"/>
        </w:rPr>
        <w:instrText>HYPERLINK "http://mdac.info/en/19/12/2011/venice_commission_backs_right_to_vote"</w:instrText>
      </w:r>
      <w:r w:rsidR="00BB3E10">
        <w:fldChar w:fldCharType="separate"/>
      </w:r>
      <w:r w:rsidRPr="00597337">
        <w:rPr>
          <w:rStyle w:val="Hipervnculo"/>
          <w:lang w:val="en-US"/>
        </w:rPr>
        <w:t>http://mdac.info/en/19/12/2011/venice_commission_backs_right_to_vote</w:t>
      </w:r>
      <w:r w:rsidR="00BB3E10">
        <w:fldChar w:fldCharType="end"/>
      </w:r>
      <w:r w:rsidRPr="00562DB8">
        <w:rPr>
          <w:lang w:val="en-US"/>
        </w:rPr>
        <w:t xml:space="preserve"> </w:t>
      </w:r>
    </w:p>
  </w:footnote>
  <w:footnote w:id="747">
    <w:p w:rsidR="00887731" w:rsidRPr="00597337" w:rsidRDefault="00887731" w:rsidP="004551E9">
      <w:pPr>
        <w:pStyle w:val="Pie"/>
      </w:pPr>
      <w:r w:rsidRPr="00597337">
        <w:rPr>
          <w:rStyle w:val="Refdenotaalpie"/>
        </w:rPr>
        <w:footnoteRef/>
      </w:r>
      <w:r w:rsidRPr="00597337">
        <w:t xml:space="preserve"> TEDH, Alajos Kiss v. Hungary, Sentencia de 20 de mayo de 2010, Applicación no. 38832/06.</w:t>
      </w:r>
    </w:p>
  </w:footnote>
  <w:footnote w:id="748">
    <w:p w:rsidR="00887731" w:rsidRPr="00597337" w:rsidRDefault="00887731" w:rsidP="004551E9">
      <w:pPr>
        <w:pStyle w:val="Pie"/>
      </w:pPr>
      <w:r w:rsidRPr="00597337">
        <w:rPr>
          <w:rStyle w:val="Refdenotaalpie"/>
        </w:rPr>
        <w:footnoteRef/>
      </w:r>
      <w:r w:rsidRPr="00597337">
        <w:t xml:space="preserve"> En este sentido el Comité de la ONU sobre los Derechos de las Personas con Discapacidad ha señalado en las Directrices relativas al documento específico sobre la Convención que deben presentar los Estados partes con arreglo al párrafo 1 del artículo 35 de la Convención sobre los derechos de las personas con discapacidad”, que en relación con el artículo 23 que: […Este artículo reconoce el derecho de las personas con discapacidad a casarse y fundar una familia, a decidir libremente el número de hijos que quieren tener y a mantener su fertilidad en igualdad de condiciones con las demás. Los Estados partes informarán sobre:  • Las medidas adoptadas para asegurar que las personas con discapacidad puedan ejercer su derecho a casarse y a fundar una familia sobre la base del consentimiento libre y pleno; • Las medidas adoptadas para que las personas con discapacidad tengan acceso a la planificación familiar, la reproducción asistida y a programas de adopción o de acogida de niños en guarda; • Las medidas adoptadas para que los padres con discapacidad que lo requieran dispongan de la asistencia apropiada para el desempeño de sus responsabilidades en la crianza de los hijos, asegurando así la relación padre-hijo; • Las medidas adoptadas para asegurar que ningún niño sea separado de sus padres en razón de una discapacidad del menor, de ambos padres o de uno de ellos; • Las medidas adoptadas para apoyar a los padres y madres, y a las familias de niños y niñas con discapacidad, a fin de evitar el ocultamiento, el abandono, el descuido o la segregación del niño o la niña con discapacidad; • Las medidas adoptadas para evitar la institucionalización de los niños y niñas con discapacidad cuyos padres no puedan cuidarlos y para asegurar que se les proporcione atención alternativa dentro de la familia extensa o, de no ser esto posible, dentro de la comunidad en un entorno familiar; • Las medidas adoptadas para evitar la esterilización forzada de personas con discapacidad, especialmente de mujeres y niñas…] CRPD/C/2/3, 18 de noviembre de 2009.</w:t>
      </w:r>
    </w:p>
  </w:footnote>
  <w:footnote w:id="749">
    <w:p w:rsidR="00887731" w:rsidRPr="00597337" w:rsidRDefault="00887731" w:rsidP="004551E9">
      <w:pPr>
        <w:pStyle w:val="Pie"/>
      </w:pPr>
      <w:r w:rsidRPr="00597337">
        <w:rPr>
          <w:rStyle w:val="Refdenotaalpie"/>
        </w:rPr>
        <w:footnoteRef/>
      </w:r>
      <w:r w:rsidRPr="00597337">
        <w:t xml:space="preserve"> Disposiciones similares también son recogidas en los tratados regionales de derechos humanos. Artículo 17 de la Convención Interamericana de Derechos Humanos. Artículo 8 del Convenio Europeo de Derechos Humanos. Artículo 18 de la Carta Africana sobre los Derechos Humanos y de los Pueblos. </w:t>
      </w:r>
    </w:p>
  </w:footnote>
  <w:footnote w:id="750">
    <w:p w:rsidR="00887731" w:rsidRPr="00597337" w:rsidRDefault="00887731" w:rsidP="004551E9">
      <w:pPr>
        <w:pStyle w:val="Pie"/>
      </w:pPr>
      <w:r w:rsidRPr="00597337">
        <w:rPr>
          <w:rStyle w:val="Refdenotaalpie"/>
        </w:rPr>
        <w:footnoteRef/>
      </w:r>
      <w:r w:rsidRPr="00597337">
        <w:t xml:space="preserve"> Observación General No. 19, Comentarios generales adoptados por el Comité de los Derechos Humanos, Artículo 23 - La familia, 39º período de sesiones, U.N. Doc. HRI/GEN/1/Rev.7 at 171 (1990).</w:t>
      </w:r>
    </w:p>
  </w:footnote>
  <w:footnote w:id="751">
    <w:p w:rsidR="00887731" w:rsidRPr="00597337" w:rsidRDefault="00887731" w:rsidP="004551E9">
      <w:pPr>
        <w:pStyle w:val="Pie"/>
      </w:pPr>
      <w:r w:rsidRPr="00597337">
        <w:rPr>
          <w:rStyle w:val="Refdenotaalpie"/>
        </w:rPr>
        <w:footnoteRef/>
      </w:r>
      <w:r w:rsidRPr="00597337">
        <w:t xml:space="preserve"> Ídem. Párrafo 4. </w:t>
      </w:r>
    </w:p>
  </w:footnote>
  <w:footnote w:id="752">
    <w:p w:rsidR="00887731" w:rsidRPr="00597337" w:rsidRDefault="00887731" w:rsidP="004551E9">
      <w:pPr>
        <w:pStyle w:val="Pie"/>
      </w:pPr>
      <w:r w:rsidRPr="00597337">
        <w:rPr>
          <w:rStyle w:val="Refdenotaalpie"/>
        </w:rPr>
        <w:footnoteRef/>
      </w:r>
      <w:r w:rsidRPr="00597337">
        <w:t xml:space="preserve"> Aplicación del Pacto Internacional de Económicos, Sociales Y Culturales, Observación general 5, Personas con discapacidad (11 período de sesiones, 1994), U.N. Doc. E/C.12/1994/13 (1994), párrafo 30. </w:t>
      </w:r>
    </w:p>
  </w:footnote>
  <w:footnote w:id="753">
    <w:p w:rsidR="00887731" w:rsidRPr="00597337" w:rsidRDefault="00887731" w:rsidP="004551E9">
      <w:pPr>
        <w:pStyle w:val="Pie"/>
      </w:pPr>
      <w:r w:rsidRPr="00597337">
        <w:rPr>
          <w:rStyle w:val="Refdenotaalpie"/>
        </w:rPr>
        <w:footnoteRef/>
      </w:r>
      <w:r w:rsidRPr="00597337">
        <w:t xml:space="preserve"> Observaciones del Comité de la ONU sobre Discapacidad respecto del informe remitido por el Estado Peruano en cumplimiento de lo establecido en el artículo 35 de la CDPD, </w:t>
      </w:r>
      <w:r w:rsidRPr="00597337">
        <w:rPr>
          <w:lang w:val="es-ES_tradnl"/>
        </w:rPr>
        <w:t xml:space="preserve">,CRPD/C/PER/CO/1, 20 Abril 2012, párrafos 26-27. </w:t>
      </w:r>
    </w:p>
  </w:footnote>
  <w:footnote w:id="754">
    <w:p w:rsidR="00887731" w:rsidRPr="00597337" w:rsidRDefault="00887731" w:rsidP="004551E9">
      <w:pPr>
        <w:pStyle w:val="Pie"/>
      </w:pPr>
      <w:r w:rsidRPr="00597337">
        <w:rPr>
          <w:rStyle w:val="Refdenotaalpie"/>
        </w:rPr>
        <w:footnoteRef/>
      </w:r>
      <w:r w:rsidRPr="00597337">
        <w:t xml:space="preserve"> Observación General No. 19, Comentarios generales adoptados por el Comité de los Derechos Humanos, Artículo 23 - La familia, 39º período de sesiones, U.N. Doc. HRI/GEN/1/Rev.7 at 171 (1990). Párrafo 5. </w:t>
      </w:r>
    </w:p>
  </w:footnote>
  <w:footnote w:id="755">
    <w:p w:rsidR="00887731" w:rsidRPr="00597337" w:rsidRDefault="00887731" w:rsidP="004551E9">
      <w:pPr>
        <w:pStyle w:val="Pie"/>
      </w:pPr>
      <w:r w:rsidRPr="00597337">
        <w:rPr>
          <w:rStyle w:val="Refdenotaalpie"/>
        </w:rPr>
        <w:footnoteRef/>
      </w:r>
      <w:r w:rsidRPr="00597337">
        <w:t xml:space="preserve"> Véase en este sentido lo señalado por el Comité de la ONU sobre Discapacidad respecto del informe remitido por el Estado Paraguayo en cumplimiento de lo establecido en el artículo 35 de la CDPD, […55. Al Comité le preocupa que el Estado Parte refuerce los esquemas de hogares de albergue de niños y niñas con discapacidad en detrimento del derecho que tienen de vivir en familia. 56.</w:t>
      </w:r>
      <w:r w:rsidRPr="00597337">
        <w:tab/>
        <w:t>El Comité insta al Estado Parte que adopte medidas para alentar a las familias de acogida y apoyar económicamente  a familias de ingresos bajos que tienen niños o niñas con discapacidad para que estos puedan permanecer en ellas y participar activamente en la comunidad.   El Comité insta también al Estado Parte a  garantizar la igualdad de trato de los niños y niñas con discapacidad en el Programa de Acogimiento Familiar de Niños, Niñas y Adolescentes Sujetos a Protección y Apoyo y a que revise el proyecto de Reglamento Operativo para Subsidio a Familias Acogedoras e Instituciones de Cuidado Residencial y lo adapte a los mandatos establecidos en el artículo 23 de la Convención…] CRPD/C/PRY/CO/1, 15 de mayo de 2013.</w:t>
      </w:r>
    </w:p>
  </w:footnote>
  <w:footnote w:id="756">
    <w:p w:rsidR="00887731" w:rsidRPr="00597337" w:rsidRDefault="00887731" w:rsidP="004551E9">
      <w:pPr>
        <w:pStyle w:val="Pie"/>
      </w:pPr>
      <w:r w:rsidRPr="00597337">
        <w:rPr>
          <w:rStyle w:val="Refdenotaalpie"/>
        </w:rPr>
        <w:footnoteRef/>
      </w:r>
      <w:r w:rsidRPr="00597337">
        <w:t xml:space="preserve"> TEDH, X v. Croacia. Sentencia de 17 de julio de 2008. Aplicación no. 11223/04, párrafos. 47-55.</w:t>
      </w:r>
    </w:p>
  </w:footnote>
  <w:footnote w:id="757">
    <w:p w:rsidR="00887731" w:rsidRPr="00597337" w:rsidRDefault="00887731" w:rsidP="004551E9">
      <w:pPr>
        <w:pStyle w:val="Pie"/>
      </w:pPr>
      <w:r w:rsidRPr="00597337">
        <w:rPr>
          <w:rStyle w:val="Refdenotaalpie"/>
        </w:rPr>
        <w:footnoteRef/>
      </w:r>
      <w:r w:rsidRPr="00597337">
        <w:t xml:space="preserve"> TEDH, </w:t>
      </w:r>
      <w:proofErr w:type="spellStart"/>
      <w:r w:rsidRPr="00597337">
        <w:t>Krušković</w:t>
      </w:r>
      <w:proofErr w:type="spellEnd"/>
      <w:r w:rsidRPr="00597337">
        <w:t>. V. Croacia. Sentencia de 21 de junio de 2011. Aplicación no. 46185/08, párrafos 26-44.</w:t>
      </w:r>
    </w:p>
  </w:footnote>
  <w:footnote w:id="758">
    <w:p w:rsidR="00887731" w:rsidRPr="00597337" w:rsidRDefault="00887731" w:rsidP="004551E9">
      <w:pPr>
        <w:pStyle w:val="Pie"/>
      </w:pPr>
      <w:r w:rsidRPr="00597337">
        <w:rPr>
          <w:rStyle w:val="Refdenotaalpie"/>
        </w:rPr>
        <w:footnoteRef/>
      </w:r>
      <w:r w:rsidRPr="00597337">
        <w:t xml:space="preserve"> PELAEZ NARVAEZ, A., (2012b) “Derechos sexuales y reproductivos”, en CERMI (2012),  op cit., p. 260.</w:t>
      </w:r>
    </w:p>
  </w:footnote>
  <w:footnote w:id="759">
    <w:p w:rsidR="00887731" w:rsidRPr="00597337" w:rsidRDefault="00887731" w:rsidP="004551E9">
      <w:pPr>
        <w:pStyle w:val="Pie"/>
      </w:pPr>
      <w:r w:rsidRPr="00597337">
        <w:rPr>
          <w:rStyle w:val="Refdenotaalpie"/>
        </w:rPr>
        <w:footnoteRef/>
      </w:r>
      <w:r w:rsidRPr="00597337">
        <w:t xml:space="preserve"> Observaciones del Comité de la ONU sobre Discapacidad respecto del informe remitido por el Estado Español en cumplimiento de lo establecido en el artículo 35 de la CDPD, </w:t>
      </w:r>
      <w:r w:rsidRPr="00597337">
        <w:rPr>
          <w:lang w:val="es-ES_tradnl"/>
        </w:rPr>
        <w:t>CRPD/C/ESP/CO/1, 19 de octubre de 2011, párrafo 37.</w:t>
      </w:r>
    </w:p>
  </w:footnote>
  <w:footnote w:id="760">
    <w:p w:rsidR="00887731" w:rsidRPr="00597337" w:rsidRDefault="00887731" w:rsidP="004551E9">
      <w:pPr>
        <w:pStyle w:val="Pie"/>
      </w:pPr>
      <w:r w:rsidRPr="00597337">
        <w:rPr>
          <w:rStyle w:val="Refdenotaalpie"/>
        </w:rPr>
        <w:footnoteRef/>
      </w:r>
      <w:r w:rsidRPr="00597337">
        <w:t xml:space="preserve"> Observaciones del Comité de la ONU sobre Discapacidad respecto del informe remitido por el Estado Peruano en cumplimiento de lo establecido en el artículo 35 de la CDPD,</w:t>
      </w:r>
      <w:r w:rsidRPr="00597337">
        <w:rPr>
          <w:lang w:val="es-ES_tradnl"/>
        </w:rPr>
        <w:t xml:space="preserve">CRPD/C/PER/CO/1, 16 de mayo de 2012, párrafo 34. También el Comité se ha pronunciado en sentido similar respecto de Argentina, CRPD/C/ARG/CO/1, </w:t>
      </w:r>
      <w:r w:rsidRPr="00597337">
        <w:t xml:space="preserve">19 de octubre de 2012, párrafo 31; o China, </w:t>
      </w:r>
      <w:r w:rsidRPr="00597337">
        <w:rPr>
          <w:lang w:val="es-ES_tradnl"/>
        </w:rPr>
        <w:t xml:space="preserve">CRPD/C/CHN/CO/1, 15 de octubre de 2012, párrafo 33. </w:t>
      </w:r>
    </w:p>
  </w:footnote>
  <w:footnote w:id="761">
    <w:p w:rsidR="00887731" w:rsidRPr="00597337" w:rsidRDefault="00887731" w:rsidP="004551E9">
      <w:pPr>
        <w:pStyle w:val="Pie"/>
      </w:pPr>
      <w:r w:rsidRPr="00597337">
        <w:rPr>
          <w:rStyle w:val="Refdenotaalpie"/>
        </w:rPr>
        <w:footnoteRef/>
      </w:r>
      <w:r w:rsidRPr="00597337">
        <w:t xml:space="preserve"> A/HRC/22/53, 1 de febrero de 2013, párrafo 48.</w:t>
      </w:r>
    </w:p>
  </w:footnote>
  <w:footnote w:id="762">
    <w:p w:rsidR="00887731" w:rsidRPr="00597337" w:rsidRDefault="00887731" w:rsidP="004551E9">
      <w:pPr>
        <w:pStyle w:val="Pie"/>
      </w:pPr>
      <w:r w:rsidRPr="00597337">
        <w:rPr>
          <w:rStyle w:val="Refdenotaalpie"/>
        </w:rPr>
        <w:footnoteRef/>
      </w:r>
      <w:r w:rsidRPr="00597337">
        <w:t xml:space="preserve"> Observaciones del Comité de la ONU sobre Discapacidad respecto del informe remitido por el Estado Argentino en cumplimiento de lo establecido en el artículo 35 de la CDPD, CRPD/C/ARG/CO/1, 19 de octubre de 2012, párrafo 31. </w:t>
      </w:r>
    </w:p>
  </w:footnote>
  <w:footnote w:id="763">
    <w:p w:rsidR="00887731" w:rsidRPr="00597337" w:rsidRDefault="00887731" w:rsidP="004551E9">
      <w:pPr>
        <w:pStyle w:val="Pie"/>
      </w:pPr>
      <w:r w:rsidRPr="00597337">
        <w:rPr>
          <w:rStyle w:val="Refdenotaalpie"/>
        </w:rPr>
        <w:footnoteRef/>
      </w:r>
      <w:r w:rsidRPr="00597337">
        <w:t xml:space="preserve"> Observaciones del Comité de la ONU sobre Discapacidad respecto del informe remitido por el Estado Chino en cumplimiento de lo establecido en el artículo 35 de la CDPD, CRPD/C/CHN/CO/1, 15 de octubre de 2012, párrafo 33.</w:t>
      </w:r>
    </w:p>
  </w:footnote>
  <w:footnote w:id="764">
    <w:p w:rsidR="00887731" w:rsidRPr="00597337" w:rsidRDefault="00887731" w:rsidP="004551E9">
      <w:pPr>
        <w:pStyle w:val="Pie"/>
      </w:pPr>
      <w:r w:rsidRPr="00597337">
        <w:rPr>
          <w:rStyle w:val="Refdenotaalpie"/>
        </w:rPr>
        <w:footnoteRef/>
      </w:r>
      <w:r w:rsidRPr="00D20B0E">
        <w:t xml:space="preserve"> </w:t>
      </w:r>
      <w:r>
        <w:t xml:space="preserve">En la Observación General Nº 1 el </w:t>
      </w:r>
      <w:proofErr w:type="spellStart"/>
      <w:r>
        <w:t>CteCDPD</w:t>
      </w:r>
      <w:proofErr w:type="spellEnd"/>
      <w:r>
        <w:t xml:space="preserve"> señala que: […El apoyo en el ejercicio de la capacidad jurídica debe respetar los derechos, la voluntad y las preferencias de las personas con discapacidad y nunca debe consistir en decidir por ellas…]</w:t>
      </w:r>
      <w:r w:rsidRPr="00CC0623">
        <w:t xml:space="preserve"> </w:t>
      </w:r>
      <w:r>
        <w:t xml:space="preserve">Observación general Nº 1 (2014), Artículo 12: Igual reconocimiento como persona ante la ley, </w:t>
      </w:r>
      <w:r w:rsidRPr="00475FAE">
        <w:t>CRPD/C/GC/1</w:t>
      </w:r>
      <w:r>
        <w:t xml:space="preserve">, </w:t>
      </w:r>
      <w:r w:rsidRPr="00475FAE">
        <w:t>19 de mayo de 2014</w:t>
      </w:r>
      <w:r>
        <w:t>, párrafo 17</w:t>
      </w:r>
      <w:r w:rsidRPr="00D20B0E">
        <w:t xml:space="preserve">. </w:t>
      </w:r>
      <w:r w:rsidRPr="00597337">
        <w:t>Asimismo, véase en este punto lo señalado en el Capítulo 4 (4.3.4).</w:t>
      </w:r>
    </w:p>
  </w:footnote>
  <w:footnote w:id="765">
    <w:p w:rsidR="00887731" w:rsidRPr="00597337" w:rsidRDefault="00887731" w:rsidP="004551E9">
      <w:pPr>
        <w:pStyle w:val="Pie"/>
      </w:pPr>
      <w:r w:rsidRPr="00597337">
        <w:rPr>
          <w:rStyle w:val="Refdenotaalpie"/>
        </w:rPr>
        <w:footnoteRef/>
      </w:r>
      <w:r w:rsidRPr="00597337">
        <w:t xml:space="preserve"> OEA/ </w:t>
      </w:r>
      <w:proofErr w:type="spellStart"/>
      <w:r w:rsidRPr="00597337">
        <w:t>Ser.L</w:t>
      </w:r>
      <w:proofErr w:type="spellEnd"/>
      <w:r w:rsidRPr="00597337">
        <w:t>/XXIV.3.1, CEDDIS/doc.12 (I-E/11) Rev.1, 28 abril 2011.</w:t>
      </w:r>
    </w:p>
  </w:footnote>
  <w:footnote w:id="766">
    <w:p w:rsidR="00887731" w:rsidRPr="00D20B0E" w:rsidRDefault="00887731" w:rsidP="004551E9">
      <w:pPr>
        <w:pStyle w:val="Textonotapie"/>
      </w:pPr>
      <w:r w:rsidRPr="00597337">
        <w:rPr>
          <w:rStyle w:val="Refdenotaalpie"/>
        </w:rPr>
        <w:footnoteRef/>
      </w:r>
      <w:r w:rsidRPr="00597337">
        <w:t xml:space="preserve"> </w:t>
      </w:r>
      <w:r w:rsidRPr="00D20B0E">
        <w:t>En la Observación General Nº 1 el CteCDPD señala que: […En el artículo 12, párrafo 3, no se especifica cómo debe ser el apoyo. "Apoyo" es un término amplio que engloba arreglos oficiales y oficiosos, de distintos tipos e intensidades. Por ejemplo, las personas con discapacidad pueden escoger a una o más personas de apoyo en las que confíen para que les ayuden a ejercer su capacidad jurídica respecto de determinados tipos de decisiones, o pueden recurrir a otras formas de apoyo, como el apoyo entre pares, la defensa de sus intereses (incluido el apoyo para la defensa de los intereses propios) o la asistencia para comunicarse. El apoyo a las personas con discapacidad en el ejercicio de su capacidad jurídica puede incluir medidas relacionadas con el diseño universal y la accesibilidad —por ejemplo, la exigencia de que las entidades privadas y públicas, como los bancos y las instituciones financieras, proporcionen información en un formato que sea comprensible u ofrezcan interpretación profesional en la lengua de señas—, a fin de que las personas con discapacidad puedan realizar los actos jurídicos necesarios para abrir una cuenta bancaria, celebrar contratos o llevar a cabo otras transacciones sociales…] Observación general Nº 1 (2014), Artículo 12: Igual reconocimiento como persona ante la ley, CRPD/C/GC/1, 19 de mayo de 2014, párrafo 17.</w:t>
      </w:r>
    </w:p>
  </w:footnote>
  <w:footnote w:id="767">
    <w:p w:rsidR="00887731" w:rsidRPr="00D20B0E" w:rsidRDefault="00887731" w:rsidP="004551E9">
      <w:pPr>
        <w:pStyle w:val="Textonotapie"/>
      </w:pPr>
      <w:r w:rsidRPr="00597337">
        <w:rPr>
          <w:rStyle w:val="Refdenotaalpie"/>
        </w:rPr>
        <w:footnoteRef/>
      </w:r>
      <w:r w:rsidRPr="00597337">
        <w:t xml:space="preserve"> Sin embargo </w:t>
      </w:r>
      <w:r>
        <w:t>e</w:t>
      </w:r>
      <w:r w:rsidRPr="00D20B0E">
        <w:t>n la Observación General Nº 1 el CteCDPD señala que: […los derechos establecidos en el artículo 12 se aplican desde el momento de la ratificación y deben hacerse efectivos inmediatamente. La obligación del Estado, establecida en el artículo 12, párrafo 3, de proporcionar acceso al apoyo necesario en el ejercicio de la capacidad jurídica es una obligación para dar efectividad al derecho civil y político de gozar de igual reconocimiento como persona ante la ley. La "efectividad progresiva" (art. 4, párr. 2) no se aplica a las disposiciones del artículo 12…] Observación general Nº 1 (2014), Artículo 12: Igual reconocimiento como persona ante la ley, CRPD/C/GC/1, 19 de mayo de 2014, párrafo 30.</w:t>
      </w:r>
    </w:p>
  </w:footnote>
  <w:footnote w:id="768">
    <w:p w:rsidR="00887731" w:rsidRPr="00597337" w:rsidRDefault="00887731" w:rsidP="004551E9">
      <w:pPr>
        <w:pStyle w:val="Pie"/>
      </w:pPr>
      <w:r w:rsidRPr="00597337">
        <w:rPr>
          <w:rStyle w:val="Refdenotaalpie"/>
        </w:rPr>
        <w:footnoteRef/>
      </w:r>
      <w:r w:rsidRPr="00597337">
        <w:t xml:space="preserve"> Véase Informe del tercer período de sesiones del Comité Especial encargado de preparar una convención internacional amplia e integral para proteger y promover los derechos y la dignidad de las personas con discapacidad, A/AC.265/2004/5, 9 de junio de 2009. Este informe y todos los documentos sometidos a debate pueden consultarse en: </w:t>
      </w:r>
      <w:hyperlink r:id="rId42" w:history="1">
        <w:r w:rsidRPr="00597337">
          <w:rPr>
            <w:rStyle w:val="Hipervnculo"/>
          </w:rPr>
          <w:t>http://www.un.org/esa/socdev/enable/rights/ahc3.htm</w:t>
        </w:r>
      </w:hyperlink>
    </w:p>
  </w:footnote>
  <w:footnote w:id="769">
    <w:p w:rsidR="00887731" w:rsidRPr="00597337" w:rsidRDefault="00887731" w:rsidP="004551E9">
      <w:pPr>
        <w:pStyle w:val="Pie"/>
      </w:pPr>
      <w:r w:rsidRPr="00597337">
        <w:rPr>
          <w:rStyle w:val="Refdenotaalpie"/>
        </w:rPr>
        <w:footnoteRef/>
      </w:r>
      <w:r w:rsidRPr="00562DB8">
        <w:rPr>
          <w:lang w:val="en-US"/>
        </w:rPr>
        <w:t xml:space="preserve"> Report of the Canadian Association of Community Living task force on alternatives to guardianship, Toronto: CACL, 1992. </w:t>
      </w:r>
      <w:r w:rsidRPr="00597337">
        <w:t>Disponible en: http://www.worldenable.net/rights/adhoc3meet_guardianship.htm</w:t>
      </w:r>
    </w:p>
  </w:footnote>
  <w:footnote w:id="770">
    <w:p w:rsidR="00887731" w:rsidRPr="00597337" w:rsidRDefault="00887731" w:rsidP="004551E9">
      <w:pPr>
        <w:pStyle w:val="Pie"/>
      </w:pPr>
      <w:r w:rsidRPr="00597337">
        <w:rPr>
          <w:rStyle w:val="Refdenotaalpie"/>
        </w:rPr>
        <w:footnoteRef/>
      </w:r>
      <w:r w:rsidRPr="00597337">
        <w:t xml:space="preserve"> Principios para la implementación del artículo 12 de la CDPD adoptados por la </w:t>
      </w:r>
      <w:r w:rsidRPr="00597337">
        <w:rPr>
          <w:i/>
        </w:rPr>
        <w:t xml:space="preserve">International </w:t>
      </w:r>
      <w:proofErr w:type="spellStart"/>
      <w:r w:rsidRPr="00597337">
        <w:rPr>
          <w:i/>
        </w:rPr>
        <w:t>Disability</w:t>
      </w:r>
      <w:proofErr w:type="spellEnd"/>
      <w:r w:rsidRPr="00597337">
        <w:rPr>
          <w:i/>
        </w:rPr>
        <w:t xml:space="preserve"> Alliance</w:t>
      </w:r>
      <w:r w:rsidRPr="00597337">
        <w:t xml:space="preserve"> (IDA) Accesible en </w:t>
      </w:r>
      <w:hyperlink r:id="rId43" w:history="1">
        <w:r w:rsidRPr="00597337">
          <w:rPr>
            <w:rStyle w:val="Hipervnculo"/>
          </w:rPr>
          <w:t>www.internationaldisabilityalliance.org</w:t>
        </w:r>
      </w:hyperlink>
    </w:p>
  </w:footnote>
  <w:footnote w:id="771">
    <w:p w:rsidR="00887731" w:rsidRPr="00597337" w:rsidRDefault="00887731" w:rsidP="004551E9">
      <w:pPr>
        <w:pStyle w:val="Pie"/>
      </w:pPr>
      <w:r w:rsidRPr="00597337">
        <w:rPr>
          <w:rStyle w:val="Refdenotaalpie"/>
        </w:rPr>
        <w:footnoteRef/>
      </w:r>
      <w:r w:rsidRPr="00597337">
        <w:t xml:space="preserve"> […El artículo 12.3, ¿Está sujeto a la cláusula de realización progresiva? Sin un conocimiento previo, parecería que sí. Sin embargo, existen casos interesantes estudiados alrededor del mundo, acerca de como los apoyos pueden ser utilizados de una manera efectiva por la comunidad sin un costo para el Estado. Estos modelos necesitan ser enfatizados y propagados. Mi sentido, es que el Estado necesita actuar a fin de poner en su lugar un régimen regulador que permita que estos apoyos puedan emerger, para que puedan ser tratados seriamente por las terceras partes y por el poder de policía. Parafraseando al slogan: “</w:t>
      </w:r>
      <w:r w:rsidRPr="00597337">
        <w:rPr>
          <w:i/>
        </w:rPr>
        <w:t>no queremos tu asistencia, queremos nuestros derechos</w:t>
      </w:r>
      <w:r w:rsidRPr="00597337">
        <w:t>”…] QUINN, G., (2012), op. cit., p. 51.</w:t>
      </w:r>
      <w:r w:rsidRPr="00597337">
        <w:rPr>
          <w:lang w:val="es-AR"/>
        </w:rPr>
        <w:t xml:space="preserve"> </w:t>
      </w:r>
      <w:r w:rsidRPr="00597337">
        <w:t xml:space="preserve">Sin embargo como ya se ha señalado más arriba </w:t>
      </w:r>
      <w:r>
        <w:t>en la Observación General Nº 1 el CteCDPD señala que: […La "efectividad progresiva" (art. 4, párr. 2) no se aplica a las disposiciones del artículo 12…]</w:t>
      </w:r>
      <w:r w:rsidRPr="00CC0623">
        <w:t xml:space="preserve"> </w:t>
      </w:r>
      <w:r>
        <w:t xml:space="preserve">Observación general Nº 1 (2014), Artículo 12: Igual reconocimiento como persona ante la ley, </w:t>
      </w:r>
      <w:r w:rsidRPr="00475FAE">
        <w:t>CRPD/C/GC/1</w:t>
      </w:r>
      <w:r>
        <w:t xml:space="preserve">, </w:t>
      </w:r>
      <w:r w:rsidRPr="00475FAE">
        <w:t>19 de mayo de 2014</w:t>
      </w:r>
      <w:r>
        <w:t>, párrafo 30.</w:t>
      </w:r>
    </w:p>
  </w:footnote>
  <w:footnote w:id="772">
    <w:p w:rsidR="00887731" w:rsidRPr="00597337" w:rsidRDefault="00887731" w:rsidP="004551E9">
      <w:pPr>
        <w:pStyle w:val="Pie"/>
      </w:pPr>
      <w:r w:rsidRPr="00597337">
        <w:rPr>
          <w:rStyle w:val="Refdenotaalpie"/>
        </w:rPr>
        <w:footnoteRef/>
      </w:r>
      <w:r w:rsidRPr="00597337">
        <w:t xml:space="preserve"> Véase lo señalado en punto 5.4.1 supra. </w:t>
      </w:r>
    </w:p>
  </w:footnote>
  <w:footnote w:id="773">
    <w:p w:rsidR="00887731" w:rsidRPr="00597337" w:rsidRDefault="00887731" w:rsidP="004551E9">
      <w:pPr>
        <w:pStyle w:val="Pie"/>
      </w:pPr>
      <w:r w:rsidRPr="00597337">
        <w:rPr>
          <w:rStyle w:val="Refdenotaalpie"/>
        </w:rPr>
        <w:footnoteRef/>
      </w:r>
      <w:r w:rsidRPr="00597337">
        <w:t xml:space="preserve"> Véase en este punto lo señalado en el Capítulo 3 (3.6.1).</w:t>
      </w:r>
    </w:p>
  </w:footnote>
  <w:footnote w:id="774">
    <w:p w:rsidR="00887731" w:rsidRPr="00562DB8" w:rsidRDefault="00887731" w:rsidP="004551E9">
      <w:pPr>
        <w:pStyle w:val="Pie"/>
        <w:rPr>
          <w:lang w:val="en-US"/>
        </w:rPr>
      </w:pPr>
      <w:r w:rsidRPr="00597337">
        <w:rPr>
          <w:rStyle w:val="Refdenotaalpie"/>
        </w:rPr>
        <w:footnoteRef/>
      </w:r>
      <w:r w:rsidRPr="00562DB8">
        <w:rPr>
          <w:lang w:val="en-US"/>
        </w:rPr>
        <w:t xml:space="preserve"> </w:t>
      </w:r>
      <w:proofErr w:type="gramStart"/>
      <w:r w:rsidRPr="00562DB8">
        <w:rPr>
          <w:lang w:val="en-US"/>
        </w:rPr>
        <w:t>BARIFFI, F., (2009), op. cit.</w:t>
      </w:r>
      <w:proofErr w:type="gramEnd"/>
    </w:p>
  </w:footnote>
  <w:footnote w:id="775">
    <w:p w:rsidR="00887731" w:rsidRPr="00562DB8" w:rsidRDefault="00887731" w:rsidP="004551E9">
      <w:pPr>
        <w:pStyle w:val="Pie"/>
        <w:rPr>
          <w:lang w:val="en-US"/>
        </w:rPr>
      </w:pPr>
      <w:r w:rsidRPr="00597337">
        <w:rPr>
          <w:rStyle w:val="Refdenotaalpie"/>
        </w:rPr>
        <w:footnoteRef/>
      </w:r>
      <w:r w:rsidRPr="00562DB8">
        <w:rPr>
          <w:lang w:val="en-US"/>
        </w:rPr>
        <w:t xml:space="preserve"> </w:t>
      </w:r>
      <w:proofErr w:type="spellStart"/>
      <w:r w:rsidRPr="00562DB8">
        <w:rPr>
          <w:lang w:val="en-US"/>
        </w:rPr>
        <w:t>Véase</w:t>
      </w:r>
      <w:proofErr w:type="spellEnd"/>
      <w:r w:rsidRPr="00562DB8">
        <w:rPr>
          <w:lang w:val="en-US"/>
        </w:rPr>
        <w:t xml:space="preserve"> en </w:t>
      </w:r>
      <w:proofErr w:type="spellStart"/>
      <w:proofErr w:type="gramStart"/>
      <w:r w:rsidRPr="00562DB8">
        <w:rPr>
          <w:lang w:val="en-US"/>
        </w:rPr>
        <w:t>este</w:t>
      </w:r>
      <w:proofErr w:type="spellEnd"/>
      <w:proofErr w:type="gramEnd"/>
      <w:r w:rsidRPr="00562DB8">
        <w:rPr>
          <w:lang w:val="en-US"/>
        </w:rPr>
        <w:t xml:space="preserve"> </w:t>
      </w:r>
      <w:proofErr w:type="spellStart"/>
      <w:r w:rsidRPr="00562DB8">
        <w:rPr>
          <w:lang w:val="en-US"/>
        </w:rPr>
        <w:t>sentido</w:t>
      </w:r>
      <w:proofErr w:type="spellEnd"/>
      <w:r w:rsidRPr="00562DB8">
        <w:rPr>
          <w:lang w:val="en-US"/>
        </w:rPr>
        <w:t xml:space="preserve">: Who Gets to Decide? Right to legal capacity for persons with intellectual and psychosocial disabilities, Human Rights Commission, Council of Europe, </w:t>
      </w:r>
      <w:proofErr w:type="spellStart"/>
      <w:r w:rsidRPr="00562DB8">
        <w:rPr>
          <w:lang w:val="en-US"/>
        </w:rPr>
        <w:t>CommDH</w:t>
      </w:r>
      <w:proofErr w:type="spellEnd"/>
      <w:r w:rsidRPr="00562DB8">
        <w:rPr>
          <w:lang w:val="en-US"/>
        </w:rPr>
        <w:t>/</w:t>
      </w:r>
      <w:proofErr w:type="spellStart"/>
      <w:r w:rsidRPr="00562DB8">
        <w:rPr>
          <w:lang w:val="en-US"/>
        </w:rPr>
        <w:t>IssuePaper</w:t>
      </w:r>
      <w:proofErr w:type="spellEnd"/>
      <w:r w:rsidRPr="00562DB8">
        <w:rPr>
          <w:lang w:val="en-US"/>
        </w:rPr>
        <w:t xml:space="preserve"> (2012)2, Strasbourg, 20 February 2012. </w:t>
      </w:r>
    </w:p>
  </w:footnote>
  <w:footnote w:id="776">
    <w:p w:rsidR="00887731" w:rsidRPr="00597337" w:rsidRDefault="00887731" w:rsidP="004551E9">
      <w:pPr>
        <w:pStyle w:val="Pie"/>
      </w:pPr>
      <w:r w:rsidRPr="00597337">
        <w:rPr>
          <w:rStyle w:val="Refdenotaalpie"/>
        </w:rPr>
        <w:footnoteRef/>
      </w:r>
      <w:r w:rsidRPr="00597337">
        <w:t xml:space="preserve"> Por ejemplo el artículo 289 del Código Civil Español señala que la curatela de los incapacitados tendrá por objeto la asistencia del curador para aquellos actos que expresamente imponga la sentencia que la haya establecido. </w:t>
      </w:r>
    </w:p>
  </w:footnote>
  <w:footnote w:id="777">
    <w:p w:rsidR="00887731" w:rsidRPr="009F5804" w:rsidRDefault="00887731" w:rsidP="004551E9">
      <w:pPr>
        <w:pStyle w:val="Textonotapie"/>
      </w:pPr>
      <w:r w:rsidRPr="00597337">
        <w:rPr>
          <w:rStyle w:val="Refdenotaalpie"/>
        </w:rPr>
        <w:footnoteRef/>
      </w:r>
      <w:r w:rsidRPr="00597337">
        <w:t xml:space="preserve"> </w:t>
      </w:r>
      <w:r w:rsidRPr="009F5804">
        <w:t>En la Observación General Nº 1 el CteCDPD señala que: […Un régimen de apoyo para la adopción de decisiones comprende diversas opciones de apoyo que dan primacía a la voluntad y las preferencias de la persona y respetan las normas de derechos humanos (…) Aunque esos regímenes pueden adoptar muchas formas, todos deben incluir determinadas disposiciones esenciales para asegurar el cumplimiento del artículo 12 de la Convención, entre ellas las siguientes: a) El apoyo para la adopción de decisiones debe estar disponible para todos. El grado de apoyo que necesite una persona, especialmente cuando es elevado, no debe ser un obstáculo para obtener apoyo en la adopción de decisiones. b) Todas las formas de apoyo en el ejercicio de la capacidad jurídica, incluidas las formas más intensas, deben estar basadas en la voluntad y las preferencias de la persona, no en lo que se suponga que es su interés superior objetivo. c) El modo de comunicación de una persona no debe ser un obstáculo para obtener apoyo en la adopción de decisiones, incluso cuando esa comunicación sea no convencional o cuando sea comprendida por muy pocas personas. d) La persona o las personas encargadas del apoyo que haya escogido oficialmente la persona concernida deben disponer de un reconocimiento jurídico accesible, y los Estados tienen la obligación de facilitar la creación de apoyo, especialmente para las personas que estén aisladas y tal vez no tengan acceso a los apoyos que se dan de forma natural en las comunidades. Esto debe incluir un mecanismo para que los terceros comprueben la identidad de la persona encargada del apoyo, así como un mecanismo para que los terceros impugnen la decisión de la persona encargada del apoyo si creen que no está actuando en consonancia con la voluntad y las preferencias de la persona concernida. e) A fin de cumplir con la prescripción enunciada en el artículo 12, párrafo 3, de la Convención de que los Estados partes deben adoptar medidas para "proporcionar acceso" al apoyo necesario, los Estados partes deben velar por que las personas con discapacidad puedan obtener ese apoyo a un costo simbólico o gratuitamente y por que la falta de recursos financieros no sea un obstáculo para acceder al apoyo en el ejercicio de la capacidad jurídica.  f) El apoyo en la adopción de decisiones no debe utilizarse como justificación para limitar otros derechos fundamentales de las personas con discapacidad, especialmente el derecho de voto, el derecho a contraer matrimonio, o a establecer una unión civil, y a fundar una familia, los derechos reproductivos, la patria potestad, el derecho a otorgar su consentimiento para las relaciones íntimas y el tratamiento médico y el derecho a la libertad. g) La persona debe tener derecho a rechazar el apoyo y a poner fin a la relación de apoyo o cambiarla en cualquier momento. h) Deben establecerse salvaguardias para todos los procesos relacionados con la capacidad jurídica y el apoyo en el ejercicio de la capacidad jurídica. El objetivo de las salvaguardias es garantizar que se respeten la voluntad y las preferencias de la persona. i) La prestación de apoyo para el ejercicio de la capacidad jurídica no debe depender de una evaluación de la capacidad mental; para ese apoyo en el ejercicio de la capacidad jurídica se requieren indicadores nuevos y no discriminatorios de las necesidades de apoyo…] Observación general Nº 1 (2014), Artículo 12: Igual reconocimiento como persona ante la ley, CRPD/C/GC/1, 19 de mayo de 2014, párrafo 29</w:t>
      </w:r>
      <w:r>
        <w:t>.</w:t>
      </w:r>
    </w:p>
  </w:footnote>
  <w:footnote w:id="778">
    <w:p w:rsidR="00887731" w:rsidRPr="00597337" w:rsidRDefault="00887731" w:rsidP="004551E9">
      <w:pPr>
        <w:pStyle w:val="Pie"/>
      </w:pPr>
      <w:r w:rsidRPr="00597337">
        <w:rPr>
          <w:rStyle w:val="Refdenotaalpie"/>
        </w:rPr>
        <w:footnoteRef/>
      </w:r>
      <w:r w:rsidRPr="00597337">
        <w:t xml:space="preserve"> En el apéndice de este trabajo se ha propuesto abordar estas situaciones del siguiente modo: “…Corresponde a la propia persona promover la solicitud del artículo anterior [medidas de apoyo]. La solicitud judicial podrá también ser promovida por cualquier persona interesada bajo la condición de que la persona beneficiaria consienta personalmente ante el juez.  El solicitante de medidas de apoyo será siempre parte el proceso y deberá contar con patrocinio letrado propio, o a falta o imposibilidad de este, con defensa pública. El solicitante podrá en todo momento desistir de la acción o, en caso de encontrarse vigente una sentencia judicial que ordene un régimen personalizado de medidas de apoyo para al ejercicio de la capacidad de obrar, el beneficiario podrá en todo momento solicitar su suspensión o cancelación de sus efectos. El juez, o el ministerio público podrán rechazar la solicitud de desistimiento, suspensión o cancelación si sospechan que los derechos patrimoniales o personales del solicitante o beneficiario podrían estar en riesgo. En dicho caso la resolución debe estar fundada y el solicitante o beneficiario podrá aportar prueba que demuestre que la decisión no importa un riego y se tomó de forma libre e informada…” Véase apéndice </w:t>
      </w:r>
      <w:r w:rsidRPr="00597337">
        <w:rPr>
          <w:i/>
        </w:rPr>
        <w:t>infra</w:t>
      </w:r>
      <w:r w:rsidRPr="00597337">
        <w:t xml:space="preserve">.  </w:t>
      </w:r>
    </w:p>
  </w:footnote>
  <w:footnote w:id="779">
    <w:p w:rsidR="00887731" w:rsidRPr="00597337" w:rsidRDefault="00887731" w:rsidP="004551E9">
      <w:pPr>
        <w:pStyle w:val="Pie"/>
      </w:pPr>
      <w:r w:rsidRPr="00597337">
        <w:rPr>
          <w:rStyle w:val="Refdenotaalpie"/>
        </w:rPr>
        <w:footnoteRef/>
      </w:r>
      <w:r w:rsidRPr="00597337">
        <w:t xml:space="preserve"> Ello resulta más complicado si optamos por un régimen jurídico de medidas de apoyo que permitan en casos excepcionales, la existencia de acciones de representación (Véase lo señalado en el punto 5.5.3.1 </w:t>
      </w:r>
      <w:r w:rsidRPr="00597337">
        <w:rPr>
          <w:i/>
        </w:rPr>
        <w:t>infra</w:t>
      </w:r>
      <w:r w:rsidRPr="00597337">
        <w:t xml:space="preserve">) </w:t>
      </w:r>
    </w:p>
  </w:footnote>
  <w:footnote w:id="780">
    <w:p w:rsidR="00887731" w:rsidRPr="00597337" w:rsidRDefault="00887731" w:rsidP="004551E9">
      <w:pPr>
        <w:pStyle w:val="Pie"/>
      </w:pPr>
      <w:r w:rsidRPr="00597337">
        <w:rPr>
          <w:rStyle w:val="Refdenotaalpie"/>
        </w:rPr>
        <w:footnoteRef/>
      </w:r>
      <w:r w:rsidRPr="00562DB8">
        <w:rPr>
          <w:lang w:val="en-US"/>
        </w:rPr>
        <w:t xml:space="preserve"> […People with disabilities who need support to exercise legal capacity have a right to be provided with such support.  Support means the development of a relation and ways of working together, to make it possible for a person to express him or herself and communicate his or her wishes, under an agreement of trust and respect reflecting the person’s wishes…] </w:t>
      </w:r>
      <w:r w:rsidRPr="00597337">
        <w:t xml:space="preserve">Principios para la implementación del artículo 12 de la CDPD adoptados por la </w:t>
      </w:r>
      <w:r w:rsidRPr="00597337">
        <w:rPr>
          <w:i/>
        </w:rPr>
        <w:t>International Disability Alliance</w:t>
      </w:r>
      <w:r w:rsidRPr="00597337">
        <w:t xml:space="preserve"> (IDA) Accesible en </w:t>
      </w:r>
      <w:hyperlink r:id="rId44" w:history="1">
        <w:r w:rsidRPr="00597337">
          <w:rPr>
            <w:rStyle w:val="Hipervnculo"/>
          </w:rPr>
          <w:t>www.internationaldisabilityalliance.org</w:t>
        </w:r>
      </w:hyperlink>
    </w:p>
  </w:footnote>
  <w:footnote w:id="781">
    <w:p w:rsidR="00887731" w:rsidRPr="00597337" w:rsidRDefault="00887731" w:rsidP="004551E9">
      <w:pPr>
        <w:pStyle w:val="Pie"/>
      </w:pPr>
      <w:r w:rsidRPr="00597337">
        <w:rPr>
          <w:rStyle w:val="Refdenotaalpie"/>
        </w:rPr>
        <w:footnoteRef/>
      </w:r>
      <w:r w:rsidRPr="00597337">
        <w:t xml:space="preserve"> […La accesibilidad de los ámbitos en los que debe desplegarse la capacidad jurídica resulta crucial para lograr la igualdad de las personas con discapacidad en el ejercicio de sus derechos. Cuando las medidas de accesibilidad no son suficientes, debe establecerse un sistema de apoyo personalizado adaptado a la situación de la persona que permita el ejercicio de su capacidad jurídica…] CUENCA GÓMEZ, P., (2011) “La capacidad jurídica de las personas con discapacidad: el art. 12 de la Convención de la ONU y su impacto en el ordenamiento jurídico español” en </w:t>
      </w:r>
      <w:r w:rsidRPr="00597337">
        <w:rPr>
          <w:i/>
        </w:rPr>
        <w:t>Derechos y Libertades</w:t>
      </w:r>
      <w:r w:rsidRPr="00597337">
        <w:t>, Número 24, Época II, p. 238.</w:t>
      </w:r>
    </w:p>
  </w:footnote>
  <w:footnote w:id="782">
    <w:p w:rsidR="00887731" w:rsidRPr="009F5804" w:rsidRDefault="00887731" w:rsidP="004551E9">
      <w:pPr>
        <w:pStyle w:val="Textonotapie"/>
      </w:pPr>
      <w:r w:rsidRPr="00597337">
        <w:rPr>
          <w:rStyle w:val="Refdenotaalpie"/>
        </w:rPr>
        <w:footnoteRef/>
      </w:r>
      <w:r w:rsidRPr="009F5804">
        <w:t xml:space="preserve"> En la Observación General Nº 1 el CteCDPD señala que: […Los derechos establecidos en el artículo 12 están estrechamente vinculados con las obligaciones de los Estados relativas a la accesibilidad (art. 9), porque el derecho al igual reconocimiento como persona ante la ley es necesario para que las personas con discapacidad puedan vivir en forma independiente y participar plenamente en todos los aspectos de la vida. El artículo 9 exige que se identifiquen y eliminen los obstáculos para acceder a las instalaciones o servicios abiertos u ofrecidos al público. La falta de acceso a la información y la comunicación y los servicios inaccesibles pueden, en la práctica, constituir obstáculos a la efectividad de la capacidad jurídica de algunas personas con discapacidad. Por consiguiente, los Estados partes deben garantizar la plena accesibilidad de todos los procedimientos para el ejercicio de la capacidad jurídica y de toda la información y comunicación correspondiente. Los Estados partes deben examinar sus leyes y prácticas para asegurarse de que el derecho a la capacidad jurídica y la accesibilidad sean efectivos…] Observación general Nº 1 (2014), Artículo 12: Igual reconocimiento como persona ante la ley, CRPD/C/GC/1, 19 de mayo de 2014, párrafo 37</w:t>
      </w:r>
      <w:r>
        <w:t>.</w:t>
      </w:r>
    </w:p>
  </w:footnote>
  <w:footnote w:id="783">
    <w:p w:rsidR="00887731" w:rsidRPr="004551E9" w:rsidRDefault="00887731" w:rsidP="004551E9">
      <w:pPr>
        <w:pStyle w:val="Pie"/>
        <w:rPr>
          <w:lang w:val="en-US"/>
        </w:rPr>
      </w:pPr>
      <w:r w:rsidRPr="00597337">
        <w:rPr>
          <w:rStyle w:val="Refdenotaalpie"/>
        </w:rPr>
        <w:footnoteRef/>
      </w:r>
      <w:r w:rsidRPr="004551E9">
        <w:rPr>
          <w:lang w:val="en-US"/>
        </w:rPr>
        <w:t xml:space="preserve"> BACH, M., (2012), op. cit., pp. 85-87.</w:t>
      </w:r>
    </w:p>
  </w:footnote>
  <w:footnote w:id="784">
    <w:p w:rsidR="00887731" w:rsidRPr="00597337" w:rsidRDefault="00887731" w:rsidP="004551E9">
      <w:pPr>
        <w:pStyle w:val="Pie"/>
      </w:pPr>
      <w:r w:rsidRPr="00597337">
        <w:rPr>
          <w:rStyle w:val="Refdenotaalpie"/>
        </w:rPr>
        <w:footnoteRef/>
      </w:r>
      <w:r w:rsidRPr="00597337">
        <w:t xml:space="preserve"> Cfr. Elementos clave de un sistema de apoyo en la toma de decisiones,  Propuesta de Posicionamiento del Foro Europeo de la Discapacidad (EDF), DOC-AGA-08-05-02</w:t>
      </w:r>
    </w:p>
  </w:footnote>
  <w:footnote w:id="785">
    <w:p w:rsidR="00887731" w:rsidRPr="009F5804" w:rsidRDefault="00887731" w:rsidP="004551E9">
      <w:pPr>
        <w:pStyle w:val="Textonotapie"/>
      </w:pPr>
      <w:r w:rsidRPr="00597337">
        <w:rPr>
          <w:rStyle w:val="Refdenotaalpie"/>
        </w:rPr>
        <w:footnoteRef/>
      </w:r>
      <w:r w:rsidRPr="00597337">
        <w:t xml:space="preserve"> Sin embargo, como se ha señalado anteriormente, </w:t>
      </w:r>
      <w:r>
        <w:t>e</w:t>
      </w:r>
      <w:r w:rsidRPr="009F5804">
        <w:t xml:space="preserve">n la Observación General Nº 1 el CteCDPD </w:t>
      </w:r>
      <w:r w:rsidRPr="00597337">
        <w:t>parece indicar lo contrario al establecer que</w:t>
      </w:r>
      <w:r w:rsidRPr="009F5804">
        <w:t>: […La obligación de los Estados partes de reemplazar los regímenes basados en la adopción de decisiones sustitutiva por otros que se basen en el apoyo a la adopción de decisiones exige que se supriman los primeros y se elaboren alternativas para los segundos. Crear sistemas de apoyo a la adopción de decisiones manteniendo paralelamente los regímenes basados en la adopción de decisiones sustitutiva no basta para cumplir con lo dispuesto en el artículo 12 de la Convención…] Observación general Nº 1 (2014), Artículo 12: Igual reconocimiento como persona ante la ley, CRPD/C/GC/1, 19 de mayo de 2014, párrafo 28.</w:t>
      </w:r>
    </w:p>
  </w:footnote>
  <w:footnote w:id="786">
    <w:p w:rsidR="00887731" w:rsidRPr="00597337" w:rsidRDefault="00887731" w:rsidP="004551E9">
      <w:pPr>
        <w:pStyle w:val="Pie"/>
      </w:pPr>
      <w:r w:rsidRPr="00597337">
        <w:rPr>
          <w:rStyle w:val="Refdenotaalpie"/>
        </w:rPr>
        <w:footnoteRef/>
      </w:r>
      <w:r w:rsidRPr="004551E9">
        <w:rPr>
          <w:lang w:val="en-US"/>
        </w:rPr>
        <w:t xml:space="preserve"> […Different types of support should be promoted and encouraged to meet the wide range of needs among people with disabilities and allow for personal choice among different options.  </w:t>
      </w:r>
      <w:r w:rsidRPr="00562DB8">
        <w:rPr>
          <w:lang w:val="en-US"/>
        </w:rPr>
        <w:t xml:space="preserve">Types of support may include, for example, support networks, personal ombudsperson, community services, peer support, personal assistant, and advance planning.  Age, gender, cultural and religious preferences, and similar factors must be taken into account, as well as needs expressed by people with different types of disabilities…] </w:t>
      </w:r>
      <w:r w:rsidRPr="00597337">
        <w:t xml:space="preserve">Principios para la implementación del artículo 12 de la CDPD adoptados por la International Disability Alliance (IDA) Accesible en </w:t>
      </w:r>
      <w:hyperlink r:id="rId45" w:history="1">
        <w:r w:rsidRPr="00597337">
          <w:t>www.internationaldisabilityalliance.org</w:t>
        </w:r>
      </w:hyperlink>
      <w:r w:rsidRPr="00597337">
        <w:t xml:space="preserve">; […El apoyo podría consistir en asistentes personales o en pares, o podría incluso tratarse únicamente de una declaración por escrito de las preferencias de la persona con discapacidad.  Lo que la Convención demanda es que el apoyo se sustente en la confianza, se proporcione con respeto, y nunca en contra de la voluntad de la persona con discapacidad…] Opinión Legal sobre el Artículo 12 de la CDPD de 21 de junio de 2008, accesible en: </w:t>
      </w:r>
      <w:hyperlink r:id="rId46" w:history="1">
        <w:r w:rsidRPr="00597337">
          <w:t>www.internationaldisabilityalliance.org</w:t>
        </w:r>
      </w:hyperlink>
    </w:p>
  </w:footnote>
  <w:footnote w:id="787">
    <w:p w:rsidR="00887731" w:rsidRPr="00597337" w:rsidRDefault="00887731" w:rsidP="004551E9">
      <w:pPr>
        <w:pStyle w:val="Pie"/>
      </w:pPr>
      <w:r w:rsidRPr="00597337">
        <w:rPr>
          <w:rStyle w:val="Refdenotaalpie"/>
        </w:rPr>
        <w:footnoteRef/>
      </w:r>
      <w:r w:rsidRPr="00597337">
        <w:t xml:space="preserve"> Cabe aclarar que algunas legislaciones como la española permite que la propia persona designar tutor pero solo cuando esté plenamente capaz y en previsión de una futura incapacidad. Cfr. Artículos 223(2º párrafo) y 234(inciso 1º). </w:t>
      </w:r>
    </w:p>
  </w:footnote>
  <w:footnote w:id="788">
    <w:p w:rsidR="00887731" w:rsidRPr="00597337" w:rsidRDefault="00887731" w:rsidP="004551E9">
      <w:pPr>
        <w:pStyle w:val="Pie"/>
      </w:pPr>
      <w:r w:rsidRPr="00597337">
        <w:rPr>
          <w:rStyle w:val="Refdenotaalpie"/>
        </w:rPr>
        <w:footnoteRef/>
      </w:r>
      <w:r w:rsidRPr="00597337">
        <w:t xml:space="preserve"> </w:t>
      </w:r>
      <w:r>
        <w:t>BARIFFI, F., (2012d</w:t>
      </w:r>
      <w:r w:rsidRPr="00597337">
        <w:t xml:space="preserve">) “El Régimen de Incapacidad del Código Civil Argentino a la luz de la Convención Internacional sobre los Derechos de las Personas con Discapacidad”, en </w:t>
      </w:r>
      <w:r w:rsidRPr="00597337">
        <w:rPr>
          <w:i/>
        </w:rPr>
        <w:t>Discapacidad Justicia y Estado</w:t>
      </w:r>
      <w:r w:rsidRPr="00597337">
        <w:t>, 1ra. Edición, Editorial Ministerio de Justicia y Derechos Humanos de la Nación, Buenos Aires, Noviembre 2012, pp. 107-136. En el Código Civil Español ello se recoge expresamente en el artículo 270 “El tutor único y, en su caso, el de los bienes es el administrador legal del patrimonio de los tutelados y está obligado a ejercer dicha administración con la diligencia de un buen padre de familia”.</w:t>
      </w:r>
    </w:p>
  </w:footnote>
  <w:footnote w:id="789">
    <w:p w:rsidR="00887731" w:rsidRPr="00597337" w:rsidRDefault="00887731" w:rsidP="004551E9">
      <w:pPr>
        <w:pStyle w:val="Pie"/>
      </w:pPr>
      <w:r w:rsidRPr="00597337">
        <w:rPr>
          <w:rStyle w:val="Refdenotaalpie"/>
        </w:rPr>
        <w:footnoteRef/>
      </w:r>
      <w:r w:rsidRPr="00597337">
        <w:t xml:space="preserve"> Por lo general el tutor o curador no puede ser legatario del tutelado, o no puede beneficiarse a título personal de un negocio celebrado en nombre de su representado, por nombrar algunos ejemplos. </w:t>
      </w:r>
    </w:p>
  </w:footnote>
  <w:footnote w:id="790">
    <w:p w:rsidR="00887731" w:rsidRPr="00597337" w:rsidRDefault="00887731" w:rsidP="004551E9">
      <w:pPr>
        <w:pStyle w:val="Pie"/>
        <w:rPr>
          <w:lang w:val="es-AR"/>
        </w:rPr>
      </w:pPr>
      <w:r w:rsidRPr="00597337">
        <w:rPr>
          <w:rStyle w:val="Refdenotaalpie"/>
        </w:rPr>
        <w:footnoteRef/>
      </w:r>
      <w:r w:rsidRPr="00597337">
        <w:rPr>
          <w:lang w:val="es-AR"/>
        </w:rPr>
        <w:t xml:space="preserve"> </w:t>
      </w:r>
      <w:r w:rsidRPr="00597337">
        <w:t>CUENCA GÓMEZ, P., (2011)</w:t>
      </w:r>
      <w:r w:rsidRPr="00597337">
        <w:rPr>
          <w:lang w:val="es-AR"/>
        </w:rPr>
        <w:t>, op. cit., pp.221-255.</w:t>
      </w:r>
    </w:p>
  </w:footnote>
  <w:footnote w:id="791">
    <w:p w:rsidR="00887731" w:rsidRPr="00597337" w:rsidRDefault="00887731" w:rsidP="004551E9">
      <w:pPr>
        <w:pStyle w:val="Pie"/>
      </w:pPr>
      <w:r w:rsidRPr="00597337">
        <w:rPr>
          <w:rStyle w:val="Refdenotaalpie"/>
        </w:rPr>
        <w:footnoteRef/>
      </w:r>
      <w:r w:rsidRPr="00597337">
        <w:t xml:space="preserve"> DE ASIS ROIG, R., (2012), op. cit., p. 14.</w:t>
      </w:r>
    </w:p>
  </w:footnote>
  <w:footnote w:id="792">
    <w:p w:rsidR="00887731" w:rsidRPr="00597337" w:rsidRDefault="00887731" w:rsidP="004551E9">
      <w:pPr>
        <w:pStyle w:val="Pie"/>
      </w:pPr>
      <w:r w:rsidRPr="00597337">
        <w:rPr>
          <w:rStyle w:val="Refdenotaalpie"/>
        </w:rPr>
        <w:footnoteRef/>
      </w:r>
      <w:r w:rsidRPr="00597337">
        <w:t xml:space="preserve"> QUINN, G., (2012), op. cit., pp 44 y 45.</w:t>
      </w:r>
    </w:p>
  </w:footnote>
  <w:footnote w:id="793">
    <w:p w:rsidR="00887731" w:rsidRPr="00562DB8" w:rsidRDefault="00887731" w:rsidP="004551E9">
      <w:pPr>
        <w:pStyle w:val="Pie"/>
        <w:rPr>
          <w:lang w:val="en-US"/>
        </w:rPr>
      </w:pPr>
      <w:r w:rsidRPr="00597337">
        <w:rPr>
          <w:rStyle w:val="Refdenotaalpie"/>
        </w:rPr>
        <w:footnoteRef/>
      </w:r>
      <w:r w:rsidRPr="004551E9">
        <w:rPr>
          <w:lang w:val="en-US"/>
        </w:rPr>
        <w:t xml:space="preserve"> </w:t>
      </w:r>
      <w:proofErr w:type="spellStart"/>
      <w:r w:rsidRPr="004551E9">
        <w:rPr>
          <w:lang w:val="en-US"/>
        </w:rPr>
        <w:t>Véase</w:t>
      </w:r>
      <w:proofErr w:type="spellEnd"/>
      <w:r w:rsidRPr="004551E9">
        <w:rPr>
          <w:lang w:val="en-US"/>
        </w:rPr>
        <w:t xml:space="preserve"> por </w:t>
      </w:r>
      <w:proofErr w:type="spellStart"/>
      <w:r w:rsidRPr="004551E9">
        <w:rPr>
          <w:lang w:val="en-US"/>
        </w:rPr>
        <w:t>ejemplo</w:t>
      </w:r>
      <w:proofErr w:type="spellEnd"/>
      <w:r w:rsidRPr="004551E9">
        <w:rPr>
          <w:lang w:val="en-US"/>
        </w:rPr>
        <w:t xml:space="preserve">: […As a last resort, when all other less restrictive support mechanisms have failed to resolve an individual situation, the Bill should outline the circumstances in which substituted decision-making can be used. </w:t>
      </w:r>
      <w:r w:rsidRPr="00562DB8">
        <w:rPr>
          <w:lang w:val="en-US"/>
        </w:rPr>
        <w:t xml:space="preserve">Types of substituted decision-making, which would be compliant with UN Convention, are often referred to as co-decision-making or facilitated decision-making, and these systems have a number of striking differences from guardianship or out-dated </w:t>
      </w:r>
      <w:proofErr w:type="spellStart"/>
      <w:r w:rsidRPr="00562DB8">
        <w:rPr>
          <w:lang w:val="en-US"/>
        </w:rPr>
        <w:t>wardship</w:t>
      </w:r>
      <w:proofErr w:type="spellEnd"/>
      <w:r w:rsidRPr="00562DB8">
        <w:rPr>
          <w:lang w:val="en-US"/>
        </w:rPr>
        <w:t xml:space="preserve"> mechanisms….] Submission on Legal Capacity the </w:t>
      </w:r>
      <w:proofErr w:type="spellStart"/>
      <w:r w:rsidRPr="00562DB8">
        <w:rPr>
          <w:lang w:val="en-US"/>
        </w:rPr>
        <w:t>Oireachtas</w:t>
      </w:r>
      <w:proofErr w:type="spellEnd"/>
      <w:r w:rsidRPr="00562DB8">
        <w:rPr>
          <w:lang w:val="en-US"/>
        </w:rPr>
        <w:t xml:space="preserve"> Committee on Justice, </w:t>
      </w:r>
      <w:proofErr w:type="spellStart"/>
      <w:r w:rsidRPr="00562DB8">
        <w:rPr>
          <w:lang w:val="en-US"/>
        </w:rPr>
        <w:t>Defence</w:t>
      </w:r>
      <w:proofErr w:type="spellEnd"/>
      <w:r w:rsidRPr="00562DB8">
        <w:rPr>
          <w:lang w:val="en-US"/>
        </w:rPr>
        <w:t xml:space="preserve"> &amp; Equality, Ireland, Centre for Disability Law &amp; Policy, NUI Galway, p. 35; […By ‘facilitated status’ we mean a status in which others facilitate the making of needed decisions. This status is envisioned for individuals in the following circumstances: People with significant disabilities who are not able to act legally independently, and who have no other people in their lives who have personal knowledge about them sufficient to understand their ways of communicating, their will and/or intentions as a basis for decision-making (as in a supported status); Individuals who have indicated wishes in a prior planning document, like that for a power of attorney, which is triggered when a person is not able to act legally independently or through a supported decision-making status; Individuals who did not establish prior planning documents, who do have others in their lives who know them well and are committed to acting for them, but where these supporting others are unable to discern the person’s current will and/or intentions sufficient to guide decision making – for example, people who have experienced traumatic injury, illness or a dementia which has left them in a coma, or with dramatically impaired cognitive and communication function…] A New Paradigm for Protecting Autonomy and the Right to Legal Capacity, Prepared for the Law Commission of Ontario by Michael Bach and Lana </w:t>
      </w:r>
      <w:proofErr w:type="spellStart"/>
      <w:r w:rsidRPr="00562DB8">
        <w:rPr>
          <w:lang w:val="en-US"/>
        </w:rPr>
        <w:t>Kerzner</w:t>
      </w:r>
      <w:proofErr w:type="spellEnd"/>
      <w:r w:rsidRPr="00562DB8">
        <w:rPr>
          <w:lang w:val="en-US"/>
        </w:rPr>
        <w:t>, October 2010, p. 91.</w:t>
      </w:r>
    </w:p>
  </w:footnote>
  <w:footnote w:id="794">
    <w:p w:rsidR="00887731" w:rsidRPr="00597337" w:rsidRDefault="00887731" w:rsidP="004551E9">
      <w:pPr>
        <w:pStyle w:val="Pie"/>
      </w:pPr>
      <w:r w:rsidRPr="00597337">
        <w:rPr>
          <w:rStyle w:val="Refdenotaalpie"/>
        </w:rPr>
        <w:footnoteRef/>
      </w:r>
      <w:r w:rsidRPr="00597337">
        <w:t xml:space="preserve"> GANZENMULLER ROIG, C., (2012) “El juicio de capacidad y el Ministerio Fiscal: La labor del fiscal en la promoción de la autonomía de la voluntad de las personas con discapacidad intelectual o mental”, en </w:t>
      </w:r>
      <w:r w:rsidRPr="00597337">
        <w:rPr>
          <w:caps/>
        </w:rPr>
        <w:t>Bariffi, F. &amp; Palacios A., (Coord)</w:t>
      </w:r>
      <w:r w:rsidRPr="00597337">
        <w:t>, op. cit., p. 485.</w:t>
      </w:r>
    </w:p>
  </w:footnote>
  <w:footnote w:id="795">
    <w:p w:rsidR="00887731" w:rsidRPr="00597337" w:rsidRDefault="00887731" w:rsidP="004551E9">
      <w:pPr>
        <w:pStyle w:val="Pie"/>
      </w:pPr>
      <w:r w:rsidRPr="00597337">
        <w:rPr>
          <w:rStyle w:val="Refdenotaalpie"/>
        </w:rPr>
        <w:footnoteRef/>
      </w:r>
      <w:r w:rsidRPr="00597337">
        <w:t xml:space="preserve"> MARIN CALERO, C., (2012) “Los apoyos a la capacidad jurídica de obrar de las personas con discapacidad”, en </w:t>
      </w:r>
      <w:r w:rsidRPr="00597337">
        <w:rPr>
          <w:caps/>
        </w:rPr>
        <w:t>Bariffi, F. &amp; Palacios A., (Coord)</w:t>
      </w:r>
      <w:r w:rsidRPr="00597337">
        <w:t>, op. cit., p. 409.</w:t>
      </w:r>
    </w:p>
  </w:footnote>
  <w:footnote w:id="796">
    <w:p w:rsidR="00887731" w:rsidRPr="00562DB8" w:rsidRDefault="00887731" w:rsidP="004551E9">
      <w:pPr>
        <w:pStyle w:val="Pie"/>
        <w:rPr>
          <w:lang w:val="en-US"/>
        </w:rPr>
      </w:pPr>
      <w:r w:rsidRPr="00597337">
        <w:rPr>
          <w:rStyle w:val="Refdenotaalpie"/>
        </w:rPr>
        <w:footnoteRef/>
      </w:r>
      <w:r w:rsidRPr="00562DB8">
        <w:rPr>
          <w:lang w:val="en-US"/>
        </w:rPr>
        <w:t xml:space="preserve"> BACH, M., (2012), op. cit., p. 94.</w:t>
      </w:r>
    </w:p>
  </w:footnote>
  <w:footnote w:id="797">
    <w:p w:rsidR="00887731" w:rsidRPr="0078741B" w:rsidRDefault="00887731" w:rsidP="004551E9">
      <w:pPr>
        <w:pStyle w:val="Pie"/>
      </w:pPr>
      <w:r w:rsidRPr="00597337">
        <w:rPr>
          <w:rStyle w:val="Refdenotaalpie"/>
        </w:rPr>
        <w:footnoteRef/>
      </w:r>
      <w:r w:rsidRPr="0078741B">
        <w:t xml:space="preserve"> </w:t>
      </w:r>
      <w:proofErr w:type="spellStart"/>
      <w:r w:rsidRPr="0078741B">
        <w:t>Idem</w:t>
      </w:r>
      <w:proofErr w:type="spellEnd"/>
      <w:r w:rsidRPr="0078741B">
        <w:t xml:space="preserve">, p. 97. </w:t>
      </w:r>
    </w:p>
  </w:footnote>
  <w:footnote w:id="798">
    <w:p w:rsidR="00887731" w:rsidRPr="00597337" w:rsidRDefault="00887731" w:rsidP="004551E9">
      <w:pPr>
        <w:pStyle w:val="Pie"/>
      </w:pPr>
      <w:r w:rsidRPr="00597337">
        <w:rPr>
          <w:rStyle w:val="Refdenotaalpie"/>
        </w:rPr>
        <w:footnoteRef/>
      </w:r>
      <w:r w:rsidRPr="0078741B">
        <w:rPr>
          <w:lang w:val="pt-BR"/>
        </w:rPr>
        <w:t xml:space="preserve"> PALACIOS, A., (2010b). </w:t>
      </w:r>
      <w:r w:rsidRPr="00597337">
        <w:t xml:space="preserve">Seminario “Capacidad jurídica, Discapacidad y Derechos Humanos” celebrado en la Universidad Carlos III de Madrid del 15 al 18 de febrero de 2010 y cuyos materiales pueden consultarse en: </w:t>
      </w:r>
      <w:hyperlink r:id="rId47" w:history="1">
        <w:r w:rsidRPr="00597337">
          <w:rPr>
            <w:rStyle w:val="Hipervnculo"/>
          </w:rPr>
          <w:t>http://www.tiempodelosderechos.es</w:t>
        </w:r>
      </w:hyperlink>
      <w:r w:rsidRPr="00597337">
        <w:t xml:space="preserve"> </w:t>
      </w:r>
    </w:p>
  </w:footnote>
  <w:footnote w:id="799">
    <w:p w:rsidR="00887731" w:rsidRPr="00597337" w:rsidRDefault="00887731" w:rsidP="004551E9">
      <w:pPr>
        <w:pStyle w:val="Pie"/>
      </w:pPr>
      <w:r w:rsidRPr="00597337">
        <w:rPr>
          <w:rStyle w:val="Refdenotaalpie"/>
        </w:rPr>
        <w:footnoteRef/>
      </w:r>
      <w:r w:rsidRPr="00597337">
        <w:t xml:space="preserve"> En un grupo de trabajo integrados por miembros del </w:t>
      </w:r>
      <w:proofErr w:type="spellStart"/>
      <w:r w:rsidRPr="00597337">
        <w:t>ONGs</w:t>
      </w:r>
      <w:proofErr w:type="spellEnd"/>
      <w:r w:rsidRPr="00597337">
        <w:t xml:space="preserve">, académicos, instituciones públicas de defensa, y </w:t>
      </w:r>
      <w:proofErr w:type="spellStart"/>
      <w:r w:rsidRPr="00597337">
        <w:t>OPDs</w:t>
      </w:r>
      <w:proofErr w:type="spellEnd"/>
      <w:r w:rsidRPr="00597337">
        <w:t>, (en la cual participó el autor de este trabajo), que elaboró una propuesta alternativa al Proyecto de Código Civil y Comercial de la Nación de 2012, redactado por la Comisión de Reformas designada por Decreto 191/2011, http://www.nuevocodigocivil.com, se sugirió la siguiente fórmula para habilitar la vía excepcional de representación legal de personas con discapacidad; […</w:t>
      </w:r>
      <w:r w:rsidRPr="00597337">
        <w:rPr>
          <w:i/>
        </w:rPr>
        <w:t>Cuando la persona se encuentre absolutamente imposibilitada de interaccionar con su entorno y expresar su voluntad por cualquier modo, medio o formato adecuado, y los sistemas de apoyos hayan resultado insuficientes e ineficaces</w:t>
      </w:r>
      <w:r w:rsidRPr="00597337">
        <w:t xml:space="preserve">…], texto en propiedad del autor de Noviembre de 2012. </w:t>
      </w:r>
    </w:p>
  </w:footnote>
  <w:footnote w:id="800">
    <w:p w:rsidR="00887731" w:rsidRPr="00597337" w:rsidRDefault="00887731" w:rsidP="004551E9">
      <w:pPr>
        <w:pStyle w:val="Pie"/>
      </w:pPr>
      <w:r w:rsidRPr="00597337">
        <w:rPr>
          <w:rStyle w:val="Refdenotaalpie"/>
        </w:rPr>
        <w:footnoteRef/>
      </w:r>
      <w:r w:rsidRPr="00597337">
        <w:t xml:space="preserve"> Véase en este sentido lo señalado en el Capítulo 4 (4.3.4). </w:t>
      </w:r>
    </w:p>
  </w:footnote>
  <w:footnote w:id="801">
    <w:p w:rsidR="00887731" w:rsidRPr="00597337" w:rsidRDefault="00887731" w:rsidP="004551E9">
      <w:pPr>
        <w:pStyle w:val="Pie"/>
        <w:rPr>
          <w:lang w:val="es-AR"/>
        </w:rPr>
      </w:pPr>
      <w:r w:rsidRPr="00597337">
        <w:rPr>
          <w:rStyle w:val="Refdenotaalpie"/>
        </w:rPr>
        <w:footnoteRef/>
      </w:r>
      <w:r w:rsidRPr="00597337">
        <w:rPr>
          <w:lang w:val="en-US"/>
        </w:rPr>
        <w:t xml:space="preserve"> </w:t>
      </w:r>
      <w:proofErr w:type="gramStart"/>
      <w:r w:rsidRPr="00597337">
        <w:rPr>
          <w:lang w:val="en-US"/>
        </w:rPr>
        <w:t>Representation Agreement Act, R.S.B.C. 1996, c. 405.</w:t>
      </w:r>
      <w:proofErr w:type="gramEnd"/>
      <w:r w:rsidRPr="00597337">
        <w:rPr>
          <w:lang w:val="en-US"/>
        </w:rPr>
        <w:t xml:space="preserve"> </w:t>
      </w:r>
      <w:r w:rsidRPr="00597337">
        <w:rPr>
          <w:lang w:val="es-AR"/>
        </w:rPr>
        <w:t xml:space="preserve">El texto original puede consultarse en: </w:t>
      </w:r>
      <w:hyperlink r:id="rId48" w:history="1">
        <w:r w:rsidRPr="00597337">
          <w:rPr>
            <w:rStyle w:val="Hipervnculo"/>
            <w:lang w:val="es-AR"/>
          </w:rPr>
          <w:t>www.bclaws.ca</w:t>
        </w:r>
      </w:hyperlink>
      <w:r w:rsidRPr="00597337">
        <w:rPr>
          <w:lang w:val="es-AR"/>
        </w:rPr>
        <w:t xml:space="preserve">. </w:t>
      </w:r>
      <w:r w:rsidRPr="00597337">
        <w:t xml:space="preserve">Para una recopilación específica en materia de capacidad jurídica véase BARIFFI, F. y PALACIOS A. </w:t>
      </w:r>
      <w:r>
        <w:t xml:space="preserve">(2008) </w:t>
      </w:r>
      <w:r w:rsidRPr="00597337">
        <w:t>(Comps.) Capacidad Jurídica y Discapacidad, Un Estudio de Derecho Privado Comparado a la luz de la Convención Internacional sobre los Derechos de las Personas con Discapacidad, Cuaderno de Trabajo nº 9  CANADÁ, Congreso Permanente sobre Discapacidad y Derechos Humanos, Aprosuba, Cáceres, 2009, accesible en: http://www.convenciondiscapacidad.es/Capacidad.html</w:t>
      </w:r>
      <w:r w:rsidRPr="00597337">
        <w:rPr>
          <w:lang w:val="es-AR"/>
        </w:rPr>
        <w:t xml:space="preserve"> </w:t>
      </w:r>
    </w:p>
  </w:footnote>
  <w:footnote w:id="802">
    <w:p w:rsidR="00887731" w:rsidRPr="00597337" w:rsidRDefault="00887731" w:rsidP="004551E9">
      <w:pPr>
        <w:pStyle w:val="Pie"/>
      </w:pPr>
      <w:r w:rsidRPr="00597337">
        <w:rPr>
          <w:rStyle w:val="Refdenotaalpie"/>
        </w:rPr>
        <w:footnoteRef/>
      </w:r>
      <w:r w:rsidRPr="00597337">
        <w:t xml:space="preserve"> Para más información veáse BARIFFI, F., (2012</w:t>
      </w:r>
      <w:r>
        <w:t>c</w:t>
      </w:r>
      <w:r w:rsidRPr="00597337">
        <w:t>), op. cit.</w:t>
      </w:r>
    </w:p>
  </w:footnote>
  <w:footnote w:id="803">
    <w:p w:rsidR="00887731" w:rsidRPr="00597337" w:rsidRDefault="00887731" w:rsidP="004551E9">
      <w:pPr>
        <w:pStyle w:val="Pie"/>
      </w:pPr>
      <w:r w:rsidRPr="00597337">
        <w:rPr>
          <w:rStyle w:val="Refdenotaalpie"/>
        </w:rPr>
        <w:footnoteRef/>
      </w:r>
      <w:r w:rsidRPr="00597337">
        <w:t xml:space="preserve"> CUENCA GÓMEZ, P., (2011), op. cit., p.246.</w:t>
      </w:r>
    </w:p>
  </w:footnote>
  <w:footnote w:id="804">
    <w:p w:rsidR="00887731" w:rsidRPr="00597337" w:rsidRDefault="00887731" w:rsidP="004551E9">
      <w:pPr>
        <w:pStyle w:val="Pie"/>
      </w:pPr>
      <w:r w:rsidRPr="00597337">
        <w:rPr>
          <w:rStyle w:val="Refdenotaalpie"/>
        </w:rPr>
        <w:footnoteRef/>
      </w:r>
      <w:r w:rsidRPr="00597337">
        <w:t xml:space="preserve"> Véase en este sentido PALACIOS, A., (2012), “Reinterpretando la capacidad jurídica desde los derechos humanos: una nueva mirada desde la Convención Internacional sobre los Derechos de las Personas con Discapacidad”, en </w:t>
      </w:r>
      <w:r w:rsidRPr="00597337">
        <w:rPr>
          <w:caps/>
        </w:rPr>
        <w:t xml:space="preserve">Bariffi, F. &amp; Palacios A., (Coord), </w:t>
      </w:r>
      <w:r w:rsidRPr="00597337">
        <w:t xml:space="preserve">op. cit. Por ejemplo el apartado 2(b) del Artículo 12 en la Propuesta que el Presidente del Comité Especial envió a las delegaciones para su lectura y debate en la Séptima Sesión, señala que: “Cuando los Estados Partes determinen un procedimiento a seguir, que se establecerá por ley para la designación de un representante personal como último recurso, dicha ley recoja las salvaguardias apropiadas, incluido el examen periódico de la designación del representante personal y de las decisiones adoptadas por éste a cargo de un tribunal competente, imparcial e independiente. La designación y la conducta del representante personal se guiarán por principios que se ajusten a la presente Convención y al derecho internacional sobre derechos humanos”. </w:t>
      </w:r>
    </w:p>
  </w:footnote>
  <w:footnote w:id="805">
    <w:p w:rsidR="00887731" w:rsidRPr="009F5804" w:rsidRDefault="00887731" w:rsidP="004551E9">
      <w:pPr>
        <w:pStyle w:val="Textonotapie"/>
      </w:pPr>
      <w:r w:rsidRPr="00597337">
        <w:rPr>
          <w:rStyle w:val="Refdenotaalpie"/>
        </w:rPr>
        <w:footnoteRef/>
      </w:r>
      <w:r w:rsidRPr="00597337">
        <w:t xml:space="preserve"> </w:t>
      </w:r>
      <w:r w:rsidRPr="009F5804">
        <w:t>En la Observación General Nº 1 el CteCDPD señala que: […En el artículo 12, párrafo 4, se describen las salvaguardias con que debe contar un sistema de apoyo en el ejercicio de la capacidad jurídica. El artículo 12, párrafo 4, debe interpretarse en conjunción con el resto del artículo 12 y con toda la Convención. En este párrafo se exige a los Estados partes que creen salvaguardias adecuadas y efectivas para el ejercicio de la capacidad jurídica. El objetivo principal de esas salvaguardias debe ser garantizar el respeto de los derechos, la voluntad y las preferencias de la persona. Para lograrlo, las salvaguardias deben proporcionar protección contra los abusos, en igualdad de condiciones con las demás personas…] Observación general Nº 1 (2014), Artículo 12: Igual reconocimiento como persona ante la ley, CRPD/C/GC/1, 19 de mayo de 2014, párrafo 20</w:t>
      </w:r>
      <w:r>
        <w:t>.</w:t>
      </w:r>
    </w:p>
  </w:footnote>
  <w:footnote w:id="806">
    <w:p w:rsidR="00887731" w:rsidRPr="00597337" w:rsidRDefault="00887731" w:rsidP="004551E9">
      <w:pPr>
        <w:pStyle w:val="Pie"/>
      </w:pPr>
      <w:r w:rsidRPr="00597337">
        <w:rPr>
          <w:rStyle w:val="Refdenotaalpie"/>
        </w:rPr>
        <w:footnoteRef/>
      </w:r>
      <w:r w:rsidRPr="00597337">
        <w:t xml:space="preserve"> Véase punto 5.5.3 más arriba. </w:t>
      </w:r>
    </w:p>
  </w:footnote>
  <w:footnote w:id="807">
    <w:p w:rsidR="00887731" w:rsidRPr="00D655A8" w:rsidRDefault="00887731" w:rsidP="004551E9">
      <w:pPr>
        <w:pStyle w:val="Textonotapie"/>
      </w:pPr>
      <w:r>
        <w:rPr>
          <w:rStyle w:val="Refdenotaalpie"/>
        </w:rPr>
        <w:footnoteRef/>
      </w:r>
      <w:r w:rsidRPr="00D655A8">
        <w:t xml:space="preserve"> En la Observación General Nº 1 el CteCDPD señala que: […Cuando, pese a haberse hecho un esfuerzo considerable, no sea posible determinar la voluntad y las preferencias de una persona, la determinación del "interés superior" debe ser sustituida por la "mejor interpretación posible de la voluntad y las preferencias". Ello respeta los derechos, la voluntad y las preferencias de la persona, de conformidad con el artículo 12, párrafo 4. El principio del "interés superior" no es una salvaguardia que cumpla con el artículo 12 en relación con los adultos. El paradigma de "la voluntad y las preferencias" debe reemplazar al del "interés superior" para que las personas con discapacidad disfruten del derecho a la capacidad jurídica en condiciones de igualdad con los demás…] Observación general Nº 1 (2014), Artículo 12: Igual reconocimiento como persona ante la ley, CRPD/C/GC/1, 19 de mayo de 2014, párrafo 21</w:t>
      </w:r>
      <w:r>
        <w:t>.</w:t>
      </w:r>
    </w:p>
  </w:footnote>
  <w:footnote w:id="808">
    <w:p w:rsidR="00887731" w:rsidRPr="00597337" w:rsidRDefault="00887731" w:rsidP="004551E9">
      <w:pPr>
        <w:pStyle w:val="Pie"/>
      </w:pPr>
      <w:r w:rsidRPr="00597337">
        <w:rPr>
          <w:rStyle w:val="Refdenotaalpie"/>
        </w:rPr>
        <w:footnoteRef/>
      </w:r>
      <w:r w:rsidRPr="00597337">
        <w:t xml:space="preserve"> PALACIOS, A., (2012), op. cit.</w:t>
      </w:r>
    </w:p>
  </w:footnote>
  <w:footnote w:id="809">
    <w:p w:rsidR="00887731" w:rsidRPr="00597337" w:rsidRDefault="00887731" w:rsidP="004551E9">
      <w:pPr>
        <w:pStyle w:val="Pie"/>
      </w:pPr>
      <w:r w:rsidRPr="00597337">
        <w:rPr>
          <w:rStyle w:val="Refdenotaalpie"/>
        </w:rPr>
        <w:footnoteRef/>
      </w:r>
      <w:r w:rsidRPr="00597337">
        <w:t xml:space="preserve"> Convención interamericana para la eliminación de todas las formas de discriminación contra las personas con discapacidad, aprobada por la Asamblea General de la Organización de Estados Americanos, en ciudad de Guatemala, el 6 de julio de 1999.</w:t>
      </w:r>
    </w:p>
  </w:footnote>
  <w:footnote w:id="810">
    <w:p w:rsidR="00887731" w:rsidRPr="004551E9" w:rsidRDefault="00887731" w:rsidP="004551E9">
      <w:pPr>
        <w:pStyle w:val="Pie"/>
        <w:rPr>
          <w:lang w:val="en-US"/>
        </w:rPr>
      </w:pPr>
      <w:r w:rsidRPr="00597337">
        <w:rPr>
          <w:rStyle w:val="Refdenotaalpie"/>
        </w:rPr>
        <w:footnoteRef/>
      </w:r>
      <w:r w:rsidRPr="004551E9">
        <w:rPr>
          <w:lang w:val="en-US"/>
        </w:rPr>
        <w:t xml:space="preserve"> Convention for the protection of Human Rights and Dignity of the Human Being with regard to the Application of Biology and Medicine: Convention on Human Rights and Biomedicine, CETS No.: 164, Oviedo, 4/4/1997. </w:t>
      </w:r>
    </w:p>
  </w:footnote>
  <w:footnote w:id="811">
    <w:p w:rsidR="00887731" w:rsidRPr="00597337" w:rsidRDefault="00887731" w:rsidP="004551E9">
      <w:pPr>
        <w:pStyle w:val="Pie"/>
      </w:pPr>
      <w:r w:rsidRPr="00597337">
        <w:rPr>
          <w:rStyle w:val="Refdenotaalpie"/>
        </w:rPr>
        <w:footnoteRef/>
      </w:r>
      <w:r w:rsidRPr="00597337">
        <w:t xml:space="preserve"> Resolución de la Asamblea General 46/119, de 17 de diciembre de 1991</w:t>
      </w:r>
    </w:p>
  </w:footnote>
  <w:footnote w:id="812">
    <w:p w:rsidR="00887731" w:rsidRPr="00597337" w:rsidRDefault="00887731" w:rsidP="004551E9">
      <w:pPr>
        <w:pStyle w:val="Pie"/>
      </w:pPr>
      <w:r w:rsidRPr="00597337">
        <w:rPr>
          <w:rStyle w:val="Refdenotaalpie"/>
        </w:rPr>
        <w:footnoteRef/>
      </w:r>
      <w:r w:rsidRPr="00597337">
        <w:t xml:space="preserve"> Adoptadas por el Primer Congreso de las Naciones Unidas sobre Prevención del Delito y Tratamiento del Delincuente, celebrado en Ginebra en 1955, y aprobadas por el Consejo Económico y Social en sus resoluciones 663C (XXIV) de 31 de julio de 1957 y 2076 (LXII) de 13 de mayo de 1977.</w:t>
      </w:r>
      <w:r>
        <w:t xml:space="preserve"> En este sentido cabe destacar el informe preliminar del Relator contra la Tortura Juan Méndez quien formula una serie de propuestas para su revisión: “…Las reglas 82 y 83 de las Reglas deberían ser sustituidas por una disposición que se aplique a todas las personas con discapacidad. Dicha disposición debería señalar expresamente que los reclusos con discapacidad tienen derecho a optar a todos los programas y servicios a disposición de los demás reclusos, incluida la participación voluntaria en actividades y en programas de puesta en libertad en la comunidad, y a ser alojados con la población penitenciaria general en igualdad de condiciones y sin discriminación. También debería mencionar claramente ciertos derechos consagrados en la Convención sobre los Derechos de las Personas con Discapacidad: el deber de realizar ajustes razonables (arts. 5 y 14); el deber de esforzarse por crear un entorno accesible (art. 9); el deber de asegurar que las personas con discapacidad tengan acceso a todos los servicios sin tener que depender de la asistencia de otros reclusos (por ejemplo, arts. 5, 20 y 28); y el deber de respetar las decisiones de las personas con discapacidad y de establecer mecanismos efectivos para apoyar la adopción de decisiones a fin de que las personas con discapacidades psicosociales o intelectuales puedan ejercer su capacidad jurídica en igualdad de condiciones que los demás (véanse los arts. 12 y 13)…”. </w:t>
      </w:r>
      <w:r w:rsidRPr="00556822">
        <w:t>A/68/295</w:t>
      </w:r>
      <w:r>
        <w:t xml:space="preserve">, </w:t>
      </w:r>
      <w:r w:rsidRPr="00556822">
        <w:t>9 de agosto de 2013</w:t>
      </w:r>
      <w:r>
        <w:t xml:space="preserve">, párrafo 72. </w:t>
      </w:r>
      <w:r>
        <w:cr/>
      </w:r>
    </w:p>
  </w:footnote>
  <w:footnote w:id="813">
    <w:p w:rsidR="00887731" w:rsidRPr="00597337" w:rsidRDefault="00887731" w:rsidP="004551E9">
      <w:pPr>
        <w:pStyle w:val="Pie"/>
      </w:pPr>
      <w:r w:rsidRPr="00597337">
        <w:rPr>
          <w:rStyle w:val="Refdenotaalpie"/>
        </w:rPr>
        <w:footnoteRef/>
      </w:r>
      <w:r w:rsidRPr="00597337">
        <w:t xml:space="preserve"> Es preciso aclarar que la mayor importancia en la relación entre el </w:t>
      </w:r>
      <w:proofErr w:type="spellStart"/>
      <w:r w:rsidRPr="00597337">
        <w:rPr>
          <w:i/>
        </w:rPr>
        <w:t>soft</w:t>
      </w:r>
      <w:proofErr w:type="spellEnd"/>
      <w:r w:rsidRPr="00597337">
        <w:rPr>
          <w:i/>
        </w:rPr>
        <w:t xml:space="preserve"> </w:t>
      </w:r>
      <w:proofErr w:type="spellStart"/>
      <w:r w:rsidRPr="00597337">
        <w:rPr>
          <w:i/>
        </w:rPr>
        <w:t>law</w:t>
      </w:r>
      <w:proofErr w:type="spellEnd"/>
      <w:r w:rsidRPr="00597337">
        <w:t xml:space="preserve"> y el proceso consuetudinario radica en la dimensión probatoria de una </w:t>
      </w:r>
      <w:proofErr w:type="spellStart"/>
      <w:r w:rsidRPr="00597337">
        <w:rPr>
          <w:i/>
        </w:rPr>
        <w:t>opinio</w:t>
      </w:r>
      <w:proofErr w:type="spellEnd"/>
      <w:r w:rsidRPr="00597337">
        <w:rPr>
          <w:i/>
        </w:rPr>
        <w:t xml:space="preserve"> </w:t>
      </w:r>
      <w:proofErr w:type="spellStart"/>
      <w:r w:rsidRPr="00597337">
        <w:rPr>
          <w:i/>
        </w:rPr>
        <w:t>juris</w:t>
      </w:r>
      <w:proofErr w:type="spellEnd"/>
      <w:r w:rsidRPr="00597337">
        <w:t xml:space="preserve">, pero el </w:t>
      </w:r>
      <w:proofErr w:type="spellStart"/>
      <w:r w:rsidRPr="00597337">
        <w:rPr>
          <w:i/>
        </w:rPr>
        <w:t>soft</w:t>
      </w:r>
      <w:proofErr w:type="spellEnd"/>
      <w:r w:rsidRPr="00597337">
        <w:rPr>
          <w:i/>
        </w:rPr>
        <w:t xml:space="preserve"> </w:t>
      </w:r>
      <w:proofErr w:type="spellStart"/>
      <w:r w:rsidRPr="00597337">
        <w:rPr>
          <w:i/>
        </w:rPr>
        <w:t>law</w:t>
      </w:r>
      <w:proofErr w:type="spellEnd"/>
      <w:r w:rsidRPr="00597337">
        <w:t xml:space="preserve"> no prueba el elemento material de la costumbre. Véase MARIÑO MENÉNDEZ, F., (2005) op. cit, pp. 406-412.</w:t>
      </w:r>
    </w:p>
  </w:footnote>
  <w:footnote w:id="814">
    <w:p w:rsidR="00887731" w:rsidRPr="00597337" w:rsidRDefault="00887731" w:rsidP="004551E9">
      <w:pPr>
        <w:pStyle w:val="Pie"/>
      </w:pPr>
      <w:r w:rsidRPr="00597337">
        <w:rPr>
          <w:rStyle w:val="Refdenotaalpie"/>
        </w:rPr>
        <w:footnoteRef/>
      </w:r>
      <w:r w:rsidRPr="00597337">
        <w:t xml:space="preserve"> Ley 26.657, Derecho a la Protección de la Salud Mental. Disposiciones complementarias. Derógase la Ley Nº 22.914. Sancionada: Noviembre 25 de 2010.</w:t>
      </w:r>
    </w:p>
  </w:footnote>
  <w:footnote w:id="815">
    <w:p w:rsidR="00887731" w:rsidRPr="00597337" w:rsidRDefault="00887731" w:rsidP="004551E9">
      <w:pPr>
        <w:pStyle w:val="Pie"/>
      </w:pPr>
      <w:r w:rsidRPr="00597337">
        <w:rPr>
          <w:rStyle w:val="Refdenotaalpie"/>
        </w:rPr>
        <w:footnoteRef/>
      </w:r>
      <w:r w:rsidRPr="00597337">
        <w:t xml:space="preserve"> Véase el respecto </w:t>
      </w:r>
      <w:r w:rsidRPr="00597337">
        <w:rPr>
          <w:rStyle w:val="PieCar"/>
        </w:rPr>
        <w:t>BARIFFI</w:t>
      </w:r>
      <w:r w:rsidRPr="00597337">
        <w:t xml:space="preserve">, F. &amp; SMITH, M., (2013), op. cit. </w:t>
      </w:r>
    </w:p>
  </w:footnote>
  <w:footnote w:id="816">
    <w:p w:rsidR="00887731" w:rsidRPr="00597337" w:rsidRDefault="00887731" w:rsidP="004551E9">
      <w:pPr>
        <w:pStyle w:val="Pie"/>
      </w:pPr>
      <w:r w:rsidRPr="00597337">
        <w:rPr>
          <w:rStyle w:val="Refdenotaalpie"/>
        </w:rPr>
        <w:footnoteRef/>
      </w:r>
      <w:r w:rsidRPr="00597337">
        <w:t xml:space="preserve"> Ley 29889, Ley que modifica el artículo 11 de la Ley 26842, Ley General de Salud, y garantiza los derechos de las personas con problemas de salud mental, de junio de 2012. </w:t>
      </w:r>
    </w:p>
  </w:footnote>
  <w:footnote w:id="817">
    <w:p w:rsidR="00887731" w:rsidRPr="00597337" w:rsidRDefault="00887731" w:rsidP="004551E9">
      <w:pPr>
        <w:pStyle w:val="Pie"/>
      </w:pPr>
      <w:r w:rsidRPr="00597337">
        <w:rPr>
          <w:rStyle w:val="Refdenotaalpie"/>
        </w:rPr>
        <w:footnoteRef/>
      </w:r>
      <w:r w:rsidRPr="00597337">
        <w:t xml:space="preserve"> Ley 1616 de 2013 (enero 21) por medio de la cual se expide la ley de Salud Mental y se dictan otras disposiciones.</w:t>
      </w:r>
    </w:p>
  </w:footnote>
  <w:footnote w:id="818">
    <w:p w:rsidR="00887731" w:rsidRPr="00597337" w:rsidRDefault="00887731" w:rsidP="004551E9">
      <w:pPr>
        <w:pStyle w:val="Pie"/>
      </w:pPr>
      <w:r w:rsidRPr="00597337">
        <w:rPr>
          <w:rStyle w:val="Refdenotaalpie"/>
        </w:rPr>
        <w:footnoteRef/>
      </w:r>
      <w:r w:rsidRPr="00597337">
        <w:t xml:space="preserve"> Véase en este punto lo señalado al respecto en el Capítulo 2 (2.3) </w:t>
      </w:r>
    </w:p>
  </w:footnote>
  <w:footnote w:id="819">
    <w:p w:rsidR="00887731" w:rsidRPr="00597337" w:rsidRDefault="00887731" w:rsidP="004551E9">
      <w:pPr>
        <w:pStyle w:val="Pie"/>
      </w:pPr>
      <w:r w:rsidRPr="00597337">
        <w:rPr>
          <w:rStyle w:val="Refdenotaalpie"/>
        </w:rPr>
        <w:footnoteRef/>
      </w:r>
      <w:r w:rsidRPr="00597337">
        <w:t xml:space="preserve"> […Puesto que el Derecho consuetudinario está dotado de gran </w:t>
      </w:r>
      <w:proofErr w:type="spellStart"/>
      <w:r w:rsidRPr="00597337">
        <w:t>dinamicidad</w:t>
      </w:r>
      <w:proofErr w:type="spellEnd"/>
      <w:r w:rsidRPr="00597337">
        <w:t xml:space="preserve">, las reglas consuetudinarias subyacentes a un texto convencional determinado pueden cambiar o caer en </w:t>
      </w:r>
      <w:proofErr w:type="spellStart"/>
      <w:r w:rsidRPr="00597337">
        <w:rPr>
          <w:i/>
        </w:rPr>
        <w:t>desuetudo</w:t>
      </w:r>
      <w:proofErr w:type="spellEnd"/>
      <w:r w:rsidRPr="00597337">
        <w:t>; por su parte las normas establecidas por tratado pueden contribuir como “precedentes convencionales” a la formación de costumbre nuevas, o incluso “generar” a través de la práctica subsiguiente un nuevo Derecho consuetudinario…] MARIÑO MENÉNDEZ, F., (2005) op. cit, p.439.</w:t>
      </w:r>
    </w:p>
  </w:footnote>
  <w:footnote w:id="820">
    <w:p w:rsidR="00887731" w:rsidRPr="00597337" w:rsidRDefault="00887731" w:rsidP="004551E9">
      <w:pPr>
        <w:pStyle w:val="Pie"/>
        <w:rPr>
          <w:lang w:val="en-US"/>
        </w:rPr>
      </w:pPr>
      <w:r w:rsidRPr="00597337">
        <w:rPr>
          <w:rStyle w:val="Refdenotaalpie"/>
        </w:rPr>
        <w:footnoteRef/>
      </w:r>
      <w:r w:rsidRPr="00597337">
        <w:t xml:space="preserve"> </w:t>
      </w:r>
      <w:r w:rsidRPr="00612E43">
        <w:t xml:space="preserve">Tribunal Internacional de Justicia, Caso relativo a </w:t>
      </w:r>
      <w:r>
        <w:t>a</w:t>
      </w:r>
      <w:r w:rsidRPr="00597337">
        <w:t xml:space="preserve">ctividades militares y paramilitares en y contra Nicaragua (Nicaragua c. los Estados Unidos de América) (fondo del asunto), I.C.J. Reports 1986, pág. 137 (párr. </w:t>
      </w:r>
      <w:r w:rsidRPr="00597337">
        <w:rPr>
          <w:lang w:val="en-US"/>
        </w:rPr>
        <w:t>274)</w:t>
      </w:r>
    </w:p>
  </w:footnote>
  <w:footnote w:id="821">
    <w:p w:rsidR="00887731" w:rsidRPr="00F71B0D" w:rsidRDefault="00887731" w:rsidP="004551E9">
      <w:pPr>
        <w:pStyle w:val="Pie"/>
      </w:pPr>
      <w:r w:rsidRPr="00597337">
        <w:rPr>
          <w:rStyle w:val="Refdenotaalpie"/>
        </w:rPr>
        <w:footnoteRef/>
      </w:r>
      <w:r w:rsidRPr="00F71B0D">
        <w:t xml:space="preserve"> </w:t>
      </w:r>
      <w:r w:rsidRPr="00F71B0D">
        <w:t xml:space="preserve">MARIÑO MENÉNDEZ, F., (2005) </w:t>
      </w:r>
      <w:proofErr w:type="spellStart"/>
      <w:r w:rsidRPr="00F71B0D">
        <w:t>op</w:t>
      </w:r>
      <w:proofErr w:type="spellEnd"/>
      <w:r w:rsidRPr="00F71B0D">
        <w:t xml:space="preserve">. </w:t>
      </w:r>
      <w:proofErr w:type="spellStart"/>
      <w:r w:rsidRPr="00F71B0D">
        <w:t>cit</w:t>
      </w:r>
      <w:proofErr w:type="spellEnd"/>
      <w:r w:rsidRPr="00F71B0D">
        <w:t>, p. 434.</w:t>
      </w:r>
    </w:p>
  </w:footnote>
  <w:footnote w:id="822">
    <w:p w:rsidR="00887731" w:rsidRPr="00562DB8" w:rsidRDefault="00887731" w:rsidP="004551E9">
      <w:pPr>
        <w:pStyle w:val="Pie"/>
        <w:rPr>
          <w:lang w:val="en-US"/>
        </w:rPr>
      </w:pPr>
      <w:r w:rsidRPr="00597337">
        <w:rPr>
          <w:rStyle w:val="Refdenotaalpie"/>
        </w:rPr>
        <w:footnoteRef/>
      </w:r>
      <w:r w:rsidRPr="00562DB8">
        <w:rPr>
          <w:lang w:val="en-US"/>
        </w:rPr>
        <w:t xml:space="preserve"> Idem, p. 61.</w:t>
      </w:r>
    </w:p>
  </w:footnote>
  <w:footnote w:id="823">
    <w:p w:rsidR="00887731" w:rsidRPr="00562DB8" w:rsidRDefault="00887731" w:rsidP="004551E9">
      <w:pPr>
        <w:pStyle w:val="Pie"/>
        <w:rPr>
          <w:lang w:val="en-US"/>
        </w:rPr>
      </w:pPr>
      <w:r w:rsidRPr="00597337">
        <w:rPr>
          <w:rStyle w:val="Refdenotaalpie"/>
        </w:rPr>
        <w:footnoteRef/>
      </w:r>
      <w:r w:rsidRPr="00562DB8">
        <w:rPr>
          <w:lang w:val="en-US"/>
        </w:rPr>
        <w:t xml:space="preserve"> </w:t>
      </w:r>
      <w:proofErr w:type="gramStart"/>
      <w:r w:rsidRPr="00562DB8">
        <w:rPr>
          <w:caps/>
          <w:lang w:val="en-US"/>
        </w:rPr>
        <w:t>Koskenniemi, M., &amp; Leino, P.,</w:t>
      </w:r>
      <w:r w:rsidRPr="00562DB8">
        <w:rPr>
          <w:lang w:val="en-US"/>
        </w:rPr>
        <w:t xml:space="preserve"> (2002), “Fragmentation of International Law?</w:t>
      </w:r>
      <w:proofErr w:type="gramEnd"/>
      <w:r w:rsidRPr="00562DB8">
        <w:rPr>
          <w:lang w:val="en-US"/>
        </w:rPr>
        <w:t xml:space="preserve"> Postmodern Anxieties”, </w:t>
      </w:r>
      <w:r w:rsidRPr="00562DB8">
        <w:rPr>
          <w:i/>
          <w:lang w:val="en-US"/>
        </w:rPr>
        <w:t>Leiden Journal of International Law,</w:t>
      </w:r>
      <w:r w:rsidRPr="00562DB8">
        <w:rPr>
          <w:lang w:val="en-US"/>
        </w:rPr>
        <w:t xml:space="preserve"> vol. 15 : pp 553-579</w:t>
      </w:r>
    </w:p>
  </w:footnote>
  <w:footnote w:id="824">
    <w:p w:rsidR="00887731" w:rsidRPr="00597337" w:rsidRDefault="00887731" w:rsidP="004551E9">
      <w:pPr>
        <w:pStyle w:val="Pie"/>
      </w:pPr>
      <w:r w:rsidRPr="00597337">
        <w:rPr>
          <w:rStyle w:val="Refdenotaalpie"/>
        </w:rPr>
        <w:footnoteRef/>
      </w:r>
      <w:r w:rsidRPr="004551E9">
        <w:rPr>
          <w:lang w:val="en-US"/>
        </w:rPr>
        <w:t xml:space="preserve"> Conclusions of the work of the Study Group on the Fragmentation of International Law: Difficulties arising from the Diversification and Expansion of International Law. </w:t>
      </w:r>
      <w:r w:rsidRPr="00597337">
        <w:t xml:space="preserve">Disponible en: </w:t>
      </w:r>
      <w:hyperlink r:id="rId49" w:history="1">
        <w:r w:rsidRPr="00597337">
          <w:rPr>
            <w:rStyle w:val="Hipervnculo"/>
          </w:rPr>
          <w:t>http://untreaty.un.org/ilc/texts/instruments/english/draft%20articles/1_9_2006.pdf</w:t>
        </w:r>
      </w:hyperlink>
    </w:p>
  </w:footnote>
  <w:footnote w:id="825">
    <w:p w:rsidR="00887731" w:rsidRPr="00562DB8" w:rsidRDefault="00887731" w:rsidP="004551E9">
      <w:pPr>
        <w:pStyle w:val="Pie"/>
        <w:rPr>
          <w:lang w:val="en-US"/>
        </w:rPr>
      </w:pPr>
      <w:r w:rsidRPr="00597337">
        <w:rPr>
          <w:rStyle w:val="Refdenotaalpie"/>
        </w:rPr>
        <w:footnoteRef/>
      </w:r>
      <w:r w:rsidRPr="00562DB8">
        <w:rPr>
          <w:lang w:val="en-US"/>
        </w:rPr>
        <w:t xml:space="preserve"> Fragmentation of international law: difficulties arising from the diversification and expansion of international law. </w:t>
      </w:r>
      <w:proofErr w:type="gramStart"/>
      <w:r w:rsidRPr="00562DB8">
        <w:rPr>
          <w:lang w:val="en-US"/>
        </w:rPr>
        <w:t>Analytical study, prepared by the Study Group, Document A/CN.4/L.682, 13 April 2006.</w:t>
      </w:r>
      <w:proofErr w:type="gramEnd"/>
    </w:p>
  </w:footnote>
  <w:footnote w:id="826">
    <w:p w:rsidR="00887731" w:rsidRPr="004551E9" w:rsidRDefault="00887731" w:rsidP="004551E9">
      <w:pPr>
        <w:pStyle w:val="Pie"/>
        <w:rPr>
          <w:lang w:val="en-US"/>
        </w:rPr>
      </w:pPr>
      <w:r w:rsidRPr="00597337">
        <w:rPr>
          <w:rStyle w:val="Refdenotaalpie"/>
        </w:rPr>
        <w:footnoteRef/>
      </w:r>
      <w:r w:rsidRPr="004551E9">
        <w:rPr>
          <w:lang w:val="en-US"/>
        </w:rPr>
        <w:t xml:space="preserve"> LEATHELEY C, (2007-2008), “An Institutional Hierarchy to Combat the Fragmentation of International Law: Has the ILC Missed an Opportunity?</w:t>
      </w:r>
      <w:proofErr w:type="gramStart"/>
      <w:r w:rsidRPr="004551E9">
        <w:rPr>
          <w:lang w:val="en-US"/>
        </w:rPr>
        <w:t>”,</w:t>
      </w:r>
      <w:proofErr w:type="gramEnd"/>
      <w:r w:rsidRPr="004551E9">
        <w:rPr>
          <w:lang w:val="en-US"/>
        </w:rPr>
        <w:t xml:space="preserve"> </w:t>
      </w:r>
      <w:r w:rsidRPr="004551E9">
        <w:rPr>
          <w:i/>
          <w:lang w:val="en-US"/>
        </w:rPr>
        <w:t>New York University Journal of International Law and Politics</w:t>
      </w:r>
      <w:r w:rsidRPr="004551E9">
        <w:rPr>
          <w:lang w:val="en-US"/>
        </w:rPr>
        <w:t>, vol. 40, pp. 261-262.</w:t>
      </w:r>
    </w:p>
  </w:footnote>
  <w:footnote w:id="827">
    <w:p w:rsidR="00887731" w:rsidRPr="004551E9" w:rsidRDefault="00887731" w:rsidP="004551E9">
      <w:pPr>
        <w:pStyle w:val="Pie"/>
        <w:rPr>
          <w:lang w:val="en-US"/>
        </w:rPr>
      </w:pPr>
      <w:r w:rsidRPr="00597337">
        <w:rPr>
          <w:rStyle w:val="Refdenotaalpie"/>
        </w:rPr>
        <w:footnoteRef/>
      </w:r>
      <w:r w:rsidRPr="004551E9">
        <w:rPr>
          <w:lang w:val="en-US"/>
        </w:rPr>
        <w:t xml:space="preserve"> Conclusions of the work of the Study Group on the Fragmentation of International Law, op. cit., principio 2. </w:t>
      </w:r>
    </w:p>
  </w:footnote>
  <w:footnote w:id="828">
    <w:p w:rsidR="00887731" w:rsidRPr="00597337" w:rsidRDefault="00887731" w:rsidP="004551E9">
      <w:pPr>
        <w:pStyle w:val="Pie"/>
      </w:pPr>
      <w:r w:rsidRPr="00597337">
        <w:rPr>
          <w:rStyle w:val="Refdenotaalpie"/>
        </w:rPr>
        <w:footnoteRef/>
      </w:r>
      <w:r w:rsidRPr="00597337">
        <w:t xml:space="preserve"> Por ejemplo, el concepto de persona con discapacidad de la CIAEFDPD incluye las deficiencias permanentes o temporales mientras que la CDPD solo habla de deficiencias permanentes. De este modo, la correcta interpretación de estas normas de derecho internacional debería permitir que en relación con un Estado que sea miembro de ambos tratados, se deberá aplicar la interpretación más beneficiosa para la protección de los derechos de la persona. </w:t>
      </w:r>
    </w:p>
  </w:footnote>
  <w:footnote w:id="829">
    <w:p w:rsidR="00887731" w:rsidRPr="00562DB8" w:rsidRDefault="00887731" w:rsidP="004551E9">
      <w:pPr>
        <w:pStyle w:val="Pie"/>
        <w:rPr>
          <w:lang w:val="en-US"/>
        </w:rPr>
      </w:pPr>
      <w:r w:rsidRPr="00597337">
        <w:rPr>
          <w:rStyle w:val="Refdenotaalpie"/>
        </w:rPr>
        <w:footnoteRef/>
      </w:r>
      <w:r w:rsidRPr="004551E9">
        <w:rPr>
          <w:lang w:val="en-US"/>
        </w:rPr>
        <w:t xml:space="preserve"> Fragmentation of international law: difficulties arising from the diversification and expansion of international law. </w:t>
      </w:r>
      <w:proofErr w:type="gramStart"/>
      <w:r w:rsidRPr="00562DB8">
        <w:rPr>
          <w:lang w:val="en-US"/>
        </w:rPr>
        <w:t>Analytical study, prepared by the Study Group, Document A/CN.4/L.682, 13 April 2006, at.</w:t>
      </w:r>
      <w:proofErr w:type="gramEnd"/>
      <w:r w:rsidRPr="00562DB8">
        <w:rPr>
          <w:lang w:val="en-US"/>
        </w:rPr>
        <w:t xml:space="preserve"> 324-409.</w:t>
      </w:r>
    </w:p>
  </w:footnote>
  <w:footnote w:id="830">
    <w:p w:rsidR="00887731" w:rsidRPr="00597337" w:rsidRDefault="00887731" w:rsidP="004551E9">
      <w:pPr>
        <w:pStyle w:val="Pie"/>
      </w:pPr>
      <w:r w:rsidRPr="00597337">
        <w:rPr>
          <w:rStyle w:val="Refdenotaalpie"/>
        </w:rPr>
        <w:footnoteRef/>
      </w:r>
      <w:r w:rsidRPr="00597337">
        <w:t xml:space="preserve"> </w:t>
      </w:r>
      <w:proofErr w:type="spellStart"/>
      <w:r w:rsidRPr="00597337">
        <w:t>Idem</w:t>
      </w:r>
      <w:proofErr w:type="spellEnd"/>
      <w:r w:rsidRPr="00597337">
        <w:t xml:space="preserve">, párrafos 46-222.  </w:t>
      </w:r>
    </w:p>
  </w:footnote>
  <w:footnote w:id="831">
    <w:p w:rsidR="00887731" w:rsidRPr="004344AF" w:rsidRDefault="00887731" w:rsidP="004551E9">
      <w:pPr>
        <w:pStyle w:val="Pie"/>
      </w:pPr>
      <w:r w:rsidRPr="00597337">
        <w:rPr>
          <w:rStyle w:val="Refdenotaalpie"/>
        </w:rPr>
        <w:footnoteRef/>
      </w:r>
      <w:r w:rsidRPr="00597337">
        <w:t xml:space="preserve"> La CDI se refiere a “regímenes autónomos” y los define como “…conjuntos interrelacionados de normas primarias y secundarias, a las que a menudo se llama "sistemas" o "subsistemas" de normas que abordan un problema particular de una manera diferente a las normas del derecho general…” </w:t>
      </w:r>
      <w:proofErr w:type="spellStart"/>
      <w:r w:rsidRPr="004344AF">
        <w:t>Idem</w:t>
      </w:r>
      <w:proofErr w:type="spellEnd"/>
      <w:r w:rsidRPr="004344AF">
        <w:t xml:space="preserve">, párrafo 128. </w:t>
      </w:r>
    </w:p>
  </w:footnote>
  <w:footnote w:id="832">
    <w:p w:rsidR="00887731" w:rsidRPr="004344AF" w:rsidRDefault="00887731" w:rsidP="004551E9">
      <w:pPr>
        <w:pStyle w:val="Pie"/>
      </w:pPr>
      <w:r w:rsidRPr="00597337">
        <w:rPr>
          <w:rStyle w:val="Refdenotaalpie"/>
        </w:rPr>
        <w:footnoteRef/>
      </w:r>
      <w:r w:rsidRPr="004344AF">
        <w:t xml:space="preserve"> </w:t>
      </w:r>
      <w:proofErr w:type="spellStart"/>
      <w:r w:rsidRPr="004344AF">
        <w:t>Idem</w:t>
      </w:r>
      <w:proofErr w:type="spellEnd"/>
      <w:r w:rsidRPr="004344AF">
        <w:t>, párrafos 223-323.</w:t>
      </w:r>
    </w:p>
  </w:footnote>
  <w:footnote w:id="833">
    <w:p w:rsidR="00887731" w:rsidRPr="00104EED" w:rsidRDefault="00887731" w:rsidP="004551E9">
      <w:pPr>
        <w:pStyle w:val="Textonotapie"/>
      </w:pPr>
      <w:r>
        <w:rPr>
          <w:rStyle w:val="Refdenotaalpie"/>
        </w:rPr>
        <w:footnoteRef/>
      </w:r>
      <w:r w:rsidRPr="00104EED">
        <w:t xml:space="preserve"> El artículo 30 </w:t>
      </w:r>
      <w:r>
        <w:t>de la CVDT</w:t>
      </w:r>
      <w:r w:rsidRPr="00104EED">
        <w:t xml:space="preserve"> denominado “aplicación de tratados sucesivos concernientes a la misma materia” señala:</w:t>
      </w:r>
      <w:r>
        <w:t xml:space="preserve"> </w:t>
      </w:r>
      <w:r w:rsidRPr="00104EED">
        <w:t>1. Sin perjuicio de lo dispuesto en el artículo 103 de la Carta de las Naciones Unidas, los derechos y las obligaciones de los Estados partes en tratados sucesivos concernientes a la misma materia se determinaran conforme a los párrafos siguientes.</w:t>
      </w:r>
      <w:r>
        <w:t xml:space="preserve"> </w:t>
      </w:r>
      <w:r w:rsidRPr="00104EED">
        <w:t>2. Cuando un tratado especifique que está subordinado a un tratado anterior o posterior o que no debe ser considerado incompatible con ese otro tratado prevalecerán las disposiciones de este último.</w:t>
      </w:r>
      <w:r>
        <w:t xml:space="preserve"> </w:t>
      </w:r>
      <w:r w:rsidRPr="00104EED">
        <w:t>3. Cuando todas las partes en el tratado anterior sean también partes en el tratado posterior, pero el tratado anterior no quede terminado ni su aplicación suspendida conforme al artículo 59, el tratado anterior se aplicara únicamente en la medida en que sus disposiciones sean compatibles con las del tratado posterior.</w:t>
      </w:r>
      <w:r>
        <w:t xml:space="preserve"> </w:t>
      </w:r>
      <w:r w:rsidRPr="00104EED">
        <w:t>4. Cuando las partes en el tratado anterior no sean todas ellas partes en el tratado posterior:</w:t>
      </w:r>
      <w:r>
        <w:t xml:space="preserve"> </w:t>
      </w:r>
      <w:r w:rsidRPr="00104EED">
        <w:t>a) en las relaciones entre los Estados partes en ambos tratados se aplicará la norma enunciada en el párrafo 3:</w:t>
      </w:r>
      <w:r>
        <w:t xml:space="preserve"> </w:t>
      </w:r>
      <w:r w:rsidRPr="00104EED">
        <w:t>b) en las relaciones entre un Estado que sea parte en ambos tratados y un Estado que sólo lo sea en uno de ellos, los derechos y obligaciones recíprocos se regirán por el tratado en el que los dos Estados sean partes.</w:t>
      </w:r>
      <w:r>
        <w:t xml:space="preserve"> </w:t>
      </w:r>
      <w:r w:rsidRPr="00104EED">
        <w:t>5. El párrafo 4 se aplicará sin perjuicio de lo dispuesto en el articulo 41 y no prejuzgará ninguna cuestión de terminación o suspensión de la aplicación de un tratado conforme al artículo 60 ni ninguna cuestión de responsabilidad en que pueda incurrir un Estado por la celebración o aplicación de un tratado cuyas disposiciones sean incompatibles con las obligaciones contraídas con respecto a otro Estado en virtud de otro tratado.</w:t>
      </w:r>
    </w:p>
  </w:footnote>
  <w:footnote w:id="834">
    <w:p w:rsidR="00887731" w:rsidRPr="004344AF" w:rsidRDefault="00887731" w:rsidP="004551E9">
      <w:pPr>
        <w:pStyle w:val="Pie"/>
      </w:pPr>
      <w:r w:rsidRPr="00597337">
        <w:rPr>
          <w:rStyle w:val="Refdenotaalpie"/>
        </w:rPr>
        <w:footnoteRef/>
      </w:r>
      <w:r w:rsidRPr="004344AF">
        <w:t xml:space="preserve"> Véase Capítulo 3 (3.6.1)</w:t>
      </w:r>
    </w:p>
  </w:footnote>
  <w:footnote w:id="835">
    <w:p w:rsidR="00887731" w:rsidRPr="004344AF" w:rsidRDefault="00887731" w:rsidP="004551E9">
      <w:pPr>
        <w:pStyle w:val="Pie"/>
      </w:pPr>
      <w:r w:rsidRPr="00597337">
        <w:rPr>
          <w:rStyle w:val="Refdenotaalpie"/>
        </w:rPr>
        <w:footnoteRef/>
      </w:r>
      <w:r w:rsidRPr="004344AF">
        <w:t xml:space="preserve"> MARIÑO MENÉNDEZ, F., (2005) op. cit, p. 318. </w:t>
      </w:r>
    </w:p>
  </w:footnote>
  <w:footnote w:id="836">
    <w:p w:rsidR="00887731" w:rsidRPr="00597337" w:rsidRDefault="00887731" w:rsidP="004551E9">
      <w:pPr>
        <w:pStyle w:val="Pie"/>
      </w:pPr>
      <w:r w:rsidRPr="00597337">
        <w:rPr>
          <w:rStyle w:val="Refdenotaalpie"/>
        </w:rPr>
        <w:footnoteRef/>
      </w:r>
      <w:r w:rsidRPr="00597337">
        <w:t xml:space="preserve"> Principio 1.2. Guía de la Práctica sobre las Reservas a los Tratados, aprobado por la Comisión en su 63º período de sesiones, (26 de abril a 3 de junio y 4 de julio a 12 de agosto de 2011), A/66/10/Add.1. </w:t>
      </w:r>
    </w:p>
  </w:footnote>
  <w:footnote w:id="837">
    <w:p w:rsidR="00887731" w:rsidRPr="00597337" w:rsidRDefault="00887731" w:rsidP="004551E9">
      <w:pPr>
        <w:pStyle w:val="Pie"/>
      </w:pPr>
      <w:r w:rsidRPr="00597337">
        <w:rPr>
          <w:rStyle w:val="Refdenotaalpie"/>
        </w:rPr>
        <w:footnoteRef/>
      </w:r>
      <w:r w:rsidRPr="00597337">
        <w:t xml:space="preserve"> En este sentido el Principio 1.3.1 de la Guía Práctica sobre las Reservas a los Tratados señala que: “Para determinar si una declaración unilateral formulada por un Estado o una organización internacional respecto de un tratado es una reserva o una declaración interpretativa, procede interpretar la declaración de buena fe conforme al sentido corriente que haya de atribuirse a sus términos, con miras a dilucidar la intención de su autor, a la luz del tratado a que se refiere”, Ídem.  </w:t>
      </w:r>
    </w:p>
  </w:footnote>
  <w:footnote w:id="838">
    <w:p w:rsidR="00887731" w:rsidRPr="004551E9" w:rsidRDefault="00887731" w:rsidP="004551E9">
      <w:pPr>
        <w:pStyle w:val="Pie"/>
        <w:rPr>
          <w:lang w:val="en-US"/>
        </w:rPr>
      </w:pPr>
      <w:r w:rsidRPr="00597337">
        <w:rPr>
          <w:rStyle w:val="Refdenotaalpie"/>
        </w:rPr>
        <w:footnoteRef/>
      </w:r>
      <w:r w:rsidRPr="004551E9">
        <w:rPr>
          <w:lang w:val="en-US"/>
        </w:rPr>
        <w:t xml:space="preserve"> </w:t>
      </w:r>
      <w:r w:rsidRPr="004551E9">
        <w:rPr>
          <w:caps/>
          <w:lang w:val="en-US"/>
        </w:rPr>
        <w:t>Lijnzaad, E.</w:t>
      </w:r>
      <w:r w:rsidRPr="004551E9">
        <w:rPr>
          <w:lang w:val="en-US"/>
        </w:rPr>
        <w:t xml:space="preserve"> (1995), </w:t>
      </w:r>
      <w:r w:rsidRPr="004551E9">
        <w:rPr>
          <w:i/>
          <w:lang w:val="en-US"/>
        </w:rPr>
        <w:t>Reservations to Un-Human Rights Treaties: Ratify and Ruin</w:t>
      </w:r>
      <w:proofErr w:type="gramStart"/>
      <w:r w:rsidRPr="004551E9">
        <w:rPr>
          <w:i/>
          <w:lang w:val="en-US"/>
        </w:rPr>
        <w:t>?</w:t>
      </w:r>
      <w:r w:rsidRPr="004551E9">
        <w:rPr>
          <w:lang w:val="en-US"/>
        </w:rPr>
        <w:t>,</w:t>
      </w:r>
      <w:proofErr w:type="gramEnd"/>
      <w:r w:rsidRPr="004551E9">
        <w:rPr>
          <w:lang w:val="en-US"/>
        </w:rPr>
        <w:t xml:space="preserve"> Martinus Nijhoff Publishers; </w:t>
      </w:r>
      <w:r w:rsidRPr="004551E9">
        <w:rPr>
          <w:caps/>
          <w:lang w:val="en-US"/>
        </w:rPr>
        <w:t>Schabas, W.,</w:t>
      </w:r>
      <w:r w:rsidRPr="004551E9">
        <w:rPr>
          <w:lang w:val="en-US"/>
        </w:rPr>
        <w:t xml:space="preserve"> (1994) “Reservations to Human Rights Treaties: Time for Innovation and Reform”, </w:t>
      </w:r>
      <w:r w:rsidRPr="004551E9">
        <w:rPr>
          <w:i/>
          <w:lang w:val="en-US"/>
        </w:rPr>
        <w:t>Canadian Yearbook of International Law</w:t>
      </w:r>
      <w:r w:rsidRPr="004551E9">
        <w:rPr>
          <w:lang w:val="en-US"/>
        </w:rPr>
        <w:t xml:space="preserve">, </w:t>
      </w:r>
      <w:proofErr w:type="spellStart"/>
      <w:r w:rsidRPr="004551E9">
        <w:rPr>
          <w:lang w:val="en-US"/>
        </w:rPr>
        <w:t>vol</w:t>
      </w:r>
      <w:proofErr w:type="spellEnd"/>
      <w:r w:rsidRPr="004551E9">
        <w:rPr>
          <w:lang w:val="en-US"/>
        </w:rPr>
        <w:t xml:space="preserve"> 32, pp. 39-82; </w:t>
      </w:r>
      <w:r w:rsidRPr="004551E9">
        <w:rPr>
          <w:caps/>
          <w:lang w:val="en-US"/>
        </w:rPr>
        <w:t>Higgins, R.,</w:t>
      </w:r>
      <w:r w:rsidRPr="004551E9">
        <w:rPr>
          <w:lang w:val="en-US"/>
        </w:rPr>
        <w:t xml:space="preserve"> (1989) “Human Rights: Some Questions of Integrity”, </w:t>
      </w:r>
      <w:r w:rsidRPr="004551E9">
        <w:rPr>
          <w:i/>
          <w:lang w:val="en-US"/>
        </w:rPr>
        <w:t>Commonwealth Law Bulletin</w:t>
      </w:r>
      <w:r w:rsidRPr="004551E9">
        <w:rPr>
          <w:lang w:val="en-US"/>
        </w:rPr>
        <w:t>, vol. 15, pp. 598-614.</w:t>
      </w:r>
    </w:p>
  </w:footnote>
  <w:footnote w:id="839">
    <w:p w:rsidR="00887731" w:rsidRPr="00562DB8" w:rsidRDefault="00887731" w:rsidP="004551E9">
      <w:pPr>
        <w:pStyle w:val="Pie"/>
        <w:rPr>
          <w:lang w:val="en-US"/>
        </w:rPr>
      </w:pPr>
      <w:r w:rsidRPr="00597337">
        <w:rPr>
          <w:rStyle w:val="Refdenotaalpie"/>
        </w:rPr>
        <w:footnoteRef/>
      </w:r>
      <w:r w:rsidRPr="004551E9">
        <w:rPr>
          <w:lang w:val="en-US"/>
        </w:rPr>
        <w:t xml:space="preserve"> […Egypt, Interpretative declaration made upon signature: The Arab Republic of Egypt declares that its interpretation of article 12 of the International Convention on the Protection and Promotion of the Rights of Persons with Disabilities, which deals with the recognition of persons with disabilities on an equal basis with others before the law, with regard to the concept of legal capacity dealt with in paragraph 2 of the said article, is that persons with disabilities enjoy the capacity to acquire rights and assume legal responsibility ('</w:t>
      </w:r>
      <w:proofErr w:type="spellStart"/>
      <w:r w:rsidRPr="004551E9">
        <w:rPr>
          <w:lang w:val="en-US"/>
        </w:rPr>
        <w:t>ahliyyat</w:t>
      </w:r>
      <w:proofErr w:type="spellEnd"/>
      <w:r w:rsidRPr="004551E9">
        <w:rPr>
          <w:lang w:val="en-US"/>
        </w:rPr>
        <w:t xml:space="preserve"> al-</w:t>
      </w:r>
      <w:proofErr w:type="spellStart"/>
      <w:r w:rsidRPr="004551E9">
        <w:rPr>
          <w:lang w:val="en-US"/>
        </w:rPr>
        <w:t>wujub</w:t>
      </w:r>
      <w:proofErr w:type="spellEnd"/>
      <w:r w:rsidRPr="004551E9">
        <w:rPr>
          <w:lang w:val="en-US"/>
        </w:rPr>
        <w:t>) but not the capacity to perform ('</w:t>
      </w:r>
      <w:proofErr w:type="spellStart"/>
      <w:r w:rsidRPr="004551E9">
        <w:rPr>
          <w:lang w:val="en-US"/>
        </w:rPr>
        <w:t>ahliyyat</w:t>
      </w:r>
      <w:proofErr w:type="spellEnd"/>
      <w:r w:rsidRPr="004551E9">
        <w:rPr>
          <w:lang w:val="en-US"/>
        </w:rPr>
        <w:t xml:space="preserve"> al-'</w:t>
      </w:r>
      <w:proofErr w:type="spellStart"/>
      <w:r w:rsidRPr="004551E9">
        <w:rPr>
          <w:lang w:val="en-US"/>
        </w:rPr>
        <w:t>ada</w:t>
      </w:r>
      <w:proofErr w:type="spellEnd"/>
      <w:r w:rsidRPr="004551E9">
        <w:rPr>
          <w:lang w:val="en-US"/>
        </w:rPr>
        <w:t xml:space="preserve">'), under Egyptian law…] </w:t>
      </w:r>
      <w:r w:rsidRPr="00562DB8">
        <w:rPr>
          <w:lang w:val="en-US"/>
        </w:rPr>
        <w:t>Del 04/04/2007. UN Multilateral Treaties, Chapter IV. 15.</w:t>
      </w:r>
    </w:p>
  </w:footnote>
  <w:footnote w:id="840">
    <w:p w:rsidR="00887731" w:rsidRPr="00562DB8" w:rsidRDefault="00887731" w:rsidP="004551E9">
      <w:pPr>
        <w:pStyle w:val="Pie"/>
        <w:rPr>
          <w:lang w:val="en-US"/>
        </w:rPr>
      </w:pPr>
      <w:r w:rsidRPr="00597337">
        <w:rPr>
          <w:rStyle w:val="Refdenotaalpie"/>
        </w:rPr>
        <w:footnoteRef/>
      </w:r>
      <w:r w:rsidRPr="004551E9">
        <w:rPr>
          <w:lang w:val="en-US"/>
        </w:rPr>
        <w:t xml:space="preserve"> […Syrian Arab Republic, Upon signature, Understanding: (…) We signed today on the basis of the understanding contained in the letter dated 5 December 2006 from the Permanent Representative of Iraq to the United Nations addressed, in his capacity as Chairman of the Group of Arab States for that month, to the Chairman of the Committee, which contains the interpretation of the Arab Group concerning article 12 relating to the interpretation of the concept of “legal capacity”…] </w:t>
      </w:r>
      <w:r w:rsidRPr="00562DB8">
        <w:rPr>
          <w:lang w:val="en-US"/>
        </w:rPr>
        <w:t>Del 30/03/2007. UN Multilateral Treaties, Chapter IV. 15.</w:t>
      </w:r>
    </w:p>
  </w:footnote>
  <w:footnote w:id="841">
    <w:p w:rsidR="00887731" w:rsidRPr="00562DB8" w:rsidRDefault="00887731" w:rsidP="004551E9">
      <w:pPr>
        <w:pStyle w:val="Textonotapie"/>
        <w:rPr>
          <w:lang w:val="en-US"/>
        </w:rPr>
      </w:pPr>
      <w:r>
        <w:rPr>
          <w:rStyle w:val="Refdenotaalpie"/>
        </w:rPr>
        <w:footnoteRef/>
      </w:r>
      <w:r w:rsidRPr="004551E9">
        <w:rPr>
          <w:lang w:val="en-US"/>
        </w:rPr>
        <w:t xml:space="preserve"> […Reservations: (…) Article 12, paragraph 2: The enjoyment of legal capacity shall be subject to the conditions applicable under Kuwaiti law…] </w:t>
      </w:r>
      <w:r w:rsidRPr="00562DB8">
        <w:rPr>
          <w:lang w:val="en-US"/>
        </w:rPr>
        <w:t xml:space="preserve">Del 22/08/2013. UN Multilateral Treaties, Chapter IV. 15 </w:t>
      </w:r>
    </w:p>
  </w:footnote>
  <w:footnote w:id="842">
    <w:p w:rsidR="00887731" w:rsidRPr="00597337" w:rsidRDefault="00887731" w:rsidP="004551E9">
      <w:pPr>
        <w:pStyle w:val="Pie"/>
      </w:pPr>
      <w:r w:rsidRPr="00597337">
        <w:rPr>
          <w:rStyle w:val="Refdenotaalpie"/>
        </w:rPr>
        <w:footnoteRef/>
      </w:r>
      <w:r w:rsidRPr="004551E9">
        <w:rPr>
          <w:lang w:val="en-US"/>
        </w:rPr>
        <w:t xml:space="preserve"> […Letter dated 5 December 2006 from the Permanent Representative of Iraq to the United Nations addressed to the Chairman. </w:t>
      </w:r>
      <w:r w:rsidRPr="00562DB8">
        <w:rPr>
          <w:lang w:val="en-US"/>
        </w:rPr>
        <w:t xml:space="preserve">I have the </w:t>
      </w:r>
      <w:proofErr w:type="spellStart"/>
      <w:r w:rsidRPr="00562DB8">
        <w:rPr>
          <w:lang w:val="en-US"/>
        </w:rPr>
        <w:t>honour</w:t>
      </w:r>
      <w:proofErr w:type="spellEnd"/>
      <w:r w:rsidRPr="00562DB8">
        <w:rPr>
          <w:lang w:val="en-US"/>
        </w:rPr>
        <w:t xml:space="preserve">, as the Chair of the Arab Group for the month of December 2006, and on behalf of Algeria, Bahrain, Comoros, Djibouti, Egypt, Iraq, Kuwait, Lebanon, Libyan Arab Jamahiriya, Mauritania, Morocco, Oman, Palestine, Qatar, Saudi Arabia, Somalia, Sudan, Syrian Arab Republic, Tunisia, United Arab Emirates and Yemen, to inform you that the aforementioned States are joining the consensus on the Convention based on the understanding that legal capacity mentioned in paragraph 2 of Article 12 of the Convention entitled “Equal recognition before the law” means the capacity of rights and not the capacity to act, in accordance with the national laws and legislation of these States. </w:t>
      </w:r>
      <w:proofErr w:type="gramStart"/>
      <w:r w:rsidRPr="00562DB8">
        <w:rPr>
          <w:lang w:val="en-US"/>
        </w:rPr>
        <w:t>We kindly request that this letter be included in the report of the Ad Hoc Committee.</w:t>
      </w:r>
      <w:proofErr w:type="gramEnd"/>
      <w:r w:rsidRPr="00562DB8">
        <w:rPr>
          <w:lang w:val="en-US"/>
        </w:rPr>
        <w:t xml:space="preserve"> We will be presenting it to the General Assembly when the text of the Convention is submitted prior to its adoption. (Signed) </w:t>
      </w:r>
      <w:proofErr w:type="spellStart"/>
      <w:proofErr w:type="gramStart"/>
      <w:r w:rsidRPr="00562DB8">
        <w:rPr>
          <w:lang w:val="en-US"/>
        </w:rPr>
        <w:t>Hamad</w:t>
      </w:r>
      <w:proofErr w:type="spellEnd"/>
      <w:r w:rsidRPr="00562DB8">
        <w:rPr>
          <w:lang w:val="en-US"/>
        </w:rPr>
        <w:t xml:space="preserve"> Al-</w:t>
      </w:r>
      <w:proofErr w:type="spellStart"/>
      <w:r w:rsidRPr="00562DB8">
        <w:rPr>
          <w:lang w:val="en-US"/>
        </w:rPr>
        <w:t>Bayati</w:t>
      </w:r>
      <w:proofErr w:type="spellEnd"/>
      <w:r w:rsidRPr="00562DB8">
        <w:rPr>
          <w:lang w:val="en-US"/>
        </w:rPr>
        <w:t xml:space="preserve"> Chairman of the Arab Group for the month of December 2006, Permanent Representative of Iraq to the United Nations…] </w:t>
      </w:r>
      <w:r w:rsidRPr="00597337">
        <w:t xml:space="preserve">A/AC.265/2006/5, 7 </w:t>
      </w:r>
      <w:proofErr w:type="spellStart"/>
      <w:r w:rsidRPr="00597337">
        <w:t>December</w:t>
      </w:r>
      <w:proofErr w:type="spellEnd"/>
      <w:r w:rsidRPr="00597337">
        <w:t xml:space="preserve"> 2006.</w:t>
      </w:r>
      <w:proofErr w:type="gramEnd"/>
      <w:r w:rsidRPr="00597337">
        <w:t xml:space="preserve">  </w:t>
      </w:r>
    </w:p>
  </w:footnote>
  <w:footnote w:id="843">
    <w:p w:rsidR="00887731" w:rsidRPr="00597337" w:rsidRDefault="00887731" w:rsidP="004551E9">
      <w:pPr>
        <w:pStyle w:val="Pie"/>
      </w:pPr>
      <w:r w:rsidRPr="00597337">
        <w:rPr>
          <w:rStyle w:val="Refdenotaalpie"/>
        </w:rPr>
        <w:footnoteRef/>
      </w:r>
      <w:r w:rsidRPr="00597337">
        <w:t xml:space="preserve"> Este punto se analizará más adelante. </w:t>
      </w:r>
    </w:p>
  </w:footnote>
  <w:footnote w:id="844">
    <w:p w:rsidR="00887731" w:rsidRPr="00597337" w:rsidRDefault="00887731" w:rsidP="004551E9">
      <w:pPr>
        <w:pStyle w:val="Pie"/>
      </w:pPr>
      <w:r w:rsidRPr="00597337">
        <w:rPr>
          <w:rStyle w:val="Refdenotaalpie"/>
        </w:rPr>
        <w:footnoteRef/>
      </w:r>
      <w:r w:rsidRPr="00597337">
        <w:t xml:space="preserve"> Tal es el caso de: Arabia Saudita, Bahrein, Djibouti, los Emiratos Árabes Unidos, el Iraq, el Líbano, Mauritania, Omán, Qatar, el Sudán, Túnez y el Yemen.</w:t>
      </w:r>
    </w:p>
  </w:footnote>
  <w:footnote w:id="845">
    <w:p w:rsidR="00887731" w:rsidRPr="00597337" w:rsidRDefault="00887731" w:rsidP="004551E9">
      <w:pPr>
        <w:pStyle w:val="Pie"/>
      </w:pPr>
      <w:r w:rsidRPr="00597337">
        <w:rPr>
          <w:rStyle w:val="Refdenotaalpie"/>
        </w:rPr>
        <w:footnoteRef/>
      </w:r>
      <w:r w:rsidRPr="004551E9">
        <w:rPr>
          <w:lang w:val="en-US"/>
        </w:rPr>
        <w:t xml:space="preserve"> […Declaration: “Australia recognizes that persons with disability enjoy legal capacity on an equal basis with others in all aspects of life.  </w:t>
      </w:r>
      <w:r w:rsidRPr="00562DB8">
        <w:rPr>
          <w:lang w:val="en-US"/>
        </w:rPr>
        <w:t xml:space="preserve">Australia declares its understanding that the Convention allows for fully supported or substituted decision-making arrangements, which provide for decisions to be made on behalf of a person, only where such arrangements are necessary, as a last resort and subject to safeguards; Australia recognizes that every person with disability has a right to respect for his or her physical and mental integrity on an equal basis with others.  Australia further declares its understanding that the Convention allows for compulsory assistance or treatment of persons, including measures taken for the treatment of mental disability, where such treatment is necessary, as a last resort and subject to safeguards…] </w:t>
      </w:r>
      <w:r w:rsidRPr="00597337">
        <w:t xml:space="preserve">Del 17/07/2008. </w:t>
      </w:r>
      <w:r w:rsidRPr="00597337">
        <w:rPr>
          <w:lang w:val="es-AR"/>
        </w:rPr>
        <w:t>UN Multilateral Treaties, Chapter IV. 15.</w:t>
      </w:r>
    </w:p>
  </w:footnote>
  <w:footnote w:id="846">
    <w:p w:rsidR="00887731" w:rsidRPr="00597337" w:rsidRDefault="00887731" w:rsidP="004551E9">
      <w:pPr>
        <w:pStyle w:val="Pie"/>
      </w:pPr>
      <w:r w:rsidRPr="00597337">
        <w:rPr>
          <w:rStyle w:val="Refdenotaalpie"/>
        </w:rPr>
        <w:footnoteRef/>
      </w:r>
      <w:r w:rsidRPr="00597337">
        <w:t xml:space="preserve"> </w:t>
      </w:r>
      <w:r w:rsidRPr="00597337">
        <w:rPr>
          <w:caps/>
        </w:rPr>
        <w:t>DEVANDAS AGUILAR; C. &amp; TRöMEL Sturmer, S.,</w:t>
      </w:r>
      <w:r w:rsidRPr="00597337">
        <w:t xml:space="preserve"> (2012), “Reservas efectuadas al artículo 12: su admisibilidad a la luz del derecho internacional de los derechos humanos”, en </w:t>
      </w:r>
      <w:r w:rsidRPr="00597337">
        <w:rPr>
          <w:caps/>
        </w:rPr>
        <w:t xml:space="preserve">Bariffi, F. &amp; Palacios A., (Coord), </w:t>
      </w:r>
      <w:r w:rsidRPr="00597337">
        <w:t>op. cit., p.280-281.</w:t>
      </w:r>
    </w:p>
  </w:footnote>
  <w:footnote w:id="847">
    <w:p w:rsidR="00887731" w:rsidRPr="00562DB8" w:rsidRDefault="00887731" w:rsidP="004551E9">
      <w:pPr>
        <w:pStyle w:val="Textonotapie"/>
        <w:rPr>
          <w:lang w:val="en-US"/>
        </w:rPr>
      </w:pPr>
      <w:r>
        <w:rPr>
          <w:rStyle w:val="Refdenotaalpie"/>
        </w:rPr>
        <w:footnoteRef/>
      </w:r>
      <w:r w:rsidRPr="00E970E8">
        <w:t xml:space="preserve"> En este sentido, el CteCDPD en</w:t>
      </w:r>
      <w:r>
        <w:t xml:space="preserve"> las o</w:t>
      </w:r>
      <w:r w:rsidRPr="00E970E8">
        <w:t>bservaciones finales sobre el informe inicial de Australia</w:t>
      </w:r>
      <w:r>
        <w:t xml:space="preserve"> ha señalado: “…el </w:t>
      </w:r>
      <w:r w:rsidRPr="00E970E8">
        <w:t xml:space="preserve">Comité recomienda al Estado parte que </w:t>
      </w:r>
      <w:r>
        <w:t xml:space="preserve">(…) </w:t>
      </w:r>
      <w:r w:rsidRPr="00E970E8">
        <w:t>revise sus declaraciones</w:t>
      </w:r>
      <w:r>
        <w:t xml:space="preserve"> </w:t>
      </w:r>
      <w:r w:rsidRPr="00E970E8">
        <w:t>interpretativas sobre los artículos 12, 17 y 18, con vistas a retirarlas</w:t>
      </w:r>
      <w:r>
        <w:t xml:space="preserve">…” </w:t>
      </w:r>
      <w:proofErr w:type="gramStart"/>
      <w:r w:rsidRPr="00562DB8">
        <w:rPr>
          <w:lang w:val="en-US"/>
        </w:rPr>
        <w:t xml:space="preserve">CRPD/C/AUS/CO/1, 21 de </w:t>
      </w:r>
      <w:proofErr w:type="spellStart"/>
      <w:r w:rsidRPr="00562DB8">
        <w:rPr>
          <w:lang w:val="en-US"/>
        </w:rPr>
        <w:t>octubre</w:t>
      </w:r>
      <w:proofErr w:type="spellEnd"/>
      <w:r w:rsidRPr="00562DB8">
        <w:rPr>
          <w:lang w:val="en-US"/>
        </w:rPr>
        <w:t xml:space="preserve"> de 2013, </w:t>
      </w:r>
      <w:proofErr w:type="spellStart"/>
      <w:r w:rsidRPr="00562DB8">
        <w:rPr>
          <w:lang w:val="en-US"/>
        </w:rPr>
        <w:t>párrafo</w:t>
      </w:r>
      <w:proofErr w:type="spellEnd"/>
      <w:r w:rsidRPr="00562DB8">
        <w:rPr>
          <w:lang w:val="en-US"/>
        </w:rPr>
        <w:t xml:space="preserve"> 9.</w:t>
      </w:r>
      <w:proofErr w:type="gramEnd"/>
    </w:p>
  </w:footnote>
  <w:footnote w:id="848">
    <w:p w:rsidR="00887731" w:rsidRPr="00562DB8" w:rsidRDefault="00887731" w:rsidP="004551E9">
      <w:pPr>
        <w:pStyle w:val="Pie"/>
        <w:rPr>
          <w:lang w:val="en-US"/>
        </w:rPr>
      </w:pPr>
      <w:r w:rsidRPr="00597337">
        <w:rPr>
          <w:rStyle w:val="Refdenotaalpie"/>
        </w:rPr>
        <w:footnoteRef/>
      </w:r>
      <w:r w:rsidRPr="004551E9">
        <w:rPr>
          <w:lang w:val="en-US"/>
        </w:rPr>
        <w:t xml:space="preserve"> […Canada, Declaration and reservation: “Canada </w:t>
      </w:r>
      <w:proofErr w:type="spellStart"/>
      <w:r w:rsidRPr="004551E9">
        <w:rPr>
          <w:lang w:val="en-US"/>
        </w:rPr>
        <w:t>recognises</w:t>
      </w:r>
      <w:proofErr w:type="spellEnd"/>
      <w:r w:rsidRPr="004551E9">
        <w:rPr>
          <w:lang w:val="en-US"/>
        </w:rPr>
        <w:t xml:space="preserve"> that persons with disabilities are presumed to have legal capacity on an equal basis with others in all aspects of their lives. </w:t>
      </w:r>
      <w:r w:rsidRPr="00562DB8">
        <w:rPr>
          <w:lang w:val="en-US"/>
        </w:rPr>
        <w:t xml:space="preserve">Canada declares its understanding that Article 12 permits supported and substitute decision-making arrangements in appropriate circumstances and </w:t>
      </w:r>
      <w:proofErr w:type="gramStart"/>
      <w:r w:rsidRPr="00562DB8">
        <w:rPr>
          <w:lang w:val="en-US"/>
        </w:rPr>
        <w:t>in  accordance</w:t>
      </w:r>
      <w:proofErr w:type="gramEnd"/>
      <w:r w:rsidRPr="00562DB8">
        <w:rPr>
          <w:lang w:val="en-US"/>
        </w:rPr>
        <w:t xml:space="preserve"> with the law. To the extent Article 12 may be interpreted as requiring the elimination of all substitute decision-making arrangements, Canada  reserves the right to continue their use in appropriate circumstances and subject to appropriate and effective safeguards. With respect to Article 12 (4), Canada reserves the right not to subject all such measures to regular review by an independent authority, where such measures are already subject to review or appeal….] Del 11/03/2010. UN Multilateral Treaties, Chapter IV. 15.</w:t>
      </w:r>
    </w:p>
  </w:footnote>
  <w:footnote w:id="849">
    <w:p w:rsidR="00887731" w:rsidRPr="00562DB8" w:rsidRDefault="00887731" w:rsidP="004551E9">
      <w:pPr>
        <w:pStyle w:val="Pie"/>
        <w:rPr>
          <w:lang w:val="en-US"/>
        </w:rPr>
      </w:pPr>
      <w:r w:rsidRPr="00597337">
        <w:rPr>
          <w:rStyle w:val="Refdenotaalpie"/>
        </w:rPr>
        <w:footnoteRef/>
      </w:r>
      <w:r w:rsidRPr="004551E9">
        <w:rPr>
          <w:lang w:val="en-US"/>
        </w:rPr>
        <w:t xml:space="preserve"> […Estonia, Declaration: “The Republic of Estonia interprets article 12 of the Convention as it does not forbid to rest</w:t>
      </w:r>
      <w:r w:rsidRPr="00597337">
        <w:rPr>
          <w:rStyle w:val="PieCar"/>
          <w:lang w:val="en-US"/>
        </w:rPr>
        <w:t>r</w:t>
      </w:r>
      <w:r w:rsidRPr="004551E9">
        <w:rPr>
          <w:lang w:val="en-US"/>
        </w:rPr>
        <w:t xml:space="preserve">ict a person’s active legal capacity, when such need arises from the person’s ability to understand and direct his or her actions.  </w:t>
      </w:r>
      <w:r w:rsidRPr="00562DB8">
        <w:rPr>
          <w:lang w:val="en-US"/>
        </w:rPr>
        <w:t>In restricting the rights of the persons with restricted active legal capacity the Republic of Estonia acts according to its domestic laws.”…] Del 30/05/2012. UN Multilateral Treaties, Chapter IV. 15.</w:t>
      </w:r>
    </w:p>
  </w:footnote>
  <w:footnote w:id="850">
    <w:p w:rsidR="00887731" w:rsidRPr="00597337" w:rsidRDefault="00887731" w:rsidP="004551E9">
      <w:pPr>
        <w:pStyle w:val="Pie"/>
      </w:pPr>
      <w:r w:rsidRPr="00597337">
        <w:rPr>
          <w:rStyle w:val="Refdenotaalpie"/>
        </w:rPr>
        <w:footnoteRef/>
      </w:r>
      <w:r w:rsidRPr="00562DB8">
        <w:rPr>
          <w:lang w:val="en-US"/>
        </w:rPr>
        <w:t xml:space="preserve"> </w:t>
      </w:r>
      <w:proofErr w:type="gramStart"/>
      <w:r w:rsidRPr="00562DB8">
        <w:rPr>
          <w:lang w:val="en-US"/>
        </w:rPr>
        <w:t>[…Norway, Declarations: “Article 12.</w:t>
      </w:r>
      <w:proofErr w:type="gramEnd"/>
      <w:r w:rsidRPr="00562DB8">
        <w:rPr>
          <w:lang w:val="en-US"/>
        </w:rPr>
        <w:t xml:space="preserve"> Norway </w:t>
      </w:r>
      <w:proofErr w:type="spellStart"/>
      <w:r w:rsidRPr="00562DB8">
        <w:rPr>
          <w:lang w:val="en-US"/>
        </w:rPr>
        <w:t>recognises</w:t>
      </w:r>
      <w:proofErr w:type="spellEnd"/>
      <w:r w:rsidRPr="00562DB8">
        <w:rPr>
          <w:lang w:val="en-US"/>
        </w:rPr>
        <w:t xml:space="preserve"> that persons with disabilities enjoy legal capacity on an equal basis with others in all aspects of life. Norway also recognizes its obligations to take appropriate measures to provide access by persons with disabilities to the support they may require in exercising their legal capacity. Furthermore, Norway declares its understanding that the Convention allows for the withdrawal of legal capacity or support in exercising legal capacity, and/or compulsory guardianship, in cases where such measures are necessary, as a last resort and subject to safeguards. </w:t>
      </w:r>
      <w:proofErr w:type="gramStart"/>
      <w:r w:rsidRPr="00562DB8">
        <w:rPr>
          <w:lang w:val="en-US"/>
        </w:rPr>
        <w:t>Articles 14 and 25.</w:t>
      </w:r>
      <w:proofErr w:type="gramEnd"/>
      <w:r w:rsidRPr="00562DB8">
        <w:rPr>
          <w:lang w:val="en-US"/>
        </w:rPr>
        <w:t xml:space="preserve"> Norway </w:t>
      </w:r>
      <w:proofErr w:type="spellStart"/>
      <w:r w:rsidRPr="00562DB8">
        <w:rPr>
          <w:lang w:val="en-US"/>
        </w:rPr>
        <w:t>recognises</w:t>
      </w:r>
      <w:proofErr w:type="spellEnd"/>
      <w:r w:rsidRPr="00562DB8">
        <w:rPr>
          <w:lang w:val="en-US"/>
        </w:rPr>
        <w:t xml:space="preserve"> that all persons with disabilities enjoy the right to liberty and security of person, and a right to respect for physical and mental integrity on an equal basis with others. Furthermore, Norway declares its understanding that the Convention allows for compulsory care or treatment of persons, including measures to treat mental illnesses, when circumstances render treatment of this kind necessary as a last resort, and the treatment is subject to legal safeguards.”…] </w:t>
      </w:r>
      <w:r w:rsidRPr="00597337">
        <w:t>Del 03/06/2013. UN Multilateral Treaties, Chapter IV. 15.</w:t>
      </w:r>
    </w:p>
  </w:footnote>
  <w:footnote w:id="851">
    <w:p w:rsidR="00887731" w:rsidRPr="00562DB8" w:rsidRDefault="00887731" w:rsidP="004551E9">
      <w:pPr>
        <w:pStyle w:val="Pie"/>
        <w:rPr>
          <w:lang w:val="en-US"/>
        </w:rPr>
      </w:pPr>
      <w:r w:rsidRPr="00597337">
        <w:rPr>
          <w:rStyle w:val="Refdenotaalpie"/>
        </w:rPr>
        <w:footnoteRef/>
      </w:r>
      <w:r w:rsidRPr="004551E9">
        <w:rPr>
          <w:lang w:val="en-US"/>
        </w:rPr>
        <w:t xml:space="preserve"> </w:t>
      </w:r>
      <w:proofErr w:type="gramStart"/>
      <w:r w:rsidRPr="004551E9">
        <w:rPr>
          <w:lang w:val="en-US"/>
        </w:rPr>
        <w:t>[…Poland.</w:t>
      </w:r>
      <w:proofErr w:type="gramEnd"/>
      <w:r w:rsidRPr="004551E9">
        <w:rPr>
          <w:lang w:val="en-US"/>
        </w:rPr>
        <w:t xml:space="preserve"> Interpretative Declaration made upon ratification: “The Republic of Poland declares that it will interpret Article 12 of the Convention in a way allowing the application of the incapacitation, in the circumstances and in the manner set forth in the domestic law, as a measure indicated in Article 12.4, when a person suffering from a mental illness, mental disability or other mental disorder is unable to control his or her conduct.”…] </w:t>
      </w:r>
      <w:r w:rsidRPr="00562DB8">
        <w:rPr>
          <w:lang w:val="en-US"/>
        </w:rPr>
        <w:t xml:space="preserve">Del 25/09/2012. UN Multilateral Treaties, Chapter IV. 15. </w:t>
      </w:r>
    </w:p>
  </w:footnote>
  <w:footnote w:id="852">
    <w:p w:rsidR="00887731" w:rsidRPr="00562DB8" w:rsidRDefault="00887731" w:rsidP="004551E9">
      <w:pPr>
        <w:pStyle w:val="Textonotapie"/>
        <w:rPr>
          <w:lang w:val="en-US"/>
        </w:rPr>
      </w:pPr>
      <w:r>
        <w:rPr>
          <w:rStyle w:val="Refdenotaalpie"/>
        </w:rPr>
        <w:footnoteRef/>
      </w:r>
      <w:r w:rsidRPr="004551E9">
        <w:rPr>
          <w:lang w:val="en-US"/>
        </w:rPr>
        <w:t xml:space="preserve"> […The Republic of Singapore’s current legislative framework provides, as an appropriate and effective safeguard, oversight and supervision by competent, independent and impartial authorities or judicial bodies of measures relating to the exercise of legal capacity, upon applications made before them or which they initiate themselves in appropriate cases. </w:t>
      </w:r>
      <w:r w:rsidRPr="00562DB8">
        <w:rPr>
          <w:lang w:val="en-US"/>
        </w:rPr>
        <w:t>The Republic of Singapore reserves the right to continue to apply its current legislative framework in lieu of the regular review referred to in Article 12, paragraph 4 of the Convention…] Del 18/07/2013, UN Multilateral Treaties, Chapter IV. 15.</w:t>
      </w:r>
    </w:p>
  </w:footnote>
  <w:footnote w:id="853">
    <w:p w:rsidR="00887731" w:rsidRPr="000D0A1A" w:rsidRDefault="00887731" w:rsidP="004551E9">
      <w:pPr>
        <w:pStyle w:val="Textonotapie"/>
      </w:pPr>
      <w:r>
        <w:rPr>
          <w:rStyle w:val="Refdenotaalpie"/>
        </w:rPr>
        <w:footnoteRef/>
      </w:r>
      <w:r w:rsidRPr="004551E9">
        <w:rPr>
          <w:lang w:val="en-US"/>
        </w:rPr>
        <w:t xml:space="preserve"> […The Bolivarian Republic of Venezuela reaffirms its absolute determination to guarantee the rights and protect the dignity of persons with disabilities. </w:t>
      </w:r>
      <w:r w:rsidRPr="00562DB8">
        <w:rPr>
          <w:lang w:val="en-US"/>
        </w:rPr>
        <w:t xml:space="preserve">Accordingly, it declares that it interprets paragraph 2 of Article 12 of the Convention to mean that in the case of conflict between that paragraph and any provisions in Venezuelan legislation, the provisions that guarantee the greatest legal protection to persons with disabilities, while ensuring their well-being and integral development, without discrimination, shall apply…] </w:t>
      </w:r>
      <w:r w:rsidRPr="00DD6778">
        <w:t xml:space="preserve">Del 24/09/2013. </w:t>
      </w:r>
      <w:r w:rsidRPr="000D0A1A">
        <w:t xml:space="preserve">UN Multilateral Treaties, Chapter IV. 15. </w:t>
      </w:r>
    </w:p>
  </w:footnote>
  <w:footnote w:id="854">
    <w:p w:rsidR="00887731" w:rsidRPr="00B50ED1" w:rsidRDefault="00887731" w:rsidP="004551E9">
      <w:pPr>
        <w:pStyle w:val="Textonotapie"/>
      </w:pPr>
      <w:r>
        <w:rPr>
          <w:rStyle w:val="Refdenotaalpie"/>
        </w:rPr>
        <w:footnoteRef/>
      </w:r>
      <w:r w:rsidRPr="00B50ED1">
        <w:t xml:space="preserve"> Véase lo señalado más a</w:t>
      </w:r>
      <w:r>
        <w:t xml:space="preserve">delante en el punto </w:t>
      </w:r>
      <w:r w:rsidRPr="00B50ED1">
        <w:t xml:space="preserve">6.3.2.9 </w:t>
      </w:r>
      <w:r>
        <w:t xml:space="preserve"> </w:t>
      </w:r>
    </w:p>
  </w:footnote>
  <w:footnote w:id="855">
    <w:p w:rsidR="00887731" w:rsidRPr="00597337" w:rsidRDefault="00887731" w:rsidP="004551E9">
      <w:pPr>
        <w:pStyle w:val="Pie"/>
      </w:pPr>
      <w:r w:rsidRPr="00597337">
        <w:rPr>
          <w:rStyle w:val="Refdenotaalpie"/>
        </w:rPr>
        <w:footnoteRef/>
      </w:r>
      <w:r w:rsidRPr="004551E9">
        <w:rPr>
          <w:lang w:val="en-US"/>
        </w:rPr>
        <w:t xml:space="preserve"> […The Netherlands declares that it will interpret the term ‘consent' in Article 15 in conformity with international instruments, such as the Council of Europe Convention on Human Rights and Biomedicine and the Additional Protocol concerning Biomedical Research, and with national legislation which is in line with these instruments. </w:t>
      </w:r>
      <w:r w:rsidRPr="00562DB8">
        <w:rPr>
          <w:lang w:val="en-US"/>
        </w:rPr>
        <w:t xml:space="preserve">This means that, as far as biomedical research is concerned, the term ‘consent' applies to two different situations: 1. consent given by a person who is able to consent, and 2. in the case of persons who are not able to give their consent, permission given by their representative or an authority or body provided for by law. The Netherlands considers it important that persons who are unable to give their free and informed consent receive specific protection. In addition to the permission referred to </w:t>
      </w:r>
      <w:proofErr w:type="gramStart"/>
      <w:r w:rsidRPr="00562DB8">
        <w:rPr>
          <w:lang w:val="en-US"/>
        </w:rPr>
        <w:t>under</w:t>
      </w:r>
      <w:proofErr w:type="gramEnd"/>
      <w:r w:rsidRPr="00562DB8">
        <w:rPr>
          <w:lang w:val="en-US"/>
        </w:rPr>
        <w:t xml:space="preserve"> 2. </w:t>
      </w:r>
      <w:proofErr w:type="gramStart"/>
      <w:r w:rsidRPr="00562DB8">
        <w:rPr>
          <w:lang w:val="en-US"/>
        </w:rPr>
        <w:t>above</w:t>
      </w:r>
      <w:proofErr w:type="gramEnd"/>
      <w:r w:rsidRPr="00562DB8">
        <w:rPr>
          <w:lang w:val="en-US"/>
        </w:rPr>
        <w:t xml:space="preserve">, other protective measures as included in the above-mentioned international instruments are considered to be part of this protection….] </w:t>
      </w:r>
      <w:r w:rsidRPr="00597337">
        <w:t>Del 30/03/2007. UN Multilateral Treaties, Chapter IV. 15.</w:t>
      </w:r>
    </w:p>
  </w:footnote>
  <w:footnote w:id="856">
    <w:p w:rsidR="00887731" w:rsidRPr="00597337" w:rsidRDefault="00887731" w:rsidP="004551E9">
      <w:pPr>
        <w:pStyle w:val="Pie"/>
        <w:rPr>
          <w:lang w:val="es-AR"/>
        </w:rPr>
      </w:pPr>
      <w:r w:rsidRPr="00597337">
        <w:rPr>
          <w:rStyle w:val="Refdenotaalpie"/>
        </w:rPr>
        <w:footnoteRef/>
      </w:r>
      <w:r w:rsidRPr="004551E9">
        <w:rPr>
          <w:lang w:val="en-US"/>
        </w:rPr>
        <w:t xml:space="preserve"> </w:t>
      </w:r>
      <w:proofErr w:type="gramStart"/>
      <w:r w:rsidRPr="004551E9">
        <w:rPr>
          <w:lang w:val="en-US"/>
        </w:rPr>
        <w:t>[…France.</w:t>
      </w:r>
      <w:proofErr w:type="gramEnd"/>
      <w:r w:rsidRPr="004551E9">
        <w:rPr>
          <w:lang w:val="en-US"/>
        </w:rPr>
        <w:t xml:space="preserve"> Declarations: The French Republic declares that it will interpret the term "consent" in article 15 of the Convention in conformity with international instruments, in particular those that relate to human rights and biomedicine, and with national legislation, which is in line with these instruments. </w:t>
      </w:r>
      <w:r w:rsidRPr="00562DB8">
        <w:rPr>
          <w:lang w:val="en-US"/>
        </w:rPr>
        <w:t xml:space="preserve">This means that, as far as biomedical research is concerned, the term "consent" applies to two different situations: 1. Consent given by a person who is able to consent, and 2. In the case of persons who are not able to give their consent, permission given by their representative or an authority or body provided for by law. The French Republic considers it important that persons who are unable to give their free and informed consent receive specific protection, without prejudice to all medical research of benefit to them. In addition to the permission referred to under paragraph 2 above, other protective measures, such as those included in the above-mentioned international instruments, are considered to be part of this protection….] </w:t>
      </w:r>
      <w:r w:rsidRPr="00597337">
        <w:rPr>
          <w:lang w:val="es-AR"/>
        </w:rPr>
        <w:t xml:space="preserve">Del 18/02/2010. UN Multilateral Treaties, Chapter IV. 15. </w:t>
      </w:r>
    </w:p>
  </w:footnote>
  <w:footnote w:id="857">
    <w:p w:rsidR="00887731" w:rsidRPr="00597337" w:rsidRDefault="00887731" w:rsidP="004551E9">
      <w:pPr>
        <w:pStyle w:val="Pie"/>
      </w:pPr>
      <w:r w:rsidRPr="00597337">
        <w:rPr>
          <w:rStyle w:val="Refdenotaalpie"/>
        </w:rPr>
        <w:footnoteRef/>
      </w:r>
      <w:r w:rsidRPr="00597337">
        <w:t xml:space="preserve"> Véase lo señalado en el punto 6.2 más arriba. </w:t>
      </w:r>
    </w:p>
  </w:footnote>
  <w:footnote w:id="858">
    <w:p w:rsidR="00887731" w:rsidRPr="00562DB8" w:rsidRDefault="00887731" w:rsidP="004551E9">
      <w:pPr>
        <w:pStyle w:val="Pie"/>
        <w:rPr>
          <w:lang w:val="en-US"/>
        </w:rPr>
      </w:pPr>
      <w:r w:rsidRPr="00597337">
        <w:rPr>
          <w:rStyle w:val="Refdenotaalpie"/>
        </w:rPr>
        <w:footnoteRef/>
      </w:r>
      <w:r w:rsidRPr="00562DB8">
        <w:rPr>
          <w:lang w:val="en-US"/>
        </w:rPr>
        <w:t xml:space="preserve"> DEVANDAS AGUILAR, C. &amp; </w:t>
      </w:r>
      <w:proofErr w:type="spellStart"/>
      <w:r w:rsidRPr="00562DB8">
        <w:rPr>
          <w:lang w:val="en-US"/>
        </w:rPr>
        <w:t>TRöMEL</w:t>
      </w:r>
      <w:proofErr w:type="spellEnd"/>
      <w:r w:rsidRPr="00562DB8">
        <w:rPr>
          <w:lang w:val="en-US"/>
        </w:rPr>
        <w:t xml:space="preserve"> </w:t>
      </w:r>
      <w:proofErr w:type="spellStart"/>
      <w:r w:rsidRPr="00562DB8">
        <w:rPr>
          <w:lang w:val="en-US"/>
        </w:rPr>
        <w:t>Sturmer</w:t>
      </w:r>
      <w:proofErr w:type="spellEnd"/>
      <w:r w:rsidRPr="00562DB8">
        <w:rPr>
          <w:lang w:val="en-US"/>
        </w:rPr>
        <w:t>, S., (2012), op. Cit., p. 282.</w:t>
      </w:r>
    </w:p>
  </w:footnote>
  <w:footnote w:id="859">
    <w:p w:rsidR="00887731" w:rsidRPr="00597337" w:rsidRDefault="00887731" w:rsidP="004551E9">
      <w:pPr>
        <w:pStyle w:val="Pie"/>
      </w:pPr>
      <w:r w:rsidRPr="00597337">
        <w:rPr>
          <w:rStyle w:val="Refdenotaalpie"/>
        </w:rPr>
        <w:footnoteRef/>
      </w:r>
      <w:r w:rsidRPr="004551E9">
        <w:rPr>
          <w:lang w:val="en-US"/>
        </w:rPr>
        <w:t xml:space="preserve"> […On 3 January 2012, the Government of the United Mexican States informed the Secretary-General that it had decided to withdraw the interpretative declaration made upon ratification.  </w:t>
      </w:r>
      <w:r w:rsidRPr="00562DB8">
        <w:rPr>
          <w:lang w:val="en-US"/>
        </w:rPr>
        <w:t xml:space="preserve">The text of the interpretative declaration reads as follows: (…) affirming its absolute determination to protect the rights and dignity of persons with disabilities, the United Mexican States interprets paragraph 2 of article 12 of the Convention to mean that in the case of conflict between that paragraph and national legislation, the provision that confers the greatest legal protection while safeguarding the dignity and ensuring the physical, psychological and emotional integrity of persons and protecting the integrity of their property shall apply, in strict accordance with the principle </w:t>
      </w:r>
      <w:r w:rsidRPr="00562DB8">
        <w:rPr>
          <w:i/>
          <w:lang w:val="en-US"/>
        </w:rPr>
        <w:t xml:space="preserve">pro </w:t>
      </w:r>
      <w:proofErr w:type="spellStart"/>
      <w:r w:rsidRPr="00562DB8">
        <w:rPr>
          <w:i/>
          <w:lang w:val="en-US"/>
        </w:rPr>
        <w:t>homine</w:t>
      </w:r>
      <w:proofErr w:type="spellEnd"/>
      <w:r w:rsidRPr="00562DB8">
        <w:rPr>
          <w:lang w:val="en-US"/>
        </w:rPr>
        <w:t xml:space="preserve">…] </w:t>
      </w:r>
      <w:r w:rsidRPr="00597337">
        <w:rPr>
          <w:lang w:val="es-AR"/>
        </w:rPr>
        <w:t xml:space="preserve">UN Multilateral </w:t>
      </w:r>
      <w:proofErr w:type="spellStart"/>
      <w:r w:rsidRPr="00597337">
        <w:rPr>
          <w:lang w:val="es-AR"/>
        </w:rPr>
        <w:t>Treaties</w:t>
      </w:r>
      <w:proofErr w:type="spellEnd"/>
      <w:r w:rsidRPr="00597337">
        <w:rPr>
          <w:lang w:val="es-AR"/>
        </w:rPr>
        <w:t xml:space="preserve">, </w:t>
      </w:r>
      <w:proofErr w:type="spellStart"/>
      <w:r w:rsidRPr="00597337">
        <w:rPr>
          <w:lang w:val="es-AR"/>
        </w:rPr>
        <w:t>Chapter</w:t>
      </w:r>
      <w:proofErr w:type="spellEnd"/>
      <w:r w:rsidRPr="00597337">
        <w:rPr>
          <w:lang w:val="es-AR"/>
        </w:rPr>
        <w:t xml:space="preserve"> IV. 15.</w:t>
      </w:r>
    </w:p>
  </w:footnote>
  <w:footnote w:id="860">
    <w:p w:rsidR="00887731" w:rsidRPr="00597337" w:rsidRDefault="00887731" w:rsidP="004551E9">
      <w:pPr>
        <w:pStyle w:val="Pie"/>
      </w:pPr>
      <w:r w:rsidRPr="00597337">
        <w:rPr>
          <w:rStyle w:val="Refdenotaalpie"/>
        </w:rPr>
        <w:footnoteRef/>
      </w:r>
      <w:r w:rsidRPr="00597337">
        <w:t xml:space="preserve"> CENCOS, Celebran el retiro de la declaración interpretativa a la Convención sobre los Derechos de las Personas con Discapacidad,  México (2011), </w:t>
      </w:r>
      <w:hyperlink r:id="rId50" w:history="1">
        <w:r w:rsidRPr="00597337">
          <w:rPr>
            <w:rStyle w:val="Hipervnculo"/>
          </w:rPr>
          <w:t>http://cencos.org/node/28083</w:t>
        </w:r>
      </w:hyperlink>
      <w:r w:rsidRPr="00597337">
        <w:t>.</w:t>
      </w:r>
    </w:p>
  </w:footnote>
  <w:footnote w:id="861">
    <w:p w:rsidR="00887731" w:rsidRPr="00562DB8" w:rsidRDefault="00887731" w:rsidP="004551E9">
      <w:pPr>
        <w:pStyle w:val="Pie"/>
        <w:rPr>
          <w:lang w:val="en-US"/>
        </w:rPr>
      </w:pPr>
      <w:r w:rsidRPr="00597337">
        <w:rPr>
          <w:rStyle w:val="Refdenotaalpie"/>
        </w:rPr>
        <w:footnoteRef/>
      </w:r>
      <w:r w:rsidRPr="004551E9">
        <w:rPr>
          <w:lang w:val="en-US"/>
        </w:rPr>
        <w:t xml:space="preserve"> […On 21 December 2011, the Government of the United Kingdom of Great Britain and Northern Ireland informed the Secretary-General that it had decided to withdraw the reservation under article 12.4 made upon ratification.  </w:t>
      </w:r>
      <w:r w:rsidRPr="00562DB8">
        <w:rPr>
          <w:lang w:val="en-US"/>
        </w:rPr>
        <w:t>The text of the declaration reads as follows: “The United Kingdom’s arrangements, whereby the Secretary of State may appoint a person to exercise rights in relation to social security claims and payments on behalf of an individual who is for the time being unable to act, are not at present subject to the safeguard of regular review, as required by Article 12.4 of the Convention and the UK reserves the right to apply those arrangements. The UK is therefore working towards a proportionate system of review.”</w:t>
      </w:r>
      <w:proofErr w:type="gramStart"/>
      <w:r w:rsidRPr="00562DB8">
        <w:rPr>
          <w:lang w:val="en-US"/>
        </w:rPr>
        <w:t>…] UN Multilateral Treaties, Chapter IV.</w:t>
      </w:r>
      <w:proofErr w:type="gramEnd"/>
      <w:r w:rsidRPr="00562DB8">
        <w:rPr>
          <w:lang w:val="en-US"/>
        </w:rPr>
        <w:t xml:space="preserve"> 15.</w:t>
      </w:r>
    </w:p>
  </w:footnote>
  <w:footnote w:id="862">
    <w:p w:rsidR="00887731" w:rsidRPr="00562DB8" w:rsidRDefault="00887731" w:rsidP="004551E9">
      <w:pPr>
        <w:pStyle w:val="Pie"/>
        <w:rPr>
          <w:lang w:val="en-US"/>
        </w:rPr>
      </w:pPr>
      <w:r w:rsidRPr="00597337">
        <w:rPr>
          <w:rStyle w:val="Refdenotaalpie"/>
        </w:rPr>
        <w:footnoteRef/>
      </w:r>
      <w:r w:rsidRPr="00562DB8">
        <w:rPr>
          <w:lang w:val="en-US"/>
        </w:rPr>
        <w:t xml:space="preserve"> </w:t>
      </w:r>
      <w:proofErr w:type="gramStart"/>
      <w:r w:rsidRPr="00562DB8">
        <w:rPr>
          <w:lang w:val="en-US"/>
        </w:rPr>
        <w:t xml:space="preserve">DEVANDAS AGUILAR; C. &amp; </w:t>
      </w:r>
      <w:proofErr w:type="spellStart"/>
      <w:r w:rsidRPr="00562DB8">
        <w:rPr>
          <w:lang w:val="en-US"/>
        </w:rPr>
        <w:t>TRöMEL</w:t>
      </w:r>
      <w:proofErr w:type="spellEnd"/>
      <w:r w:rsidRPr="00562DB8">
        <w:rPr>
          <w:lang w:val="en-US"/>
        </w:rPr>
        <w:t xml:space="preserve"> </w:t>
      </w:r>
      <w:proofErr w:type="spellStart"/>
      <w:r w:rsidRPr="00562DB8">
        <w:rPr>
          <w:lang w:val="en-US"/>
        </w:rPr>
        <w:t>Sturmer</w:t>
      </w:r>
      <w:proofErr w:type="spellEnd"/>
      <w:r w:rsidRPr="00562DB8">
        <w:rPr>
          <w:lang w:val="en-US"/>
        </w:rPr>
        <w:t>, S., (2012), op. Cit., p.283.</w:t>
      </w:r>
      <w:proofErr w:type="gramEnd"/>
    </w:p>
  </w:footnote>
  <w:footnote w:id="863">
    <w:p w:rsidR="00887731" w:rsidRPr="00F71B0D" w:rsidRDefault="00887731" w:rsidP="004551E9">
      <w:pPr>
        <w:pStyle w:val="Pie"/>
      </w:pPr>
      <w:r w:rsidRPr="00597337">
        <w:rPr>
          <w:rStyle w:val="Refdenotaalpie"/>
        </w:rPr>
        <w:footnoteRef/>
      </w:r>
      <w:r w:rsidRPr="00F71B0D">
        <w:t xml:space="preserve"> </w:t>
      </w:r>
      <w:r w:rsidRPr="00F71B0D">
        <w:t>MARIÑO MENÉNDEZ, F., (2005) op. cit, p. 265.</w:t>
      </w:r>
    </w:p>
  </w:footnote>
  <w:footnote w:id="864">
    <w:p w:rsidR="00887731" w:rsidRPr="009139ED" w:rsidRDefault="00887731" w:rsidP="004551E9">
      <w:pPr>
        <w:pStyle w:val="Textonotapie"/>
      </w:pPr>
      <w:r>
        <w:rPr>
          <w:rStyle w:val="Refdenotaalpie"/>
        </w:rPr>
        <w:footnoteRef/>
      </w:r>
      <w:r w:rsidRPr="009139ED">
        <w:t xml:space="preserve"> Australia, CRPD/C/AUS/CO/1, 21 de octubre de 2013</w:t>
      </w:r>
      <w:r>
        <w:t xml:space="preserve">, párrafo 9; El Salvador, </w:t>
      </w:r>
      <w:r w:rsidRPr="009139ED">
        <w:t>CRPD/C/SLV/CO/1</w:t>
      </w:r>
      <w:r>
        <w:t xml:space="preserve">, 13 de septiembre de 2013, párrafo 6. </w:t>
      </w:r>
    </w:p>
  </w:footnote>
  <w:footnote w:id="865">
    <w:p w:rsidR="00887731" w:rsidRPr="006137C2" w:rsidRDefault="00887731" w:rsidP="004551E9">
      <w:pPr>
        <w:pStyle w:val="Pie"/>
      </w:pPr>
      <w:r w:rsidRPr="00597337">
        <w:rPr>
          <w:rStyle w:val="Refdenotaalpie"/>
        </w:rPr>
        <w:footnoteRef/>
      </w:r>
      <w:r w:rsidRPr="006137C2">
        <w:t xml:space="preserve"> </w:t>
      </w:r>
      <w:proofErr w:type="spellStart"/>
      <w:r w:rsidRPr="006137C2">
        <w:t>Idem</w:t>
      </w:r>
      <w:proofErr w:type="spellEnd"/>
      <w:r w:rsidRPr="006137C2">
        <w:t>, p. 353.</w:t>
      </w:r>
    </w:p>
  </w:footnote>
  <w:footnote w:id="866">
    <w:p w:rsidR="00887731" w:rsidRPr="00597337" w:rsidRDefault="00887731" w:rsidP="004551E9">
      <w:pPr>
        <w:pStyle w:val="Pie"/>
      </w:pPr>
      <w:r w:rsidRPr="00597337">
        <w:rPr>
          <w:rStyle w:val="Refdenotaalpie"/>
        </w:rPr>
        <w:footnoteRef/>
      </w:r>
      <w:r w:rsidRPr="00597337">
        <w:t xml:space="preserve"> Véase en este sentido la reserva formulada por El Salvador el momento de ratificar la CDPD: […El Salvador. </w:t>
      </w:r>
      <w:r w:rsidRPr="00562DB8">
        <w:rPr>
          <w:lang w:val="en-US"/>
        </w:rPr>
        <w:t xml:space="preserve">Reservation made upon signature and confirmed upon ratification: The Government of the Republic of El Salvador signs the present Convention on the Rights of Persons with Disabilities and the Optional Protocol thereto, adopted by the United Nations General Assembly on 13 December 2006, to the extent that its provisions do not prejudice or violate the provisions of any of the precepts, principles and norms enshrined in the Constitution of the Republic of El Salvador, particularly in its enumeration of principles…] </w:t>
      </w:r>
      <w:r w:rsidRPr="00597337">
        <w:t>Del 14/12/2007. UN Multilateral Treaties, Chapter IV. 15.</w:t>
      </w:r>
    </w:p>
  </w:footnote>
  <w:footnote w:id="867">
    <w:p w:rsidR="00887731" w:rsidRPr="00597337" w:rsidRDefault="00887731" w:rsidP="004551E9">
      <w:pPr>
        <w:pStyle w:val="Pie"/>
      </w:pPr>
      <w:r w:rsidRPr="00597337">
        <w:rPr>
          <w:rStyle w:val="Refdenotaalpie"/>
        </w:rPr>
        <w:footnoteRef/>
      </w:r>
      <w:r w:rsidRPr="00597337">
        <w:t xml:space="preserve"> </w:t>
      </w:r>
      <w:r w:rsidRPr="00612E43">
        <w:t>Tribunal Internacional de Justicia</w:t>
      </w:r>
      <w:r w:rsidRPr="00597337">
        <w:t>, Opinión consultiva de 28 de mayo de 1951, “Reservas a la Convención sobre la Prevención del Delito de Genocidio”.</w:t>
      </w:r>
    </w:p>
  </w:footnote>
  <w:footnote w:id="868">
    <w:p w:rsidR="00887731" w:rsidRPr="000D0A1A" w:rsidRDefault="00887731" w:rsidP="004551E9">
      <w:pPr>
        <w:pStyle w:val="Pie"/>
      </w:pPr>
      <w:r w:rsidRPr="00597337">
        <w:rPr>
          <w:rStyle w:val="Refdenotaalpie"/>
        </w:rPr>
        <w:footnoteRef/>
      </w:r>
      <w:r w:rsidRPr="00597337">
        <w:t xml:space="preserve"> Observación General No. 24, Comentarios generales adoptados por el Comité de los Derechos Humanos, Observación general sobre cuestiones relacionadas con las reservas formuladas con ocasión de la ratificación del Pacto o de sus Protocolos Facultativos, o de la adhesión a ellos, o en relación con las declaraciones hechas de conformidad con el artículo 41 del Pacto, 52º período de sesiones, U.N. Doc. </w:t>
      </w:r>
      <w:r w:rsidRPr="000D0A1A">
        <w:t>HRI/GEN/1/Rev.7 at 187 (1994), Párrafo 8.</w:t>
      </w:r>
    </w:p>
  </w:footnote>
  <w:footnote w:id="869">
    <w:p w:rsidR="00887731" w:rsidRPr="000D0A1A" w:rsidRDefault="00887731" w:rsidP="004551E9">
      <w:pPr>
        <w:pStyle w:val="Pie"/>
      </w:pPr>
      <w:r w:rsidRPr="00597337">
        <w:rPr>
          <w:rStyle w:val="Refdenotaalpie"/>
        </w:rPr>
        <w:footnoteRef/>
      </w:r>
      <w:r w:rsidRPr="000D0A1A">
        <w:t xml:space="preserve"> </w:t>
      </w:r>
      <w:proofErr w:type="spellStart"/>
      <w:r w:rsidRPr="000D0A1A">
        <w:t>Idem</w:t>
      </w:r>
      <w:proofErr w:type="spellEnd"/>
      <w:r w:rsidRPr="000D0A1A">
        <w:t>, párrafo 10.</w:t>
      </w:r>
    </w:p>
  </w:footnote>
  <w:footnote w:id="870">
    <w:p w:rsidR="00887731" w:rsidRPr="000D0A1A" w:rsidRDefault="00887731" w:rsidP="004551E9">
      <w:pPr>
        <w:pStyle w:val="Pie"/>
      </w:pPr>
      <w:r w:rsidRPr="00597337">
        <w:rPr>
          <w:rStyle w:val="Refdenotaalpie"/>
        </w:rPr>
        <w:footnoteRef/>
      </w:r>
      <w:r w:rsidRPr="000D0A1A">
        <w:t xml:space="preserve"> </w:t>
      </w:r>
      <w:proofErr w:type="spellStart"/>
      <w:r w:rsidRPr="000D0A1A">
        <w:t>Idem</w:t>
      </w:r>
      <w:proofErr w:type="spellEnd"/>
      <w:r w:rsidRPr="000D0A1A">
        <w:t>, párrafo 17.</w:t>
      </w:r>
    </w:p>
  </w:footnote>
  <w:footnote w:id="871">
    <w:p w:rsidR="00887731" w:rsidRPr="009139ED" w:rsidRDefault="00887731" w:rsidP="004551E9">
      <w:pPr>
        <w:pStyle w:val="Textonotapie"/>
      </w:pPr>
      <w:r>
        <w:rPr>
          <w:rStyle w:val="Refdenotaalpie"/>
        </w:rPr>
        <w:footnoteRef/>
      </w:r>
      <w:r w:rsidRPr="009139ED">
        <w:t xml:space="preserve"> Australia, CRPD/C/AUS/CO/1, 21 de octubre de 2013</w:t>
      </w:r>
      <w:r>
        <w:t xml:space="preserve">, párrafo 9; El Salvador, </w:t>
      </w:r>
      <w:r w:rsidRPr="009139ED">
        <w:t>CRPD/C/SLV/CO/1</w:t>
      </w:r>
      <w:r>
        <w:t xml:space="preserve">, 13 de septiembre de 2013, párrafo 6. </w:t>
      </w:r>
    </w:p>
  </w:footnote>
  <w:footnote w:id="872">
    <w:p w:rsidR="00887731" w:rsidRPr="004551E9" w:rsidRDefault="00887731" w:rsidP="004551E9">
      <w:pPr>
        <w:pStyle w:val="Pie"/>
        <w:rPr>
          <w:lang w:val="en-US"/>
        </w:rPr>
      </w:pPr>
      <w:r w:rsidRPr="00597337">
        <w:rPr>
          <w:rStyle w:val="Refdenotaalpie"/>
        </w:rPr>
        <w:footnoteRef/>
      </w:r>
      <w:r w:rsidRPr="004551E9">
        <w:rPr>
          <w:lang w:val="en-US"/>
        </w:rPr>
        <w:t xml:space="preserve"> SIMMA, B., (1998), “Reservations to human rights treaties: Some recent developments”, </w:t>
      </w:r>
      <w:proofErr w:type="spellStart"/>
      <w:r w:rsidRPr="004551E9">
        <w:rPr>
          <w:i/>
          <w:lang w:val="en-US"/>
        </w:rPr>
        <w:t>Liber</w:t>
      </w:r>
      <w:proofErr w:type="spellEnd"/>
      <w:r w:rsidRPr="004551E9">
        <w:rPr>
          <w:i/>
          <w:lang w:val="en-US"/>
        </w:rPr>
        <w:t xml:space="preserve"> </w:t>
      </w:r>
      <w:proofErr w:type="spellStart"/>
      <w:r w:rsidRPr="004551E9">
        <w:rPr>
          <w:i/>
          <w:lang w:val="en-US"/>
        </w:rPr>
        <w:t>Amicorum</w:t>
      </w:r>
      <w:proofErr w:type="spellEnd"/>
      <w:r w:rsidRPr="004551E9">
        <w:rPr>
          <w:i/>
          <w:lang w:val="en-US"/>
        </w:rPr>
        <w:t xml:space="preserve"> Professor </w:t>
      </w:r>
      <w:proofErr w:type="spellStart"/>
      <w:r w:rsidRPr="004551E9">
        <w:rPr>
          <w:i/>
          <w:lang w:val="en-US"/>
        </w:rPr>
        <w:t>Ignaz</w:t>
      </w:r>
      <w:proofErr w:type="spellEnd"/>
      <w:r w:rsidRPr="004551E9">
        <w:rPr>
          <w:i/>
          <w:lang w:val="en-US"/>
        </w:rPr>
        <w:t xml:space="preserve"> </w:t>
      </w:r>
      <w:proofErr w:type="spellStart"/>
      <w:r w:rsidRPr="004551E9">
        <w:rPr>
          <w:i/>
          <w:lang w:val="en-US"/>
        </w:rPr>
        <w:t>Seidl-Hohenveldern</w:t>
      </w:r>
      <w:proofErr w:type="spellEnd"/>
      <w:r w:rsidRPr="004551E9">
        <w:rPr>
          <w:i/>
          <w:lang w:val="en-US"/>
        </w:rPr>
        <w:t xml:space="preserve">: In </w:t>
      </w:r>
      <w:proofErr w:type="spellStart"/>
      <w:r w:rsidRPr="004551E9">
        <w:rPr>
          <w:i/>
          <w:lang w:val="en-US"/>
        </w:rPr>
        <w:t>Honour</w:t>
      </w:r>
      <w:proofErr w:type="spellEnd"/>
      <w:r w:rsidRPr="004551E9">
        <w:rPr>
          <w:i/>
          <w:lang w:val="en-US"/>
        </w:rPr>
        <w:t xml:space="preserve"> of His 80</w:t>
      </w:r>
      <w:r w:rsidRPr="004551E9">
        <w:rPr>
          <w:i/>
          <w:vertAlign w:val="superscript"/>
          <w:lang w:val="en-US"/>
        </w:rPr>
        <w:t>th</w:t>
      </w:r>
      <w:r w:rsidRPr="004551E9">
        <w:rPr>
          <w:i/>
          <w:lang w:val="en-US"/>
        </w:rPr>
        <w:t xml:space="preserve"> birthday</w:t>
      </w:r>
      <w:r w:rsidRPr="004551E9">
        <w:rPr>
          <w:lang w:val="en-US"/>
        </w:rPr>
        <w:t xml:space="preserve">, </w:t>
      </w:r>
      <w:proofErr w:type="spellStart"/>
      <w:r w:rsidRPr="004551E9">
        <w:rPr>
          <w:lang w:val="en-US"/>
        </w:rPr>
        <w:t>Kluwer</w:t>
      </w:r>
      <w:proofErr w:type="spellEnd"/>
      <w:r w:rsidRPr="004551E9">
        <w:rPr>
          <w:lang w:val="en-US"/>
        </w:rPr>
        <w:t xml:space="preserve"> Law International, The Hague, pp. 662-663.</w:t>
      </w:r>
    </w:p>
  </w:footnote>
  <w:footnote w:id="873">
    <w:p w:rsidR="00887731" w:rsidRPr="004551E9" w:rsidRDefault="00887731" w:rsidP="004551E9">
      <w:pPr>
        <w:pStyle w:val="Textonotapie"/>
        <w:rPr>
          <w:lang w:val="en-US"/>
        </w:rPr>
      </w:pPr>
      <w:r>
        <w:rPr>
          <w:rStyle w:val="Refdenotaalpie"/>
        </w:rPr>
        <w:footnoteRef/>
      </w:r>
      <w:r w:rsidRPr="004551E9">
        <w:rPr>
          <w:lang w:val="en-US"/>
        </w:rPr>
        <w:t xml:space="preserve"> HERNÁNDEZ, G. I., (2012), “The Reluctant Guardian: The International Court of Justice and the Concept of ‘International Community’”, </w:t>
      </w:r>
      <w:r w:rsidRPr="004551E9">
        <w:rPr>
          <w:i/>
          <w:lang w:val="en-US"/>
        </w:rPr>
        <w:t>British Yearbook of International Law</w:t>
      </w:r>
      <w:r w:rsidRPr="004551E9">
        <w:rPr>
          <w:lang w:val="en-US"/>
        </w:rPr>
        <w:t xml:space="preserve">, Vol. 83, No I, p. 29. </w:t>
      </w:r>
    </w:p>
  </w:footnote>
  <w:footnote w:id="874">
    <w:p w:rsidR="00887731" w:rsidRPr="00562DB8" w:rsidRDefault="00887731" w:rsidP="004551E9">
      <w:pPr>
        <w:pStyle w:val="Textonotapie"/>
        <w:rPr>
          <w:lang w:val="en-US"/>
        </w:rPr>
      </w:pPr>
      <w:r>
        <w:rPr>
          <w:rStyle w:val="Refdenotaalpie"/>
        </w:rPr>
        <w:footnoteRef/>
      </w:r>
      <w:r w:rsidRPr="00562DB8">
        <w:rPr>
          <w:lang w:val="en-US"/>
        </w:rPr>
        <w:t xml:space="preserve"> MOLONEY, R., (2004), “Incompatible reservations to human rights treaties: severability and the problem of state consent”, </w:t>
      </w:r>
      <w:r w:rsidRPr="00562DB8">
        <w:rPr>
          <w:i/>
          <w:lang w:val="en-US"/>
        </w:rPr>
        <w:t>Melbourne Journal of International Law</w:t>
      </w:r>
      <w:r w:rsidRPr="00562DB8">
        <w:rPr>
          <w:lang w:val="en-US"/>
        </w:rPr>
        <w:t>, Vol. 5, pp. 1-14.</w:t>
      </w:r>
    </w:p>
  </w:footnote>
  <w:footnote w:id="875">
    <w:p w:rsidR="00887731" w:rsidRPr="00B27A80" w:rsidRDefault="00887731" w:rsidP="004551E9">
      <w:pPr>
        <w:pStyle w:val="Textonotapie"/>
      </w:pPr>
      <w:r>
        <w:rPr>
          <w:rStyle w:val="Refdenotaalpie"/>
        </w:rPr>
        <w:footnoteRef/>
      </w:r>
      <w:r w:rsidRPr="00B27A80">
        <w:t xml:space="preserve"> </w:t>
      </w:r>
      <w:r>
        <w:t xml:space="preserve">Sin embargo en materia de Derechos Humanos este principio se ve de algún modo restringido. Véase al respecto: </w:t>
      </w:r>
      <w:r w:rsidRPr="00B27A80">
        <w:rPr>
          <w:caps/>
        </w:rPr>
        <w:t>Salmon, E. S.</w:t>
      </w:r>
      <w:r>
        <w:t xml:space="preserve"> (2010),</w:t>
      </w:r>
      <w:r w:rsidRPr="00B27A80">
        <w:t xml:space="preserve"> </w:t>
      </w:r>
      <w:r>
        <w:t>“</w:t>
      </w:r>
      <w:r w:rsidRPr="00B27A80">
        <w:t>La relación entre el Derecho Internacional de los Derechos Humanos y el ordenamiento jurídico estatal</w:t>
      </w:r>
      <w:r>
        <w:t>”, e</w:t>
      </w:r>
      <w:r w:rsidRPr="00B27A80">
        <w:t xml:space="preserve">n </w:t>
      </w:r>
      <w:r w:rsidRPr="00B27A80">
        <w:rPr>
          <w:i/>
        </w:rPr>
        <w:t>Derechos Humanos y Juicio Justo</w:t>
      </w:r>
      <w:r>
        <w:t>,</w:t>
      </w:r>
      <w:r w:rsidRPr="00B27A80">
        <w:t xml:space="preserve"> </w:t>
      </w:r>
      <w:r>
        <w:t>N</w:t>
      </w:r>
      <w:r w:rsidRPr="00B27A80">
        <w:t>ash Rojas</w:t>
      </w:r>
      <w:r>
        <w:t xml:space="preserve"> &amp; </w:t>
      </w:r>
      <w:r w:rsidRPr="00B27A80">
        <w:t xml:space="preserve">Mujica Torres </w:t>
      </w:r>
      <w:r>
        <w:t xml:space="preserve">(Eds), </w:t>
      </w:r>
      <w:r w:rsidRPr="00B27A80">
        <w:t>Centro de Derechos Humanos de la Universidad de Chile</w:t>
      </w:r>
      <w:r>
        <w:t xml:space="preserve">, pp. 99-158. </w:t>
      </w:r>
    </w:p>
  </w:footnote>
  <w:footnote w:id="876">
    <w:p w:rsidR="00887731" w:rsidRPr="00597337" w:rsidRDefault="00887731" w:rsidP="004551E9">
      <w:pPr>
        <w:pStyle w:val="Pie"/>
      </w:pPr>
      <w:r w:rsidRPr="00597337">
        <w:rPr>
          <w:rStyle w:val="Refdenotaalpie"/>
        </w:rPr>
        <w:footnoteRef/>
      </w:r>
      <w:r w:rsidRPr="00597337">
        <w:t xml:space="preserve"> </w:t>
      </w:r>
      <w:r w:rsidRPr="00597337">
        <w:rPr>
          <w:caps/>
        </w:rPr>
        <w:t>Acosta Estévez J. y Espaliat Larson A.,</w:t>
      </w:r>
      <w:r w:rsidRPr="00597337">
        <w:t xml:space="preserve"> (1990) </w:t>
      </w:r>
      <w:r w:rsidRPr="00612E43">
        <w:t>La Interpretación en el Derecho Internacional Público y Derecho Comunitario Europeo</w:t>
      </w:r>
      <w:r w:rsidRPr="00597337">
        <w:t>, PPU, Barcelona, p.86.</w:t>
      </w:r>
    </w:p>
  </w:footnote>
  <w:footnote w:id="877">
    <w:p w:rsidR="00887731" w:rsidRPr="00597337" w:rsidRDefault="00887731" w:rsidP="004551E9">
      <w:pPr>
        <w:pStyle w:val="Pie"/>
      </w:pPr>
      <w:r w:rsidRPr="00597337">
        <w:rPr>
          <w:rStyle w:val="Refdenotaalpie"/>
        </w:rPr>
        <w:footnoteRef/>
      </w:r>
      <w:r w:rsidRPr="00597337">
        <w:t xml:space="preserve"> </w:t>
      </w:r>
      <w:r w:rsidRPr="00597337">
        <w:rPr>
          <w:caps/>
        </w:rPr>
        <w:t>Fernández de Casadevante Romaní C.,</w:t>
      </w:r>
      <w:r w:rsidRPr="00597337">
        <w:t xml:space="preserve"> (1996), </w:t>
      </w:r>
      <w:r w:rsidRPr="00597337">
        <w:rPr>
          <w:i/>
        </w:rPr>
        <w:t>La Interpretación de las Normas Internacionales</w:t>
      </w:r>
      <w:r w:rsidRPr="00597337">
        <w:t>, Aranzadi, Pamplona, p. 56.</w:t>
      </w:r>
    </w:p>
  </w:footnote>
  <w:footnote w:id="878">
    <w:p w:rsidR="00887731" w:rsidRPr="00597337" w:rsidRDefault="00887731" w:rsidP="004551E9">
      <w:pPr>
        <w:pStyle w:val="Pie"/>
      </w:pPr>
      <w:r w:rsidRPr="00597337">
        <w:rPr>
          <w:rStyle w:val="Refdenotaalpie"/>
        </w:rPr>
        <w:footnoteRef/>
      </w:r>
      <w:r w:rsidRPr="00597337">
        <w:t xml:space="preserve"> Ídem pp. 56-57.</w:t>
      </w:r>
    </w:p>
  </w:footnote>
  <w:footnote w:id="879">
    <w:p w:rsidR="00887731" w:rsidRPr="00597337" w:rsidRDefault="00887731" w:rsidP="004551E9">
      <w:pPr>
        <w:pStyle w:val="Pie"/>
      </w:pPr>
      <w:r w:rsidRPr="00597337">
        <w:rPr>
          <w:rStyle w:val="Refdenotaalpie"/>
        </w:rPr>
        <w:footnoteRef/>
      </w:r>
      <w:r w:rsidRPr="00597337">
        <w:t xml:space="preserve"> Ídem, p. 68.</w:t>
      </w:r>
    </w:p>
  </w:footnote>
  <w:footnote w:id="880">
    <w:p w:rsidR="00887731" w:rsidRPr="00597337" w:rsidRDefault="00887731" w:rsidP="004551E9">
      <w:pPr>
        <w:pStyle w:val="Pie"/>
      </w:pPr>
      <w:r w:rsidRPr="00597337">
        <w:rPr>
          <w:rStyle w:val="Refdenotaalpie"/>
        </w:rPr>
        <w:footnoteRef/>
      </w:r>
      <w:r w:rsidRPr="00597337">
        <w:t xml:space="preserve"> MARIÑO MENÉNDEZ, F., (2005) op. cit, pp. 350-358.</w:t>
      </w:r>
    </w:p>
  </w:footnote>
  <w:footnote w:id="881">
    <w:p w:rsidR="00887731" w:rsidRPr="00597337" w:rsidRDefault="00887731" w:rsidP="004551E9">
      <w:pPr>
        <w:pStyle w:val="Pie"/>
      </w:pPr>
      <w:r w:rsidRPr="00597337">
        <w:rPr>
          <w:rStyle w:val="Refdenotaalpie"/>
        </w:rPr>
        <w:footnoteRef/>
      </w:r>
      <w:r w:rsidRPr="00597337">
        <w:t xml:space="preserve"> Primer informe sobre los acuerdos ulteriores y la práctica ulterior en relación con la interpretación de los tratados, Informe de </w:t>
      </w:r>
      <w:r w:rsidRPr="00597337">
        <w:rPr>
          <w:caps/>
        </w:rPr>
        <w:t>Georg Nolte,</w:t>
      </w:r>
      <w:r w:rsidRPr="00597337">
        <w:t xml:space="preserve"> Relator Especial, Comisión de Derecho Internacional, A/CN.4/660, 19 de marzo de 2013, p.16.</w:t>
      </w:r>
    </w:p>
  </w:footnote>
  <w:footnote w:id="882">
    <w:p w:rsidR="00887731" w:rsidRPr="00597337" w:rsidRDefault="00887731" w:rsidP="004551E9">
      <w:pPr>
        <w:pStyle w:val="Pie"/>
        <w:rPr>
          <w:noProof/>
        </w:rPr>
      </w:pPr>
      <w:r w:rsidRPr="00597337">
        <w:rPr>
          <w:rStyle w:val="Refdenotaalpie"/>
          <w:noProof/>
        </w:rPr>
        <w:footnoteRef/>
      </w:r>
      <w:r w:rsidRPr="00597337">
        <w:rPr>
          <w:noProof/>
        </w:rPr>
        <w:t xml:space="preserve"> </w:t>
      </w:r>
      <w:r w:rsidRPr="00597337">
        <w:t>MARIÑO MENÉNDEZ, F., (2005) op. cit,</w:t>
      </w:r>
      <w:r w:rsidRPr="00597337">
        <w:rPr>
          <w:noProof/>
        </w:rPr>
        <w:t>, p.187.</w:t>
      </w:r>
    </w:p>
  </w:footnote>
  <w:footnote w:id="883">
    <w:p w:rsidR="00887731" w:rsidRPr="00597337" w:rsidRDefault="00887731" w:rsidP="004551E9">
      <w:pPr>
        <w:pStyle w:val="Pie"/>
        <w:rPr>
          <w:noProof/>
        </w:rPr>
      </w:pPr>
      <w:r w:rsidRPr="00597337">
        <w:rPr>
          <w:rStyle w:val="Refdenotaalpie"/>
          <w:noProof/>
        </w:rPr>
        <w:footnoteRef/>
      </w:r>
      <w:r w:rsidRPr="00597337">
        <w:rPr>
          <w:noProof/>
        </w:rPr>
        <w:t xml:space="preserve"> </w:t>
      </w:r>
      <w:r w:rsidRPr="00597337">
        <w:rPr>
          <w:caps/>
          <w:noProof/>
        </w:rPr>
        <w:t>Carrillo Salcedo J.A.,</w:t>
      </w:r>
      <w:r w:rsidRPr="00597337">
        <w:rPr>
          <w:noProof/>
        </w:rPr>
        <w:t xml:space="preserve"> (1995), </w:t>
      </w:r>
      <w:r w:rsidRPr="00597337">
        <w:rPr>
          <w:i/>
          <w:noProof/>
        </w:rPr>
        <w:t xml:space="preserve">Soberanía de los Estados y Derechos Humanos en Derecho Internacional Contemporáneo, </w:t>
      </w:r>
      <w:r w:rsidRPr="00597337">
        <w:rPr>
          <w:noProof/>
        </w:rPr>
        <w:t xml:space="preserve">Tecnos, Madrid, p. 67. Véase también Opinión Consultiva de la Corte Internacional de Justicia del 28 de mayo de 1951, </w:t>
      </w:r>
      <w:r w:rsidRPr="00597337">
        <w:rPr>
          <w:i/>
          <w:noProof/>
        </w:rPr>
        <w:t xml:space="preserve">sobre la Validez de ciertas reservas a la Convención para prevención y sanción del delito de genocidio. </w:t>
      </w:r>
      <w:r w:rsidRPr="00597337">
        <w:rPr>
          <w:noProof/>
        </w:rPr>
        <w:t>En dicha ocasión la Corte sostuvo que en este tipo de tratados los Estados contratantes no tienen intereses propios, solamente tienen, por encima de todo, un interés común: la consecución de los propósitos que constituye la razón de ser de la Convención. Consecuentemente, en una convención de este tipo no puede hablarse... del mantenimiento de un perfecto equilibrio contractual entre derechos y obligaciones. (</w:t>
      </w:r>
      <w:r w:rsidRPr="00597337">
        <w:rPr>
          <w:i/>
          <w:noProof/>
        </w:rPr>
        <w:t xml:space="preserve">CIJ, Recueil, </w:t>
      </w:r>
      <w:r w:rsidRPr="00597337">
        <w:rPr>
          <w:noProof/>
        </w:rPr>
        <w:t xml:space="preserve">1951, pp. 23-24). </w:t>
      </w:r>
    </w:p>
  </w:footnote>
  <w:footnote w:id="884">
    <w:p w:rsidR="00887731" w:rsidRPr="000D0A1A" w:rsidRDefault="00887731" w:rsidP="004551E9">
      <w:pPr>
        <w:pStyle w:val="Pie"/>
        <w:rPr>
          <w:noProof/>
        </w:rPr>
      </w:pPr>
      <w:r w:rsidRPr="00597337">
        <w:rPr>
          <w:rStyle w:val="Refdenotaalpie"/>
          <w:noProof/>
        </w:rPr>
        <w:footnoteRef/>
      </w:r>
      <w:r w:rsidRPr="00597337">
        <w:rPr>
          <w:noProof/>
        </w:rPr>
        <w:t xml:space="preserve"> Conforme artículo 53 de la Convención de Viena Sobre el Derecho de los Tratados de 1969. </w:t>
      </w:r>
      <w:r w:rsidRPr="000D0A1A">
        <w:rPr>
          <w:noProof/>
        </w:rPr>
        <w:t xml:space="preserve">Véase: </w:t>
      </w:r>
      <w:r w:rsidRPr="000D0A1A">
        <w:rPr>
          <w:caps/>
          <w:noProof/>
        </w:rPr>
        <w:t xml:space="preserve">BROWNLIE I (1998), </w:t>
      </w:r>
      <w:r w:rsidRPr="000D0A1A">
        <w:rPr>
          <w:noProof/>
        </w:rPr>
        <w:t>op. cit., p. 513.</w:t>
      </w:r>
    </w:p>
  </w:footnote>
  <w:footnote w:id="885">
    <w:p w:rsidR="00887731" w:rsidRPr="00597337" w:rsidRDefault="00887731" w:rsidP="004551E9">
      <w:pPr>
        <w:pStyle w:val="Pie"/>
        <w:rPr>
          <w:noProof/>
        </w:rPr>
      </w:pPr>
      <w:r w:rsidRPr="00597337">
        <w:rPr>
          <w:rStyle w:val="Refdenotaalpie"/>
          <w:noProof/>
        </w:rPr>
        <w:footnoteRef/>
      </w:r>
      <w:r w:rsidRPr="00597337">
        <w:rPr>
          <w:noProof/>
        </w:rPr>
        <w:t xml:space="preserve"> </w:t>
      </w:r>
      <w:r w:rsidRPr="003E6BEF">
        <w:rPr>
          <w:i/>
          <w:noProof/>
        </w:rPr>
        <w:t xml:space="preserve">CIJ Recueil, </w:t>
      </w:r>
      <w:r w:rsidRPr="003E6BEF">
        <w:rPr>
          <w:noProof/>
        </w:rPr>
        <w:t>1970, párrafo 34.</w:t>
      </w:r>
      <w:r w:rsidRPr="00597337">
        <w:rPr>
          <w:noProof/>
        </w:rPr>
        <w:t xml:space="preserve"> </w:t>
      </w:r>
    </w:p>
  </w:footnote>
  <w:footnote w:id="886">
    <w:p w:rsidR="00887731" w:rsidRPr="00597337" w:rsidRDefault="00887731" w:rsidP="004551E9">
      <w:pPr>
        <w:pStyle w:val="Pie"/>
        <w:rPr>
          <w:noProof/>
        </w:rPr>
      </w:pPr>
      <w:r w:rsidRPr="00597337">
        <w:rPr>
          <w:rStyle w:val="Refdenotaalpie"/>
          <w:noProof/>
        </w:rPr>
        <w:footnoteRef/>
      </w:r>
      <w:r w:rsidRPr="00597337">
        <w:rPr>
          <w:noProof/>
        </w:rPr>
        <w:t xml:space="preserve"> </w:t>
      </w:r>
      <w:r w:rsidRPr="00597337">
        <w:t>MARIÑO MENÉNDEZ, F., (2005) op. cit,</w:t>
      </w:r>
      <w:r w:rsidRPr="00597337">
        <w:rPr>
          <w:noProof/>
        </w:rPr>
        <w:t xml:space="preserve"> p. 73.</w:t>
      </w:r>
    </w:p>
  </w:footnote>
  <w:footnote w:id="887">
    <w:p w:rsidR="00887731" w:rsidRPr="00597337" w:rsidRDefault="00887731" w:rsidP="004551E9">
      <w:pPr>
        <w:pStyle w:val="Pie"/>
      </w:pPr>
      <w:r w:rsidRPr="00597337">
        <w:rPr>
          <w:rStyle w:val="Refdenotaalpie"/>
        </w:rPr>
        <w:footnoteRef/>
      </w:r>
      <w:r w:rsidRPr="00597337">
        <w:t xml:space="preserve"> </w:t>
      </w:r>
      <w:r w:rsidRPr="00597337">
        <w:rPr>
          <w:rStyle w:val="PieCar"/>
          <w:caps/>
        </w:rPr>
        <w:t>Villán Durán, C.,</w:t>
      </w:r>
      <w:r w:rsidRPr="00597337">
        <w:t xml:space="preserve"> (2002), p.104  </w:t>
      </w:r>
    </w:p>
  </w:footnote>
  <w:footnote w:id="888">
    <w:p w:rsidR="00887731" w:rsidRPr="00597337" w:rsidRDefault="00887731" w:rsidP="004551E9">
      <w:pPr>
        <w:pStyle w:val="Pie"/>
      </w:pPr>
      <w:r w:rsidRPr="00597337">
        <w:rPr>
          <w:rStyle w:val="Refdenotaalpie"/>
        </w:rPr>
        <w:footnoteRef/>
      </w:r>
      <w:r w:rsidRPr="00597337">
        <w:t xml:space="preserve"> Asunto </w:t>
      </w:r>
      <w:proofErr w:type="spellStart"/>
      <w:r w:rsidRPr="00597337">
        <w:rPr>
          <w:i/>
        </w:rPr>
        <w:t>Golder</w:t>
      </w:r>
      <w:proofErr w:type="spellEnd"/>
      <w:r w:rsidRPr="00597337">
        <w:rPr>
          <w:i/>
        </w:rPr>
        <w:t xml:space="preserve"> c. Reino Unido</w:t>
      </w:r>
      <w:r w:rsidRPr="00597337">
        <w:t>, TEDH, Sentencia de 21 de febrero de 1975.</w:t>
      </w:r>
    </w:p>
  </w:footnote>
  <w:footnote w:id="889">
    <w:p w:rsidR="00887731" w:rsidRPr="00562DB8" w:rsidRDefault="00887731" w:rsidP="004551E9">
      <w:pPr>
        <w:pStyle w:val="Pie"/>
        <w:rPr>
          <w:lang w:val="en-US"/>
        </w:rPr>
      </w:pPr>
      <w:r w:rsidRPr="00597337">
        <w:rPr>
          <w:rStyle w:val="Refdenotaalpie"/>
        </w:rPr>
        <w:footnoteRef/>
      </w:r>
      <w:r w:rsidRPr="00562DB8">
        <w:rPr>
          <w:lang w:val="en-US"/>
        </w:rPr>
        <w:t xml:space="preserve"> </w:t>
      </w:r>
      <w:r w:rsidRPr="00562DB8">
        <w:rPr>
          <w:caps/>
          <w:lang w:val="en-US"/>
        </w:rPr>
        <w:t>Christoffersen, J.,</w:t>
      </w:r>
      <w:r w:rsidRPr="00562DB8">
        <w:rPr>
          <w:lang w:val="en-US"/>
        </w:rPr>
        <w:t xml:space="preserve"> (2009) “Impact of General Principles of Treaty Interpretation”, en </w:t>
      </w:r>
      <w:r w:rsidRPr="00562DB8">
        <w:rPr>
          <w:i/>
          <w:lang w:val="en-US"/>
        </w:rPr>
        <w:t>The Impact of Human Rights Law on General International Law</w:t>
      </w:r>
      <w:r w:rsidRPr="00562DB8">
        <w:rPr>
          <w:lang w:val="en-US"/>
        </w:rPr>
        <w:t xml:space="preserve">, (KAMMINGA &amp; SCHEININ Eds.), Oxford University Press, pp. 60-61. </w:t>
      </w:r>
    </w:p>
  </w:footnote>
  <w:footnote w:id="890">
    <w:p w:rsidR="00887731" w:rsidRPr="00597337" w:rsidRDefault="00887731" w:rsidP="004551E9">
      <w:pPr>
        <w:pStyle w:val="Pie"/>
      </w:pPr>
      <w:r w:rsidRPr="00597337">
        <w:rPr>
          <w:rStyle w:val="Refdenotaalpie"/>
        </w:rPr>
        <w:footnoteRef/>
      </w:r>
      <w:r w:rsidRPr="00597337">
        <w:t xml:space="preserve"> CRPD/C/TUN/CO/1, 13 de mayo de 2011</w:t>
      </w:r>
    </w:p>
  </w:footnote>
  <w:footnote w:id="891">
    <w:p w:rsidR="00887731" w:rsidRPr="003D679D" w:rsidRDefault="00887731" w:rsidP="004551E9">
      <w:pPr>
        <w:pStyle w:val="Pie"/>
      </w:pPr>
      <w:r w:rsidRPr="00597337">
        <w:rPr>
          <w:rStyle w:val="Refdenotaalpie"/>
        </w:rPr>
        <w:footnoteRef/>
      </w:r>
      <w:r w:rsidRPr="00597337">
        <w:t xml:space="preserve"> CRPD/C/PER/CO/1, 16 de mayo de 2012.</w:t>
      </w:r>
    </w:p>
  </w:footnote>
  <w:footnote w:id="892">
    <w:p w:rsidR="00887731" w:rsidRPr="003228E5" w:rsidRDefault="00887731" w:rsidP="004551E9">
      <w:pPr>
        <w:pStyle w:val="Textonotapie"/>
      </w:pPr>
      <w:r>
        <w:rPr>
          <w:rStyle w:val="Refdenotaalpie"/>
        </w:rPr>
        <w:footnoteRef/>
      </w:r>
      <w:r w:rsidRPr="003228E5">
        <w:t xml:space="preserve"> Observación general Nº 1 (2014), Artículo 12: Igual reconocimiento como persona ante la ley, CRPD/C/GC/1, 19 de mayo de 2014, párrafo</w:t>
      </w:r>
      <w:r>
        <w:t xml:space="preserve"> 9.</w:t>
      </w:r>
    </w:p>
  </w:footnote>
  <w:footnote w:id="893">
    <w:p w:rsidR="00887731" w:rsidRPr="00597337" w:rsidRDefault="00887731" w:rsidP="004551E9">
      <w:pPr>
        <w:pStyle w:val="Pie"/>
      </w:pPr>
      <w:r w:rsidRPr="00597337">
        <w:rPr>
          <w:rStyle w:val="Refdenotaalpie"/>
        </w:rPr>
        <w:footnoteRef/>
      </w:r>
      <w:r w:rsidRPr="00597337">
        <w:t xml:space="preserve"> CRPD/C/ESP/CO/1, 19 de octubre de 2011</w:t>
      </w:r>
    </w:p>
  </w:footnote>
  <w:footnote w:id="894">
    <w:p w:rsidR="00887731" w:rsidRPr="00597337" w:rsidRDefault="00887731" w:rsidP="004551E9">
      <w:pPr>
        <w:pStyle w:val="Pie"/>
      </w:pPr>
      <w:r w:rsidRPr="00597337">
        <w:rPr>
          <w:rStyle w:val="Refdenotaalpie"/>
        </w:rPr>
        <w:footnoteRef/>
      </w:r>
      <w:r w:rsidRPr="00597337">
        <w:t xml:space="preserve"> CRPD/C/PRY/CO/1, 15 de mayo de 2013</w:t>
      </w:r>
    </w:p>
  </w:footnote>
  <w:footnote w:id="895">
    <w:p w:rsidR="00887731" w:rsidRPr="00597337" w:rsidRDefault="00887731" w:rsidP="004551E9">
      <w:pPr>
        <w:pStyle w:val="Pie"/>
      </w:pPr>
      <w:r w:rsidRPr="00597337">
        <w:rPr>
          <w:rStyle w:val="Refdenotaalpie"/>
        </w:rPr>
        <w:footnoteRef/>
      </w:r>
      <w:r w:rsidRPr="00597337">
        <w:t xml:space="preserve"> CRPD/C/PER/CO/1, 16 de mayo de 2012.</w:t>
      </w:r>
    </w:p>
  </w:footnote>
  <w:footnote w:id="896">
    <w:p w:rsidR="00887731" w:rsidRPr="00597337" w:rsidRDefault="00887731" w:rsidP="004551E9">
      <w:pPr>
        <w:pStyle w:val="Pie"/>
      </w:pPr>
      <w:r w:rsidRPr="00597337">
        <w:rPr>
          <w:rStyle w:val="Refdenotaalpie"/>
        </w:rPr>
        <w:footnoteRef/>
      </w:r>
      <w:r w:rsidRPr="00597337">
        <w:t xml:space="preserve"> </w:t>
      </w:r>
      <w:r w:rsidRPr="00597337">
        <w:rPr>
          <w:lang w:val="es-ES_tradnl"/>
        </w:rPr>
        <w:t xml:space="preserve">CRPD/C/HUN/CO/1, </w:t>
      </w:r>
      <w:r w:rsidRPr="00597337">
        <w:t>22 de octubre de 2012.</w:t>
      </w:r>
    </w:p>
  </w:footnote>
  <w:footnote w:id="897">
    <w:p w:rsidR="00887731" w:rsidRPr="00597337" w:rsidRDefault="00887731" w:rsidP="004551E9">
      <w:pPr>
        <w:pStyle w:val="Pie"/>
      </w:pPr>
      <w:r w:rsidRPr="00597337">
        <w:rPr>
          <w:rStyle w:val="Refdenotaalpie"/>
        </w:rPr>
        <w:footnoteRef/>
      </w:r>
      <w:r w:rsidRPr="00597337">
        <w:t xml:space="preserve"> </w:t>
      </w:r>
      <w:r w:rsidRPr="00597337">
        <w:rPr>
          <w:lang w:val="es-ES_tradnl"/>
        </w:rPr>
        <w:t xml:space="preserve">CRPD/C/ARG/CO/1, </w:t>
      </w:r>
      <w:r w:rsidRPr="00597337">
        <w:t>19 de octubre de 2012.</w:t>
      </w:r>
    </w:p>
  </w:footnote>
  <w:footnote w:id="898">
    <w:p w:rsidR="00887731" w:rsidRPr="00597337" w:rsidRDefault="00887731" w:rsidP="004551E9">
      <w:pPr>
        <w:pStyle w:val="Pie"/>
      </w:pPr>
      <w:r w:rsidRPr="00597337">
        <w:rPr>
          <w:rStyle w:val="Refdenotaalpie"/>
        </w:rPr>
        <w:footnoteRef/>
      </w:r>
      <w:r w:rsidRPr="00597337">
        <w:t>CRPD/C/PER/CO/1, 16 de mayo de 2012.</w:t>
      </w:r>
    </w:p>
  </w:footnote>
  <w:footnote w:id="899">
    <w:p w:rsidR="00887731" w:rsidRPr="00597337" w:rsidRDefault="00887731" w:rsidP="004551E9">
      <w:pPr>
        <w:pStyle w:val="Pie"/>
      </w:pPr>
      <w:r w:rsidRPr="00597337">
        <w:rPr>
          <w:rStyle w:val="Refdenotaalpie"/>
        </w:rPr>
        <w:footnoteRef/>
      </w:r>
      <w:r w:rsidRPr="00597337">
        <w:t xml:space="preserve"> CRPD/C/PRY/CO/1, 15 de mayo de 2013.</w:t>
      </w:r>
    </w:p>
  </w:footnote>
  <w:footnote w:id="900">
    <w:p w:rsidR="00887731" w:rsidRPr="003228E5" w:rsidRDefault="00887731" w:rsidP="004551E9">
      <w:pPr>
        <w:pStyle w:val="Pie"/>
      </w:pPr>
      <w:r w:rsidRPr="00597337">
        <w:rPr>
          <w:rStyle w:val="Refdenotaalpie"/>
        </w:rPr>
        <w:footnoteRef/>
      </w:r>
      <w:r w:rsidRPr="00597337">
        <w:t xml:space="preserve"> Ídem. </w:t>
      </w:r>
      <w:r>
        <w:t>En la Observación General Nº 1 el CteCDPD señala que: […El reconocimiento de la capacidad jurídica está vinculado de manera indisoluble con el disfrute de muchos otros derechos humanos establecidos en la Convención sobre los derechos de las personas con discapacidad, entre ellos los siguientes: el derecho al acceso a la justicia (art. 13); el derecho a no ser internado contra su voluntad en una institución de salud mental y a no ser obligado a someterse a un tratamiento de salud mental (art. 14); el derecho al respeto de la integridad física y mental (art. 17) ; el derecho a la libertad de desplazamiento y a la nacionalidad (art. 18); el derecho a elegir dónde y con quién vivir (art. 19) ; el derecho a la libertad de expresión (art. 21) ; el derecho a casarse y fundar una familia (art. 23); el derecho a dar su consentimiento para el tratamiento médico (art. 25); y el derecho a votar y a presentarse como candidato en las elecciones (art. 29). El no reconocimiento de la personalidad jurídica de la persona compromete notablemente su capacidad de reivindicar, ejercer y hacer cumplir esos derechos y muchos otros derechos establecidos en la Convención…]</w:t>
      </w:r>
      <w:r w:rsidRPr="00CC0623">
        <w:t xml:space="preserve"> </w:t>
      </w:r>
      <w:r>
        <w:t xml:space="preserve">Observación general Nº 1 (2014), Artículo 12: Igual reconocimiento como persona ante la ley, </w:t>
      </w:r>
      <w:r w:rsidRPr="00475FAE">
        <w:t>CRPD/C/GC/1</w:t>
      </w:r>
      <w:r>
        <w:t xml:space="preserve">, </w:t>
      </w:r>
      <w:r w:rsidRPr="00475FAE">
        <w:t>19 de mayo de 2014</w:t>
      </w:r>
      <w:r>
        <w:t>, párrafo 31.</w:t>
      </w:r>
    </w:p>
  </w:footnote>
  <w:footnote w:id="901">
    <w:p w:rsidR="00887731" w:rsidRPr="00B208E1" w:rsidRDefault="00887731" w:rsidP="004551E9">
      <w:pPr>
        <w:pStyle w:val="Pie"/>
      </w:pPr>
      <w:r w:rsidRPr="00597337">
        <w:rPr>
          <w:rStyle w:val="Refdenotaalpie"/>
        </w:rPr>
        <w:footnoteRef/>
      </w:r>
      <w:r w:rsidRPr="00597337">
        <w:t xml:space="preserve"> </w:t>
      </w:r>
      <w:r w:rsidRPr="00597337">
        <w:rPr>
          <w:lang w:val="es-ES_tradnl"/>
        </w:rPr>
        <w:t>CRPD/C/CHN/CO/1, 15 de octubre de 2012.</w:t>
      </w:r>
      <w:r>
        <w:rPr>
          <w:lang w:val="es-ES_tradnl"/>
        </w:rPr>
        <w:t xml:space="preserve"> </w:t>
      </w:r>
      <w:r w:rsidRPr="009F5804">
        <w:t>En la Observación General Nº 1 el CteCDPD señala que: […Un régimen de apoyo para la adopción de decisiones comprende diversas opciones de apoyo que dan primacía a la voluntad y las preferencias de la persona y respetan las normas de derechos humanos (…) Aunque esos regímenes pueden adoptar muchas formas, todos deben incluir determinadas disposiciones esenciales para asegurar el cumplimiento del artículo 12 de la Convención, entre ellas las siguientes: a) El apoyo para la adopción de decisiones debe estar disponible para todos. El grado de apoyo que necesite una persona, especialmente cuando es elevado, no debe ser un obstáculo para obtener apoyo en la adopción de decisiones. b) Todas las formas de apoyo en el ejercicio de la capacidad jurídica, incluidas las formas más intensas, deben estar basadas en la voluntad y las preferencias de la persona, no en lo que se suponga que es su interés superior objetivo. c) El modo de comunicación de una persona no debe ser un obstáculo para obtener apoyo en la adopción de decisiones, incluso cuando esa comunicación sea no convencional o cuando sea comprendida por muy pocas personas. d) La persona o las personas encargadas del apoyo que haya escogido oficialmente la persona concernida deben disponer de un reconocimiento jurídico accesible, y los Estados tienen la obligación de facilitar la creación de apoyo, especialmente para las personas que estén aisladas y tal vez no tengan acceso a los apoyos que se dan de forma natural en las comunidades. Esto debe incluir un mecanismo para que los terceros comprueben la identidad de la persona encargada del apoyo, así como un mecanismo para que los terceros impugnen la decisión de la persona encargada del apoyo si creen que no está actuando en consonancia con la voluntad y las preferencias de la persona concernida. e) A fin de cumplir con la prescripción enunciada en el artículo 12, párrafo 3, de la Convención de que los Estados partes deben adoptar medidas para "proporcionar acceso" al apoyo necesario, los Estados partes deben velar por que las personas con discapacidad puedan obtener ese apoyo a un costo simbólico o gratuitamente y por que la falta de recursos financieros no sea un obstáculo para acceder al apoyo en el ejercicio de la capacidad jurídica.  f) El apoyo en la adopción de decisiones no debe utilizarse como justificación para limitar otros derechos fundamentales de las personas con discapacidad, especialmente el derecho de voto, el derecho a contraer matrimonio, o a establecer una unión civil, y a fundar una familia, los derechos reproductivos, la patria potestad, el derecho a otorgar su consentimiento para las relaciones íntimas y el tratamiento médico y el derecho a la libertad. g) La persona debe tener derecho a rechazar el apoyo y a poner fin a la relación de apoyo o cambiarla en cualquier momento. h) Deben establecerse salvaguardias para todos los procesos relacionados con la capacidad jurídica y el apoyo en el ejercicio de la capacidad jurídica. El objetivo de las salvaguardias es garantizar que se respeten la voluntad y las preferencias de la persona. i) La prestación de apoyo para el ejercicio de la capacidad jurídica no debe depender de una evaluación de la capacidad mental; para ese apoyo en el ejercicio de la capacidad jurídica se requieren indicadores nuevos y no discriminatorios de las necesidades de apoyo…] Observación general Nº 1 (2014), Artículo 12: Igual reconocimiento como persona ante la ley, CRPD/C/GC/1, 19 de mayo de 2014, párrafo 29</w:t>
      </w:r>
      <w:r w:rsidRPr="00B208E1">
        <w:t>.</w:t>
      </w:r>
    </w:p>
  </w:footnote>
  <w:footnote w:id="902">
    <w:p w:rsidR="00887731" w:rsidRPr="005F35BF" w:rsidRDefault="00887731" w:rsidP="004551E9">
      <w:pPr>
        <w:pStyle w:val="Textonotapie"/>
      </w:pPr>
      <w:r>
        <w:rPr>
          <w:rStyle w:val="Refdenotaalpie"/>
        </w:rPr>
        <w:footnoteRef/>
      </w:r>
      <w:r w:rsidRPr="00B208E1">
        <w:t xml:space="preserve"> </w:t>
      </w:r>
      <w:r w:rsidRPr="005F35BF">
        <w:t>En la Observación General Nº 1 el CteCDPD señala que: […La capacidad jurídica incluye la capacidad de ser titular de derechos y la de actuar en derecho. La capacidad jurídica de ser titular de derechos concede a la persona la protección plena de sus derechos por el ordenamiento jurídico. La capacidad jurídica de actuar en derecho reconoce a esa persona como actor facultado para realizar transacciones y para crear relaciones jurídicas, modificarlas o ponerles fin (…) La capacidad jurídica es un derecho inherente reconocido a todas las personas,  incluidas las personas con discapacidad. Como se señaló anteriormente, tiene dos facetas. La primera es la capacidad legal de ser titular de derechos y de ser reconocido como persona jurídica ante la ley. Ello puede incluir, por ejemplo, el hecho de tener una partida de nacimiento, de poder buscar asistencia médica, de estar inscrito en el registro electoral o de poder solicitar un pasaporte. La segunda es la legitimación para actuar con respecto a esos derechos y el reconocimiento de esas acciones por la ley…] Observación general Nº 1 (2014), Artículo 12: Igual reconocimiento como persona ante la ley, CRPD/C/GC/1, 19 de mayo de 2014, párrafos 12 y 14 respectivamente</w:t>
      </w:r>
      <w:r>
        <w:t>.</w:t>
      </w:r>
    </w:p>
  </w:footnote>
  <w:footnote w:id="903">
    <w:p w:rsidR="00887731" w:rsidRPr="005F35BF" w:rsidRDefault="00887731" w:rsidP="004551E9">
      <w:pPr>
        <w:pStyle w:val="Textonotapie"/>
      </w:pPr>
      <w:r>
        <w:rPr>
          <w:rStyle w:val="Refdenotaalpie"/>
        </w:rPr>
        <w:footnoteRef/>
      </w:r>
      <w:r w:rsidRPr="005F35BF">
        <w:t xml:space="preserve"> En la Observación General Nº 1 el CteCDPD señala que: […Los regímenes basados en la sustitución en la adopción de decisiones pueden revestir muchas formas diferentes, entre ellas la tutela plena, la interdicción judicial y la tutela parcial. Sin embargo, todos esos regímenes tienen ciertas características en común: pueden describirse como sistemas en los que: i) se despoja a la persona de la capacidad jurídica, aunque sea con respecto a una única decisión; ii) puede nombrar al sustituto que tomará las decisiones alguien que no sea la persona concernida y ese nombramiento puede hacerse en contra de su voluntad; y iii) toda decisión adoptada por el sustituto en la adopción de decisiones se basa en lo que se considera el "interés superior" objetivo de la persona concernida, en lugar de basarse en su propia voluntad y sus preferencias…] Observación general Nº 1 (2014), Artículo 12: Igual reconocimiento como persona ante la ley, CRPD/C/GC/1, 19 de mayo de 2014, párrafo 27</w:t>
      </w:r>
    </w:p>
  </w:footnote>
  <w:footnote w:id="904">
    <w:p w:rsidR="00887731" w:rsidRPr="005F35BF" w:rsidRDefault="00887731" w:rsidP="004551E9">
      <w:pPr>
        <w:pStyle w:val="Textonotapie"/>
      </w:pPr>
      <w:r>
        <w:rPr>
          <w:rStyle w:val="Refdenotaalpie"/>
        </w:rPr>
        <w:footnoteRef/>
      </w:r>
      <w:r w:rsidRPr="005F35BF">
        <w:t xml:space="preserve"> En la Observación General Nº 1 el CteCDPD señala que: […En muchos casos, la negación de la capacidad jurídica a las personas con discapacidad ha hecho que se vean privadas de muchos derechos fundamentales, como el derecho de voto, el derecho a casarse y fundar una familia, los derechos reproductivos, la patria potestad, el derecho a otorgar su consentimiento para las relaciones íntimas y el tratamiento médico y el derecho a la libertad…] Observación general Nº 1 (2014), Artículo 12: Igual reconocimiento como persona ante la ley, CRPD/C/GC/1, 19 de mayo de 2014, párrafo 8</w:t>
      </w:r>
      <w:r>
        <w:t>.</w:t>
      </w:r>
    </w:p>
  </w:footnote>
  <w:footnote w:id="905">
    <w:p w:rsidR="00887731" w:rsidRPr="005F35BF" w:rsidRDefault="00887731" w:rsidP="004551E9">
      <w:pPr>
        <w:pStyle w:val="Textonotapie"/>
      </w:pPr>
      <w:r>
        <w:rPr>
          <w:rStyle w:val="Refdenotaalpie"/>
        </w:rPr>
        <w:footnoteRef/>
      </w:r>
      <w:r w:rsidRPr="005F35BF">
        <w:t xml:space="preserve"> En la Observación General Nº 1 el CteCDPD señala que: […En el artículo 12, párrafo 3, se reconoce que los Estados partes tienen la obligación de proporcionar a las personas con discapacidad acceso al apoyo que sea preciso para el ejercicio de su capacidad jurídica. Los Estados partes no deben negar a las personas con discapacidad su capacidad jurídica, sino que deben proporcionarles acceso al apoyo que necesiten para tomar decisiones que tengan efectos jurídicos…] Observación general Nº 1 (2014), Artículo 12: Igual reconocimiento como persona ante la ley, CRPD/C/GC/1, 19 de mayo de 2014, párrafo 16</w:t>
      </w:r>
      <w:r>
        <w:t>.</w:t>
      </w:r>
    </w:p>
  </w:footnote>
  <w:footnote w:id="906">
    <w:p w:rsidR="00887731" w:rsidRPr="00597337" w:rsidRDefault="00887731" w:rsidP="004551E9">
      <w:pPr>
        <w:pStyle w:val="Pie"/>
      </w:pPr>
      <w:r w:rsidRPr="00597337">
        <w:rPr>
          <w:rStyle w:val="Refdenotaalpie"/>
        </w:rPr>
        <w:footnoteRef/>
      </w:r>
      <w:r w:rsidRPr="00597337">
        <w:t xml:space="preserve"> Adoptada en la Primera Reunión Extraordinaria del Comité para la Eliminación de todas las Formas de Discriminación contra las Personas con Discapacidad, OEA/ </w:t>
      </w:r>
      <w:proofErr w:type="spellStart"/>
      <w:r w:rsidRPr="00597337">
        <w:t>Ser.L</w:t>
      </w:r>
      <w:proofErr w:type="spellEnd"/>
      <w:r w:rsidRPr="00597337">
        <w:t>/XXIV.3.1 CEDDIS/doc.12 (I-E/11) Rev.1 4 y 5 de Mayo de 2011.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86FFC"/>
    <w:multiLevelType w:val="hybridMultilevel"/>
    <w:tmpl w:val="CB667FBA"/>
    <w:lvl w:ilvl="0" w:tplc="3F7E3A7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1F036C"/>
    <w:multiLevelType w:val="hybridMultilevel"/>
    <w:tmpl w:val="ED8A8602"/>
    <w:lvl w:ilvl="0" w:tplc="82AA1BD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73515F"/>
    <w:multiLevelType w:val="hybridMultilevel"/>
    <w:tmpl w:val="E27C6A82"/>
    <w:lvl w:ilvl="0" w:tplc="3F7E3A7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176430"/>
    <w:multiLevelType w:val="hybridMultilevel"/>
    <w:tmpl w:val="9AFE9B8C"/>
    <w:lvl w:ilvl="0" w:tplc="3F7E3A7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DB585D"/>
    <w:multiLevelType w:val="hybridMultilevel"/>
    <w:tmpl w:val="40B25C00"/>
    <w:lvl w:ilvl="0" w:tplc="8200DBAA">
      <w:start w:val="3"/>
      <w:numFmt w:val="bullet"/>
      <w:lvlText w:val="-"/>
      <w:lvlJc w:val="left"/>
      <w:pPr>
        <w:ind w:left="1440" w:hanging="360"/>
      </w:pPr>
      <w:rPr>
        <w:rFonts w:ascii="Times New Roman" w:eastAsiaTheme="minorHAnsi" w:hAnsi="Times New Roman" w:cs="Times New Roman"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nsid w:val="2BE77168"/>
    <w:multiLevelType w:val="hybridMultilevel"/>
    <w:tmpl w:val="6B3087F8"/>
    <w:lvl w:ilvl="0" w:tplc="8602787A">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nsid w:val="2F587CC2"/>
    <w:multiLevelType w:val="hybridMultilevel"/>
    <w:tmpl w:val="27C619E2"/>
    <w:lvl w:ilvl="0" w:tplc="D73EEFE8">
      <w:start w:val="1"/>
      <w:numFmt w:val="lowerRoman"/>
      <w:lvlText w:val="%1)"/>
      <w:lvlJc w:val="left"/>
      <w:pPr>
        <w:ind w:left="1287" w:hanging="72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7">
    <w:nsid w:val="2FFD269C"/>
    <w:multiLevelType w:val="hybridMultilevel"/>
    <w:tmpl w:val="97FAC18E"/>
    <w:lvl w:ilvl="0" w:tplc="8200DBAA">
      <w:start w:val="3"/>
      <w:numFmt w:val="bullet"/>
      <w:lvlText w:val="-"/>
      <w:lvlJc w:val="left"/>
      <w:pPr>
        <w:ind w:left="1440" w:hanging="360"/>
      </w:pPr>
      <w:rPr>
        <w:rFonts w:ascii="Times New Roman" w:eastAsiaTheme="minorHAnsi" w:hAnsi="Times New Roman" w:cs="Times New Roman"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8">
    <w:nsid w:val="36C15BB8"/>
    <w:multiLevelType w:val="hybridMultilevel"/>
    <w:tmpl w:val="D74C0218"/>
    <w:lvl w:ilvl="0" w:tplc="82AA1BD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4F3084"/>
    <w:multiLevelType w:val="hybridMultilevel"/>
    <w:tmpl w:val="E8FA53B2"/>
    <w:lvl w:ilvl="0" w:tplc="3F7E3A7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714DF9"/>
    <w:multiLevelType w:val="hybridMultilevel"/>
    <w:tmpl w:val="1DFCB8B4"/>
    <w:lvl w:ilvl="0" w:tplc="3F7E3A7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FE4666"/>
    <w:multiLevelType w:val="hybridMultilevel"/>
    <w:tmpl w:val="F8FC9452"/>
    <w:lvl w:ilvl="0" w:tplc="3F7E3A7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D10FBD"/>
    <w:multiLevelType w:val="multilevel"/>
    <w:tmpl w:val="0C0A001D"/>
    <w:styleLink w:val="Listado"/>
    <w:lvl w:ilvl="0">
      <w:start w:val="1"/>
      <w:numFmt w:val="decimal"/>
      <w:lvlText w:val="%1)"/>
      <w:lvlJc w:val="left"/>
      <w:pPr>
        <w:tabs>
          <w:tab w:val="num" w:pos="360"/>
        </w:tabs>
        <w:ind w:left="360" w:hanging="360"/>
      </w:pPr>
      <w:rPr>
        <w:rFonts w:ascii="Arial" w:hAnsi="Arial"/>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47F54A5B"/>
    <w:multiLevelType w:val="hybridMultilevel"/>
    <w:tmpl w:val="CD7A79F0"/>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nsid w:val="486C0C69"/>
    <w:multiLevelType w:val="hybridMultilevel"/>
    <w:tmpl w:val="A182729E"/>
    <w:lvl w:ilvl="0" w:tplc="8200DBAA">
      <w:start w:val="3"/>
      <w:numFmt w:val="bullet"/>
      <w:lvlText w:val="-"/>
      <w:lvlJc w:val="left"/>
      <w:pPr>
        <w:ind w:left="927" w:hanging="360"/>
      </w:pPr>
      <w:rPr>
        <w:rFonts w:ascii="Times New Roman" w:eastAsiaTheme="minorHAnsi" w:hAnsi="Times New Roman"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5">
    <w:nsid w:val="526F25A6"/>
    <w:multiLevelType w:val="hybridMultilevel"/>
    <w:tmpl w:val="13D0745C"/>
    <w:lvl w:ilvl="0" w:tplc="3F7E3A7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495FA6"/>
    <w:multiLevelType w:val="hybridMultilevel"/>
    <w:tmpl w:val="7CCADD74"/>
    <w:lvl w:ilvl="0" w:tplc="3F7E3A7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230954"/>
    <w:multiLevelType w:val="hybridMultilevel"/>
    <w:tmpl w:val="0C00A4CA"/>
    <w:lvl w:ilvl="0" w:tplc="82AA1BD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03509B"/>
    <w:multiLevelType w:val="hybridMultilevel"/>
    <w:tmpl w:val="9DA43E00"/>
    <w:lvl w:ilvl="0" w:tplc="B352EF08">
      <w:start w:val="1"/>
      <w:numFmt w:val="lowerRoman"/>
      <w:lvlText w:val="%1)"/>
      <w:lvlJc w:val="left"/>
      <w:pPr>
        <w:ind w:left="1287" w:hanging="720"/>
      </w:pPr>
      <w:rPr>
        <w:rFonts w:hint="default"/>
      </w:r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abstractNum w:abstractNumId="19">
    <w:nsid w:val="5B910B67"/>
    <w:multiLevelType w:val="hybridMultilevel"/>
    <w:tmpl w:val="4A26E03E"/>
    <w:lvl w:ilvl="0" w:tplc="82AA1BD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4247FCE"/>
    <w:multiLevelType w:val="hybridMultilevel"/>
    <w:tmpl w:val="13E6C19E"/>
    <w:lvl w:ilvl="0" w:tplc="3F7E3A76">
      <w:start w:val="1"/>
      <w:numFmt w:val="bullet"/>
      <w:lvlText w:val="-"/>
      <w:lvlJc w:val="left"/>
      <w:pPr>
        <w:ind w:left="360" w:hanging="360"/>
      </w:pPr>
      <w:rPr>
        <w:rFonts w:ascii="Times New Roman" w:eastAsia="Calibri" w:hAnsi="Times New Roman"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nsid w:val="64B009BC"/>
    <w:multiLevelType w:val="hybridMultilevel"/>
    <w:tmpl w:val="2B328934"/>
    <w:lvl w:ilvl="0" w:tplc="3F7E3A7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5984FF5"/>
    <w:multiLevelType w:val="hybridMultilevel"/>
    <w:tmpl w:val="CC3470B0"/>
    <w:lvl w:ilvl="0" w:tplc="82AA1BDA">
      <w:numFmt w:val="bullet"/>
      <w:lvlText w:val="-"/>
      <w:lvlJc w:val="left"/>
      <w:pPr>
        <w:ind w:left="927" w:hanging="360"/>
      </w:pPr>
      <w:rPr>
        <w:rFonts w:ascii="Times New Roman" w:eastAsiaTheme="minorHAnsi" w:hAnsi="Times New Roman" w:cs="Times New Roman" w:hint="default"/>
      </w:rPr>
    </w:lvl>
    <w:lvl w:ilvl="1" w:tplc="2C0A0003" w:tentative="1">
      <w:start w:val="1"/>
      <w:numFmt w:val="bullet"/>
      <w:lvlText w:val="o"/>
      <w:lvlJc w:val="left"/>
      <w:pPr>
        <w:ind w:left="1647" w:hanging="360"/>
      </w:pPr>
      <w:rPr>
        <w:rFonts w:ascii="Courier New" w:hAnsi="Courier New" w:cs="Courier New" w:hint="default"/>
      </w:rPr>
    </w:lvl>
    <w:lvl w:ilvl="2" w:tplc="2C0A0005" w:tentative="1">
      <w:start w:val="1"/>
      <w:numFmt w:val="bullet"/>
      <w:lvlText w:val=""/>
      <w:lvlJc w:val="left"/>
      <w:pPr>
        <w:ind w:left="2367" w:hanging="360"/>
      </w:pPr>
      <w:rPr>
        <w:rFonts w:ascii="Wingdings" w:hAnsi="Wingdings" w:hint="default"/>
      </w:rPr>
    </w:lvl>
    <w:lvl w:ilvl="3" w:tplc="2C0A0001" w:tentative="1">
      <w:start w:val="1"/>
      <w:numFmt w:val="bullet"/>
      <w:lvlText w:val=""/>
      <w:lvlJc w:val="left"/>
      <w:pPr>
        <w:ind w:left="3087" w:hanging="360"/>
      </w:pPr>
      <w:rPr>
        <w:rFonts w:ascii="Symbol" w:hAnsi="Symbol" w:hint="default"/>
      </w:rPr>
    </w:lvl>
    <w:lvl w:ilvl="4" w:tplc="2C0A0003" w:tentative="1">
      <w:start w:val="1"/>
      <w:numFmt w:val="bullet"/>
      <w:lvlText w:val="o"/>
      <w:lvlJc w:val="left"/>
      <w:pPr>
        <w:ind w:left="3807" w:hanging="360"/>
      </w:pPr>
      <w:rPr>
        <w:rFonts w:ascii="Courier New" w:hAnsi="Courier New" w:cs="Courier New" w:hint="default"/>
      </w:rPr>
    </w:lvl>
    <w:lvl w:ilvl="5" w:tplc="2C0A0005" w:tentative="1">
      <w:start w:val="1"/>
      <w:numFmt w:val="bullet"/>
      <w:lvlText w:val=""/>
      <w:lvlJc w:val="left"/>
      <w:pPr>
        <w:ind w:left="4527" w:hanging="360"/>
      </w:pPr>
      <w:rPr>
        <w:rFonts w:ascii="Wingdings" w:hAnsi="Wingdings" w:hint="default"/>
      </w:rPr>
    </w:lvl>
    <w:lvl w:ilvl="6" w:tplc="2C0A0001" w:tentative="1">
      <w:start w:val="1"/>
      <w:numFmt w:val="bullet"/>
      <w:lvlText w:val=""/>
      <w:lvlJc w:val="left"/>
      <w:pPr>
        <w:ind w:left="5247" w:hanging="360"/>
      </w:pPr>
      <w:rPr>
        <w:rFonts w:ascii="Symbol" w:hAnsi="Symbol" w:hint="default"/>
      </w:rPr>
    </w:lvl>
    <w:lvl w:ilvl="7" w:tplc="2C0A0003" w:tentative="1">
      <w:start w:val="1"/>
      <w:numFmt w:val="bullet"/>
      <w:lvlText w:val="o"/>
      <w:lvlJc w:val="left"/>
      <w:pPr>
        <w:ind w:left="5967" w:hanging="360"/>
      </w:pPr>
      <w:rPr>
        <w:rFonts w:ascii="Courier New" w:hAnsi="Courier New" w:cs="Courier New" w:hint="default"/>
      </w:rPr>
    </w:lvl>
    <w:lvl w:ilvl="8" w:tplc="2C0A0005" w:tentative="1">
      <w:start w:val="1"/>
      <w:numFmt w:val="bullet"/>
      <w:lvlText w:val=""/>
      <w:lvlJc w:val="left"/>
      <w:pPr>
        <w:ind w:left="6687" w:hanging="360"/>
      </w:pPr>
      <w:rPr>
        <w:rFonts w:ascii="Wingdings" w:hAnsi="Wingdings" w:hint="default"/>
      </w:rPr>
    </w:lvl>
  </w:abstractNum>
  <w:abstractNum w:abstractNumId="23">
    <w:nsid w:val="70CF1698"/>
    <w:multiLevelType w:val="hybridMultilevel"/>
    <w:tmpl w:val="023E60E8"/>
    <w:lvl w:ilvl="0" w:tplc="8200DBAA">
      <w:start w:val="3"/>
      <w:numFmt w:val="bullet"/>
      <w:lvlText w:val="-"/>
      <w:lvlJc w:val="left"/>
      <w:pPr>
        <w:ind w:left="1287" w:hanging="360"/>
      </w:pPr>
      <w:rPr>
        <w:rFonts w:ascii="Times New Roman" w:eastAsiaTheme="minorHAnsi" w:hAnsi="Times New Roman" w:cs="Times New Roman"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4">
    <w:nsid w:val="73124457"/>
    <w:multiLevelType w:val="hybridMultilevel"/>
    <w:tmpl w:val="FEF6A9FC"/>
    <w:lvl w:ilvl="0" w:tplc="3F7E3A7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BF63F2"/>
    <w:multiLevelType w:val="hybridMultilevel"/>
    <w:tmpl w:val="FE8E3AA6"/>
    <w:lvl w:ilvl="0" w:tplc="3F7E3A7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AAF53C1"/>
    <w:multiLevelType w:val="hybridMultilevel"/>
    <w:tmpl w:val="D144DB64"/>
    <w:lvl w:ilvl="0" w:tplc="FFFFFFFF">
      <w:start w:val="1"/>
      <w:numFmt w:val="decimal"/>
      <w:pStyle w:val="EstiloNumerado"/>
      <w:lvlText w:val="%1)"/>
      <w:lvlJc w:val="left"/>
      <w:pPr>
        <w:tabs>
          <w:tab w:val="num" w:pos="502"/>
        </w:tabs>
        <w:ind w:left="502" w:hanging="360"/>
      </w:pPr>
      <w:rPr>
        <w:rFonts w:hint="default"/>
      </w:rPr>
    </w:lvl>
    <w:lvl w:ilvl="1" w:tplc="FFFFFFFF" w:tentative="1">
      <w:start w:val="1"/>
      <w:numFmt w:val="lowerLetter"/>
      <w:lvlText w:val="%2."/>
      <w:lvlJc w:val="left"/>
      <w:pPr>
        <w:tabs>
          <w:tab w:val="num" w:pos="1222"/>
        </w:tabs>
        <w:ind w:left="1222" w:hanging="360"/>
      </w:pPr>
    </w:lvl>
    <w:lvl w:ilvl="2" w:tplc="FFFFFFFF" w:tentative="1">
      <w:start w:val="1"/>
      <w:numFmt w:val="lowerRoman"/>
      <w:lvlText w:val="%3."/>
      <w:lvlJc w:val="right"/>
      <w:pPr>
        <w:tabs>
          <w:tab w:val="num" w:pos="1942"/>
        </w:tabs>
        <w:ind w:left="1942" w:hanging="180"/>
      </w:pPr>
    </w:lvl>
    <w:lvl w:ilvl="3" w:tplc="FFFFFFFF" w:tentative="1">
      <w:start w:val="1"/>
      <w:numFmt w:val="decimal"/>
      <w:lvlText w:val="%4."/>
      <w:lvlJc w:val="left"/>
      <w:pPr>
        <w:tabs>
          <w:tab w:val="num" w:pos="2662"/>
        </w:tabs>
        <w:ind w:left="2662" w:hanging="360"/>
      </w:pPr>
    </w:lvl>
    <w:lvl w:ilvl="4" w:tplc="FFFFFFFF" w:tentative="1">
      <w:start w:val="1"/>
      <w:numFmt w:val="lowerLetter"/>
      <w:lvlText w:val="%5."/>
      <w:lvlJc w:val="left"/>
      <w:pPr>
        <w:tabs>
          <w:tab w:val="num" w:pos="3382"/>
        </w:tabs>
        <w:ind w:left="3382" w:hanging="360"/>
      </w:pPr>
    </w:lvl>
    <w:lvl w:ilvl="5" w:tplc="FFFFFFFF" w:tentative="1">
      <w:start w:val="1"/>
      <w:numFmt w:val="lowerRoman"/>
      <w:lvlText w:val="%6."/>
      <w:lvlJc w:val="right"/>
      <w:pPr>
        <w:tabs>
          <w:tab w:val="num" w:pos="4102"/>
        </w:tabs>
        <w:ind w:left="4102" w:hanging="180"/>
      </w:pPr>
    </w:lvl>
    <w:lvl w:ilvl="6" w:tplc="FFFFFFFF" w:tentative="1">
      <w:start w:val="1"/>
      <w:numFmt w:val="decimal"/>
      <w:lvlText w:val="%7."/>
      <w:lvlJc w:val="left"/>
      <w:pPr>
        <w:tabs>
          <w:tab w:val="num" w:pos="4822"/>
        </w:tabs>
        <w:ind w:left="4822" w:hanging="360"/>
      </w:pPr>
    </w:lvl>
    <w:lvl w:ilvl="7" w:tplc="FFFFFFFF" w:tentative="1">
      <w:start w:val="1"/>
      <w:numFmt w:val="lowerLetter"/>
      <w:lvlText w:val="%8."/>
      <w:lvlJc w:val="left"/>
      <w:pPr>
        <w:tabs>
          <w:tab w:val="num" w:pos="5542"/>
        </w:tabs>
        <w:ind w:left="5542" w:hanging="360"/>
      </w:pPr>
    </w:lvl>
    <w:lvl w:ilvl="8" w:tplc="FFFFFFFF" w:tentative="1">
      <w:start w:val="1"/>
      <w:numFmt w:val="lowerRoman"/>
      <w:lvlText w:val="%9."/>
      <w:lvlJc w:val="right"/>
      <w:pPr>
        <w:tabs>
          <w:tab w:val="num" w:pos="6262"/>
        </w:tabs>
        <w:ind w:left="6262" w:hanging="180"/>
      </w:pPr>
    </w:lvl>
  </w:abstractNum>
  <w:abstractNum w:abstractNumId="27">
    <w:nsid w:val="7E514D68"/>
    <w:multiLevelType w:val="hybridMultilevel"/>
    <w:tmpl w:val="8AF09690"/>
    <w:lvl w:ilvl="0" w:tplc="F65A9256">
      <w:start w:val="1"/>
      <w:numFmt w:val="lowerLetter"/>
      <w:lvlText w:val="%1)"/>
      <w:lvlJc w:val="left"/>
      <w:pPr>
        <w:ind w:left="927" w:hanging="360"/>
      </w:pPr>
      <w:rPr>
        <w:rFonts w:hint="default"/>
      </w:r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num w:numId="1">
    <w:abstractNumId w:val="12"/>
  </w:num>
  <w:num w:numId="2">
    <w:abstractNumId w:val="20"/>
  </w:num>
  <w:num w:numId="3">
    <w:abstractNumId w:val="22"/>
  </w:num>
  <w:num w:numId="4">
    <w:abstractNumId w:val="27"/>
  </w:num>
  <w:num w:numId="5">
    <w:abstractNumId w:val="18"/>
  </w:num>
  <w:num w:numId="6">
    <w:abstractNumId w:val="26"/>
  </w:num>
  <w:num w:numId="7">
    <w:abstractNumId w:val="14"/>
  </w:num>
  <w:num w:numId="8">
    <w:abstractNumId w:val="6"/>
  </w:num>
  <w:num w:numId="9">
    <w:abstractNumId w:val="23"/>
  </w:num>
  <w:num w:numId="10">
    <w:abstractNumId w:val="4"/>
  </w:num>
  <w:num w:numId="11">
    <w:abstractNumId w:val="7"/>
  </w:num>
  <w:num w:numId="12">
    <w:abstractNumId w:val="17"/>
  </w:num>
  <w:num w:numId="13">
    <w:abstractNumId w:val="25"/>
  </w:num>
  <w:num w:numId="14">
    <w:abstractNumId w:val="1"/>
  </w:num>
  <w:num w:numId="15">
    <w:abstractNumId w:val="19"/>
  </w:num>
  <w:num w:numId="16">
    <w:abstractNumId w:val="8"/>
  </w:num>
  <w:num w:numId="17">
    <w:abstractNumId w:val="11"/>
  </w:num>
  <w:num w:numId="18">
    <w:abstractNumId w:val="3"/>
  </w:num>
  <w:num w:numId="19">
    <w:abstractNumId w:val="15"/>
  </w:num>
  <w:num w:numId="20">
    <w:abstractNumId w:val="10"/>
  </w:num>
  <w:num w:numId="21">
    <w:abstractNumId w:val="21"/>
  </w:num>
  <w:num w:numId="22">
    <w:abstractNumId w:val="2"/>
  </w:num>
  <w:num w:numId="23">
    <w:abstractNumId w:val="24"/>
  </w:num>
  <w:num w:numId="24">
    <w:abstractNumId w:val="0"/>
  </w:num>
  <w:num w:numId="25">
    <w:abstractNumId w:val="9"/>
  </w:num>
  <w:num w:numId="26">
    <w:abstractNumId w:val="16"/>
  </w:num>
  <w:num w:numId="27">
    <w:abstractNumId w:val="13"/>
  </w:num>
  <w:num w:numId="28">
    <w:abstractNumId w:val="5"/>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linkStyles/>
  <w:stylePaneFormatFilter w:val="3F01"/>
  <w:defaultTabStop w:val="708"/>
  <w:hyphenationZone w:val="425"/>
  <w:characterSpacingControl w:val="doNotCompress"/>
  <w:hdrShapeDefaults>
    <o:shapedefaults v:ext="edit" spidmax="112642"/>
  </w:hdrShapeDefaults>
  <w:footnotePr>
    <w:footnote w:id="-1"/>
    <w:footnote w:id="0"/>
  </w:footnotePr>
  <w:endnotePr>
    <w:endnote w:id="-1"/>
    <w:endnote w:id="0"/>
  </w:endnotePr>
  <w:compat/>
  <w:rsids>
    <w:rsidRoot w:val="00687CCA"/>
    <w:rsid w:val="000005B1"/>
    <w:rsid w:val="000031A8"/>
    <w:rsid w:val="00004EDA"/>
    <w:rsid w:val="00013C01"/>
    <w:rsid w:val="00014AA9"/>
    <w:rsid w:val="00017B95"/>
    <w:rsid w:val="0002033E"/>
    <w:rsid w:val="0002325D"/>
    <w:rsid w:val="000303FA"/>
    <w:rsid w:val="00030DB2"/>
    <w:rsid w:val="000334BB"/>
    <w:rsid w:val="000352E5"/>
    <w:rsid w:val="00040516"/>
    <w:rsid w:val="00043C86"/>
    <w:rsid w:val="00045587"/>
    <w:rsid w:val="00045815"/>
    <w:rsid w:val="000469D9"/>
    <w:rsid w:val="00046B0A"/>
    <w:rsid w:val="00054F25"/>
    <w:rsid w:val="000610EC"/>
    <w:rsid w:val="00062FE8"/>
    <w:rsid w:val="00064069"/>
    <w:rsid w:val="00065E26"/>
    <w:rsid w:val="000709BC"/>
    <w:rsid w:val="0007210A"/>
    <w:rsid w:val="0007344B"/>
    <w:rsid w:val="00074A95"/>
    <w:rsid w:val="00076F4E"/>
    <w:rsid w:val="00080592"/>
    <w:rsid w:val="00080FCF"/>
    <w:rsid w:val="00081D87"/>
    <w:rsid w:val="00082054"/>
    <w:rsid w:val="00082A46"/>
    <w:rsid w:val="00084099"/>
    <w:rsid w:val="000843B8"/>
    <w:rsid w:val="00090F62"/>
    <w:rsid w:val="00093291"/>
    <w:rsid w:val="000954CA"/>
    <w:rsid w:val="000B19F7"/>
    <w:rsid w:val="000C42FC"/>
    <w:rsid w:val="000C6CE0"/>
    <w:rsid w:val="000D0629"/>
    <w:rsid w:val="000D0A1A"/>
    <w:rsid w:val="000E22B3"/>
    <w:rsid w:val="000F01A6"/>
    <w:rsid w:val="000F2C23"/>
    <w:rsid w:val="0010359D"/>
    <w:rsid w:val="001042A5"/>
    <w:rsid w:val="00104EED"/>
    <w:rsid w:val="00106851"/>
    <w:rsid w:val="00106DE3"/>
    <w:rsid w:val="00111637"/>
    <w:rsid w:val="001171A7"/>
    <w:rsid w:val="00117561"/>
    <w:rsid w:val="00121117"/>
    <w:rsid w:val="00121735"/>
    <w:rsid w:val="00122523"/>
    <w:rsid w:val="001248F3"/>
    <w:rsid w:val="001259BD"/>
    <w:rsid w:val="00125F1B"/>
    <w:rsid w:val="00132C18"/>
    <w:rsid w:val="00132E26"/>
    <w:rsid w:val="00133E6D"/>
    <w:rsid w:val="0013492D"/>
    <w:rsid w:val="0013509C"/>
    <w:rsid w:val="00142456"/>
    <w:rsid w:val="00142BD0"/>
    <w:rsid w:val="0014318F"/>
    <w:rsid w:val="00155E4F"/>
    <w:rsid w:val="00157777"/>
    <w:rsid w:val="0016102D"/>
    <w:rsid w:val="00161945"/>
    <w:rsid w:val="00163933"/>
    <w:rsid w:val="00163FAA"/>
    <w:rsid w:val="001642BD"/>
    <w:rsid w:val="0016491B"/>
    <w:rsid w:val="001711CB"/>
    <w:rsid w:val="00175505"/>
    <w:rsid w:val="00177FA6"/>
    <w:rsid w:val="00180C2E"/>
    <w:rsid w:val="00180E48"/>
    <w:rsid w:val="001815C0"/>
    <w:rsid w:val="00181FFF"/>
    <w:rsid w:val="001845D5"/>
    <w:rsid w:val="001849F7"/>
    <w:rsid w:val="00186B28"/>
    <w:rsid w:val="0019196B"/>
    <w:rsid w:val="001926F3"/>
    <w:rsid w:val="00192D10"/>
    <w:rsid w:val="00193A31"/>
    <w:rsid w:val="00194172"/>
    <w:rsid w:val="001A2531"/>
    <w:rsid w:val="001A2BE3"/>
    <w:rsid w:val="001A3952"/>
    <w:rsid w:val="001B05F7"/>
    <w:rsid w:val="001B5E3E"/>
    <w:rsid w:val="001C0729"/>
    <w:rsid w:val="001C1991"/>
    <w:rsid w:val="001C38EB"/>
    <w:rsid w:val="001D05FD"/>
    <w:rsid w:val="001D4D8D"/>
    <w:rsid w:val="001D4DB2"/>
    <w:rsid w:val="001E4531"/>
    <w:rsid w:val="001E4539"/>
    <w:rsid w:val="001F3E2E"/>
    <w:rsid w:val="001F51DF"/>
    <w:rsid w:val="00200056"/>
    <w:rsid w:val="0020311A"/>
    <w:rsid w:val="00206685"/>
    <w:rsid w:val="0021550D"/>
    <w:rsid w:val="00220BDB"/>
    <w:rsid w:val="0022545E"/>
    <w:rsid w:val="002268D7"/>
    <w:rsid w:val="00227BBB"/>
    <w:rsid w:val="00230E0B"/>
    <w:rsid w:val="00231BF7"/>
    <w:rsid w:val="0023347D"/>
    <w:rsid w:val="0023528F"/>
    <w:rsid w:val="00236113"/>
    <w:rsid w:val="00236123"/>
    <w:rsid w:val="00241601"/>
    <w:rsid w:val="0024260F"/>
    <w:rsid w:val="00242F1B"/>
    <w:rsid w:val="002450EE"/>
    <w:rsid w:val="002479E8"/>
    <w:rsid w:val="00250031"/>
    <w:rsid w:val="002531D0"/>
    <w:rsid w:val="0026465D"/>
    <w:rsid w:val="00267440"/>
    <w:rsid w:val="00267DBF"/>
    <w:rsid w:val="00270715"/>
    <w:rsid w:val="0027197C"/>
    <w:rsid w:val="00273A47"/>
    <w:rsid w:val="002753AD"/>
    <w:rsid w:val="00275925"/>
    <w:rsid w:val="0028010B"/>
    <w:rsid w:val="00283427"/>
    <w:rsid w:val="00284E46"/>
    <w:rsid w:val="00285394"/>
    <w:rsid w:val="002868F5"/>
    <w:rsid w:val="00286D3D"/>
    <w:rsid w:val="00290972"/>
    <w:rsid w:val="002975E1"/>
    <w:rsid w:val="002A2C11"/>
    <w:rsid w:val="002A34B7"/>
    <w:rsid w:val="002B3749"/>
    <w:rsid w:val="002B74CA"/>
    <w:rsid w:val="002C1D94"/>
    <w:rsid w:val="002C317F"/>
    <w:rsid w:val="002C45C0"/>
    <w:rsid w:val="002C47B6"/>
    <w:rsid w:val="002C5A54"/>
    <w:rsid w:val="002C5B9B"/>
    <w:rsid w:val="002C62E2"/>
    <w:rsid w:val="002C65D7"/>
    <w:rsid w:val="002C6B28"/>
    <w:rsid w:val="002C72AF"/>
    <w:rsid w:val="002C771C"/>
    <w:rsid w:val="002C7A00"/>
    <w:rsid w:val="002C7E31"/>
    <w:rsid w:val="002D63AE"/>
    <w:rsid w:val="002D6660"/>
    <w:rsid w:val="002E0355"/>
    <w:rsid w:val="002E131E"/>
    <w:rsid w:val="002E4919"/>
    <w:rsid w:val="002F4491"/>
    <w:rsid w:val="002F4567"/>
    <w:rsid w:val="002F5E97"/>
    <w:rsid w:val="002F61EC"/>
    <w:rsid w:val="002F689B"/>
    <w:rsid w:val="002F7D5B"/>
    <w:rsid w:val="00300019"/>
    <w:rsid w:val="00301FAB"/>
    <w:rsid w:val="0031025A"/>
    <w:rsid w:val="00311775"/>
    <w:rsid w:val="003139DB"/>
    <w:rsid w:val="00313CD2"/>
    <w:rsid w:val="00314105"/>
    <w:rsid w:val="00315BD3"/>
    <w:rsid w:val="00317C7C"/>
    <w:rsid w:val="003228E5"/>
    <w:rsid w:val="00326783"/>
    <w:rsid w:val="003320EC"/>
    <w:rsid w:val="003321C3"/>
    <w:rsid w:val="003355FF"/>
    <w:rsid w:val="00336E41"/>
    <w:rsid w:val="00337702"/>
    <w:rsid w:val="00343D64"/>
    <w:rsid w:val="003512A3"/>
    <w:rsid w:val="00352177"/>
    <w:rsid w:val="003526CD"/>
    <w:rsid w:val="003568D7"/>
    <w:rsid w:val="003600C0"/>
    <w:rsid w:val="00361926"/>
    <w:rsid w:val="00366556"/>
    <w:rsid w:val="00370F2B"/>
    <w:rsid w:val="00373EF0"/>
    <w:rsid w:val="0037479E"/>
    <w:rsid w:val="0037647D"/>
    <w:rsid w:val="0037686D"/>
    <w:rsid w:val="00377627"/>
    <w:rsid w:val="00377781"/>
    <w:rsid w:val="00380032"/>
    <w:rsid w:val="0038589C"/>
    <w:rsid w:val="00386D5F"/>
    <w:rsid w:val="00387766"/>
    <w:rsid w:val="003949FB"/>
    <w:rsid w:val="003A0344"/>
    <w:rsid w:val="003A0ADB"/>
    <w:rsid w:val="003A1D3C"/>
    <w:rsid w:val="003A25F7"/>
    <w:rsid w:val="003A44E1"/>
    <w:rsid w:val="003B0699"/>
    <w:rsid w:val="003B17BD"/>
    <w:rsid w:val="003B4195"/>
    <w:rsid w:val="003B6E85"/>
    <w:rsid w:val="003C047A"/>
    <w:rsid w:val="003C0BC2"/>
    <w:rsid w:val="003D347C"/>
    <w:rsid w:val="003D445B"/>
    <w:rsid w:val="003D679D"/>
    <w:rsid w:val="003E2638"/>
    <w:rsid w:val="003E4A92"/>
    <w:rsid w:val="003E6BEF"/>
    <w:rsid w:val="003E789B"/>
    <w:rsid w:val="004013B4"/>
    <w:rsid w:val="00401F02"/>
    <w:rsid w:val="00402F1D"/>
    <w:rsid w:val="004056B5"/>
    <w:rsid w:val="0042193A"/>
    <w:rsid w:val="00421E5C"/>
    <w:rsid w:val="004269C3"/>
    <w:rsid w:val="0042774A"/>
    <w:rsid w:val="004344AF"/>
    <w:rsid w:val="00434B0E"/>
    <w:rsid w:val="00453366"/>
    <w:rsid w:val="004551E9"/>
    <w:rsid w:val="004617DE"/>
    <w:rsid w:val="004650F8"/>
    <w:rsid w:val="00466226"/>
    <w:rsid w:val="00470597"/>
    <w:rsid w:val="0047163C"/>
    <w:rsid w:val="004723B9"/>
    <w:rsid w:val="004725B3"/>
    <w:rsid w:val="00473BA0"/>
    <w:rsid w:val="0047423B"/>
    <w:rsid w:val="00475D30"/>
    <w:rsid w:val="0048035B"/>
    <w:rsid w:val="00480734"/>
    <w:rsid w:val="004832A4"/>
    <w:rsid w:val="00483505"/>
    <w:rsid w:val="00483F02"/>
    <w:rsid w:val="00484FFD"/>
    <w:rsid w:val="00485AE2"/>
    <w:rsid w:val="00485F4C"/>
    <w:rsid w:val="0049406A"/>
    <w:rsid w:val="00494ED1"/>
    <w:rsid w:val="004A2EE2"/>
    <w:rsid w:val="004A69C7"/>
    <w:rsid w:val="004A6F3C"/>
    <w:rsid w:val="004A701D"/>
    <w:rsid w:val="004B231E"/>
    <w:rsid w:val="004B35D3"/>
    <w:rsid w:val="004B6291"/>
    <w:rsid w:val="004B72C7"/>
    <w:rsid w:val="004C06FC"/>
    <w:rsid w:val="004C2189"/>
    <w:rsid w:val="004C2513"/>
    <w:rsid w:val="004C79BE"/>
    <w:rsid w:val="004C7D8A"/>
    <w:rsid w:val="004D13E6"/>
    <w:rsid w:val="004D4555"/>
    <w:rsid w:val="004D7832"/>
    <w:rsid w:val="004E7754"/>
    <w:rsid w:val="004F289D"/>
    <w:rsid w:val="00502516"/>
    <w:rsid w:val="00504203"/>
    <w:rsid w:val="00504B11"/>
    <w:rsid w:val="00510C87"/>
    <w:rsid w:val="00512287"/>
    <w:rsid w:val="005159C3"/>
    <w:rsid w:val="0052314A"/>
    <w:rsid w:val="00527833"/>
    <w:rsid w:val="005332B6"/>
    <w:rsid w:val="00533C59"/>
    <w:rsid w:val="00537AFE"/>
    <w:rsid w:val="00550607"/>
    <w:rsid w:val="0055589F"/>
    <w:rsid w:val="00556822"/>
    <w:rsid w:val="0055690B"/>
    <w:rsid w:val="00560B24"/>
    <w:rsid w:val="00561DD7"/>
    <w:rsid w:val="00562186"/>
    <w:rsid w:val="00562DB8"/>
    <w:rsid w:val="00570960"/>
    <w:rsid w:val="00572EEE"/>
    <w:rsid w:val="00573888"/>
    <w:rsid w:val="00574104"/>
    <w:rsid w:val="00574199"/>
    <w:rsid w:val="0058155E"/>
    <w:rsid w:val="00582550"/>
    <w:rsid w:val="00586D0F"/>
    <w:rsid w:val="00594617"/>
    <w:rsid w:val="005957CE"/>
    <w:rsid w:val="00597337"/>
    <w:rsid w:val="005A0D21"/>
    <w:rsid w:val="005A7797"/>
    <w:rsid w:val="005A7E01"/>
    <w:rsid w:val="005B3AB8"/>
    <w:rsid w:val="005B3FC9"/>
    <w:rsid w:val="005B492A"/>
    <w:rsid w:val="005B6142"/>
    <w:rsid w:val="005B740E"/>
    <w:rsid w:val="005B7661"/>
    <w:rsid w:val="005C1880"/>
    <w:rsid w:val="005C21AE"/>
    <w:rsid w:val="005C2643"/>
    <w:rsid w:val="005C364B"/>
    <w:rsid w:val="005C3711"/>
    <w:rsid w:val="005C4737"/>
    <w:rsid w:val="005C7DCB"/>
    <w:rsid w:val="005D1227"/>
    <w:rsid w:val="005D566D"/>
    <w:rsid w:val="005E0936"/>
    <w:rsid w:val="005E0B2F"/>
    <w:rsid w:val="005E30B2"/>
    <w:rsid w:val="005E4280"/>
    <w:rsid w:val="005E7ECF"/>
    <w:rsid w:val="005F35BF"/>
    <w:rsid w:val="005F5576"/>
    <w:rsid w:val="005F66B6"/>
    <w:rsid w:val="00601263"/>
    <w:rsid w:val="006060E6"/>
    <w:rsid w:val="00606B82"/>
    <w:rsid w:val="006075FD"/>
    <w:rsid w:val="00607CCA"/>
    <w:rsid w:val="00610C86"/>
    <w:rsid w:val="00610C93"/>
    <w:rsid w:val="00610DBC"/>
    <w:rsid w:val="00612E43"/>
    <w:rsid w:val="006137C2"/>
    <w:rsid w:val="00617752"/>
    <w:rsid w:val="006202BB"/>
    <w:rsid w:val="006224CA"/>
    <w:rsid w:val="006228A7"/>
    <w:rsid w:val="00624EAB"/>
    <w:rsid w:val="00625E85"/>
    <w:rsid w:val="00626359"/>
    <w:rsid w:val="0062736C"/>
    <w:rsid w:val="006343D3"/>
    <w:rsid w:val="00634669"/>
    <w:rsid w:val="006363D6"/>
    <w:rsid w:val="00636FA2"/>
    <w:rsid w:val="006400D0"/>
    <w:rsid w:val="00641B05"/>
    <w:rsid w:val="006528A0"/>
    <w:rsid w:val="00653FAD"/>
    <w:rsid w:val="00657F79"/>
    <w:rsid w:val="00662C30"/>
    <w:rsid w:val="00664D11"/>
    <w:rsid w:val="00666405"/>
    <w:rsid w:val="00670C2A"/>
    <w:rsid w:val="00670F3A"/>
    <w:rsid w:val="00682F9B"/>
    <w:rsid w:val="00684F51"/>
    <w:rsid w:val="006851E2"/>
    <w:rsid w:val="00687CCA"/>
    <w:rsid w:val="00687ED8"/>
    <w:rsid w:val="00692D53"/>
    <w:rsid w:val="00697C54"/>
    <w:rsid w:val="006A0CF9"/>
    <w:rsid w:val="006A21F1"/>
    <w:rsid w:val="006A2CAE"/>
    <w:rsid w:val="006A3FDF"/>
    <w:rsid w:val="006B0797"/>
    <w:rsid w:val="006B2F92"/>
    <w:rsid w:val="006B62A6"/>
    <w:rsid w:val="006B6E59"/>
    <w:rsid w:val="006B7636"/>
    <w:rsid w:val="006C495C"/>
    <w:rsid w:val="006D0BD7"/>
    <w:rsid w:val="006D2EDD"/>
    <w:rsid w:val="006D61A8"/>
    <w:rsid w:val="006E3458"/>
    <w:rsid w:val="006E4D69"/>
    <w:rsid w:val="006F0CD3"/>
    <w:rsid w:val="007056AE"/>
    <w:rsid w:val="00707ED5"/>
    <w:rsid w:val="00711C37"/>
    <w:rsid w:val="00712C1E"/>
    <w:rsid w:val="007148BC"/>
    <w:rsid w:val="00717089"/>
    <w:rsid w:val="0071795B"/>
    <w:rsid w:val="007219EF"/>
    <w:rsid w:val="00724C8E"/>
    <w:rsid w:val="007257CF"/>
    <w:rsid w:val="00727959"/>
    <w:rsid w:val="00727D25"/>
    <w:rsid w:val="00730A8C"/>
    <w:rsid w:val="007318E5"/>
    <w:rsid w:val="00731A62"/>
    <w:rsid w:val="00734E19"/>
    <w:rsid w:val="00740B6B"/>
    <w:rsid w:val="0074119B"/>
    <w:rsid w:val="00742FC9"/>
    <w:rsid w:val="00745BB8"/>
    <w:rsid w:val="00752E82"/>
    <w:rsid w:val="007534C0"/>
    <w:rsid w:val="00753667"/>
    <w:rsid w:val="007614C6"/>
    <w:rsid w:val="007638EA"/>
    <w:rsid w:val="00763E22"/>
    <w:rsid w:val="00770F04"/>
    <w:rsid w:val="0077114D"/>
    <w:rsid w:val="007736FA"/>
    <w:rsid w:val="0077689A"/>
    <w:rsid w:val="00777C8D"/>
    <w:rsid w:val="0078282D"/>
    <w:rsid w:val="00785A2E"/>
    <w:rsid w:val="007869C4"/>
    <w:rsid w:val="00786EBC"/>
    <w:rsid w:val="0078741B"/>
    <w:rsid w:val="00797A3B"/>
    <w:rsid w:val="007B1758"/>
    <w:rsid w:val="007B2238"/>
    <w:rsid w:val="007B2466"/>
    <w:rsid w:val="007B25D7"/>
    <w:rsid w:val="007B3713"/>
    <w:rsid w:val="007C1B16"/>
    <w:rsid w:val="007C480D"/>
    <w:rsid w:val="007D135C"/>
    <w:rsid w:val="007D1605"/>
    <w:rsid w:val="007D1BEA"/>
    <w:rsid w:val="007D3BF8"/>
    <w:rsid w:val="007D542F"/>
    <w:rsid w:val="007D7F83"/>
    <w:rsid w:val="007E2B46"/>
    <w:rsid w:val="007E4EF4"/>
    <w:rsid w:val="007E5706"/>
    <w:rsid w:val="007F3223"/>
    <w:rsid w:val="007F3975"/>
    <w:rsid w:val="007F76D0"/>
    <w:rsid w:val="007F7981"/>
    <w:rsid w:val="007F7A97"/>
    <w:rsid w:val="007F7ECC"/>
    <w:rsid w:val="0080166F"/>
    <w:rsid w:val="0080178E"/>
    <w:rsid w:val="008035BF"/>
    <w:rsid w:val="00804EF0"/>
    <w:rsid w:val="00807CDF"/>
    <w:rsid w:val="0081195B"/>
    <w:rsid w:val="00826AED"/>
    <w:rsid w:val="00827384"/>
    <w:rsid w:val="0082791C"/>
    <w:rsid w:val="00831A3D"/>
    <w:rsid w:val="008321E0"/>
    <w:rsid w:val="008330FD"/>
    <w:rsid w:val="00833A5D"/>
    <w:rsid w:val="00833E41"/>
    <w:rsid w:val="00835CD8"/>
    <w:rsid w:val="0084012F"/>
    <w:rsid w:val="00840B6E"/>
    <w:rsid w:val="0084162D"/>
    <w:rsid w:val="008422A8"/>
    <w:rsid w:val="00843A16"/>
    <w:rsid w:val="008444BD"/>
    <w:rsid w:val="00844680"/>
    <w:rsid w:val="0084539D"/>
    <w:rsid w:val="00845C52"/>
    <w:rsid w:val="00846551"/>
    <w:rsid w:val="00847E04"/>
    <w:rsid w:val="00850F4F"/>
    <w:rsid w:val="0085161E"/>
    <w:rsid w:val="00853BD5"/>
    <w:rsid w:val="00854BCD"/>
    <w:rsid w:val="008567D7"/>
    <w:rsid w:val="00860880"/>
    <w:rsid w:val="00860EE9"/>
    <w:rsid w:val="008626B5"/>
    <w:rsid w:val="008627AF"/>
    <w:rsid w:val="008635B0"/>
    <w:rsid w:val="00864378"/>
    <w:rsid w:val="0087011E"/>
    <w:rsid w:val="0087273C"/>
    <w:rsid w:val="0087454A"/>
    <w:rsid w:val="00881938"/>
    <w:rsid w:val="00887731"/>
    <w:rsid w:val="00891368"/>
    <w:rsid w:val="00891CD2"/>
    <w:rsid w:val="00894443"/>
    <w:rsid w:val="00895690"/>
    <w:rsid w:val="008979BC"/>
    <w:rsid w:val="008A1B59"/>
    <w:rsid w:val="008A25C3"/>
    <w:rsid w:val="008A28BF"/>
    <w:rsid w:val="008A6A22"/>
    <w:rsid w:val="008B175B"/>
    <w:rsid w:val="008C10F5"/>
    <w:rsid w:val="008C2219"/>
    <w:rsid w:val="008D0C13"/>
    <w:rsid w:val="008D1C7A"/>
    <w:rsid w:val="008D46DF"/>
    <w:rsid w:val="008E0C43"/>
    <w:rsid w:val="008E11E3"/>
    <w:rsid w:val="008E1273"/>
    <w:rsid w:val="008E7A03"/>
    <w:rsid w:val="008F0EA9"/>
    <w:rsid w:val="008F27B3"/>
    <w:rsid w:val="008F6B10"/>
    <w:rsid w:val="00902510"/>
    <w:rsid w:val="00906212"/>
    <w:rsid w:val="009139ED"/>
    <w:rsid w:val="00916035"/>
    <w:rsid w:val="0091621E"/>
    <w:rsid w:val="0091703E"/>
    <w:rsid w:val="00920A30"/>
    <w:rsid w:val="00930089"/>
    <w:rsid w:val="00930EDA"/>
    <w:rsid w:val="00932E06"/>
    <w:rsid w:val="0093358B"/>
    <w:rsid w:val="00933B4B"/>
    <w:rsid w:val="0093454D"/>
    <w:rsid w:val="00934BC1"/>
    <w:rsid w:val="00935C6B"/>
    <w:rsid w:val="00937E58"/>
    <w:rsid w:val="00937F17"/>
    <w:rsid w:val="0094095C"/>
    <w:rsid w:val="009443FC"/>
    <w:rsid w:val="00945427"/>
    <w:rsid w:val="009455AB"/>
    <w:rsid w:val="009515E5"/>
    <w:rsid w:val="00953648"/>
    <w:rsid w:val="00954357"/>
    <w:rsid w:val="009557FF"/>
    <w:rsid w:val="00956B2A"/>
    <w:rsid w:val="0096676D"/>
    <w:rsid w:val="00966AA7"/>
    <w:rsid w:val="009716D2"/>
    <w:rsid w:val="00972713"/>
    <w:rsid w:val="009737A0"/>
    <w:rsid w:val="00974EDA"/>
    <w:rsid w:val="00982CD6"/>
    <w:rsid w:val="00990142"/>
    <w:rsid w:val="0099047C"/>
    <w:rsid w:val="0099263A"/>
    <w:rsid w:val="00992E07"/>
    <w:rsid w:val="00993DE4"/>
    <w:rsid w:val="009953FA"/>
    <w:rsid w:val="009A3203"/>
    <w:rsid w:val="009A4081"/>
    <w:rsid w:val="009A6435"/>
    <w:rsid w:val="009A7CC9"/>
    <w:rsid w:val="009B072C"/>
    <w:rsid w:val="009B23FE"/>
    <w:rsid w:val="009B4A0E"/>
    <w:rsid w:val="009B6887"/>
    <w:rsid w:val="009C2142"/>
    <w:rsid w:val="009C290A"/>
    <w:rsid w:val="009C5DCE"/>
    <w:rsid w:val="009C6175"/>
    <w:rsid w:val="009C61AA"/>
    <w:rsid w:val="009D27F6"/>
    <w:rsid w:val="009D2D2C"/>
    <w:rsid w:val="009D37B6"/>
    <w:rsid w:val="009E37E5"/>
    <w:rsid w:val="009E3AB8"/>
    <w:rsid w:val="009E4349"/>
    <w:rsid w:val="009E57BF"/>
    <w:rsid w:val="009E5B24"/>
    <w:rsid w:val="009E7E13"/>
    <w:rsid w:val="009F5804"/>
    <w:rsid w:val="009F7D90"/>
    <w:rsid w:val="00A00539"/>
    <w:rsid w:val="00A0295D"/>
    <w:rsid w:val="00A05547"/>
    <w:rsid w:val="00A06394"/>
    <w:rsid w:val="00A06C63"/>
    <w:rsid w:val="00A0756F"/>
    <w:rsid w:val="00A10C11"/>
    <w:rsid w:val="00A12E2B"/>
    <w:rsid w:val="00A1509C"/>
    <w:rsid w:val="00A15D66"/>
    <w:rsid w:val="00A15DE1"/>
    <w:rsid w:val="00A2098D"/>
    <w:rsid w:val="00A26060"/>
    <w:rsid w:val="00A319C8"/>
    <w:rsid w:val="00A33820"/>
    <w:rsid w:val="00A3714D"/>
    <w:rsid w:val="00A37529"/>
    <w:rsid w:val="00A4142E"/>
    <w:rsid w:val="00A42AD7"/>
    <w:rsid w:val="00A45594"/>
    <w:rsid w:val="00A457E6"/>
    <w:rsid w:val="00A47C9F"/>
    <w:rsid w:val="00A50407"/>
    <w:rsid w:val="00A50CAD"/>
    <w:rsid w:val="00A53D18"/>
    <w:rsid w:val="00A57374"/>
    <w:rsid w:val="00A57C33"/>
    <w:rsid w:val="00A641D7"/>
    <w:rsid w:val="00A656E9"/>
    <w:rsid w:val="00A67165"/>
    <w:rsid w:val="00A71F97"/>
    <w:rsid w:val="00A731D4"/>
    <w:rsid w:val="00A76509"/>
    <w:rsid w:val="00A7719C"/>
    <w:rsid w:val="00A85859"/>
    <w:rsid w:val="00A861EB"/>
    <w:rsid w:val="00A8657B"/>
    <w:rsid w:val="00A94766"/>
    <w:rsid w:val="00A961E1"/>
    <w:rsid w:val="00A9732F"/>
    <w:rsid w:val="00AA0613"/>
    <w:rsid w:val="00AA17DD"/>
    <w:rsid w:val="00AA2FFF"/>
    <w:rsid w:val="00AA43F0"/>
    <w:rsid w:val="00AA5BD1"/>
    <w:rsid w:val="00AB79B3"/>
    <w:rsid w:val="00AC0EE2"/>
    <w:rsid w:val="00AC1506"/>
    <w:rsid w:val="00AC1EDA"/>
    <w:rsid w:val="00AC5A74"/>
    <w:rsid w:val="00AD30F0"/>
    <w:rsid w:val="00AD35FD"/>
    <w:rsid w:val="00AD5CEE"/>
    <w:rsid w:val="00AE00B0"/>
    <w:rsid w:val="00AE4F19"/>
    <w:rsid w:val="00AF2995"/>
    <w:rsid w:val="00AF549A"/>
    <w:rsid w:val="00B00AD3"/>
    <w:rsid w:val="00B01B25"/>
    <w:rsid w:val="00B0322C"/>
    <w:rsid w:val="00B05816"/>
    <w:rsid w:val="00B05B9B"/>
    <w:rsid w:val="00B10711"/>
    <w:rsid w:val="00B10FC6"/>
    <w:rsid w:val="00B13F83"/>
    <w:rsid w:val="00B14FA4"/>
    <w:rsid w:val="00B16D3B"/>
    <w:rsid w:val="00B208E1"/>
    <w:rsid w:val="00B2231E"/>
    <w:rsid w:val="00B23590"/>
    <w:rsid w:val="00B24DBE"/>
    <w:rsid w:val="00B25A34"/>
    <w:rsid w:val="00B27630"/>
    <w:rsid w:val="00B27A80"/>
    <w:rsid w:val="00B310F8"/>
    <w:rsid w:val="00B31732"/>
    <w:rsid w:val="00B31D38"/>
    <w:rsid w:val="00B33C39"/>
    <w:rsid w:val="00B33CA4"/>
    <w:rsid w:val="00B357A6"/>
    <w:rsid w:val="00B35C2B"/>
    <w:rsid w:val="00B37D9C"/>
    <w:rsid w:val="00B41927"/>
    <w:rsid w:val="00B4512D"/>
    <w:rsid w:val="00B50E78"/>
    <w:rsid w:val="00B50ED1"/>
    <w:rsid w:val="00B5265A"/>
    <w:rsid w:val="00B55C9B"/>
    <w:rsid w:val="00B56577"/>
    <w:rsid w:val="00B57D74"/>
    <w:rsid w:val="00B60605"/>
    <w:rsid w:val="00B608B2"/>
    <w:rsid w:val="00B60B8F"/>
    <w:rsid w:val="00B6544F"/>
    <w:rsid w:val="00B65E66"/>
    <w:rsid w:val="00B678E7"/>
    <w:rsid w:val="00B701BB"/>
    <w:rsid w:val="00B72639"/>
    <w:rsid w:val="00B75260"/>
    <w:rsid w:val="00B773D0"/>
    <w:rsid w:val="00B909AA"/>
    <w:rsid w:val="00B96EF9"/>
    <w:rsid w:val="00BA4F04"/>
    <w:rsid w:val="00BA6C81"/>
    <w:rsid w:val="00BA7D45"/>
    <w:rsid w:val="00BB3E10"/>
    <w:rsid w:val="00BB4FE8"/>
    <w:rsid w:val="00BB52D3"/>
    <w:rsid w:val="00BB60C9"/>
    <w:rsid w:val="00BB72D4"/>
    <w:rsid w:val="00BB75D7"/>
    <w:rsid w:val="00BC0068"/>
    <w:rsid w:val="00BC0080"/>
    <w:rsid w:val="00BC014B"/>
    <w:rsid w:val="00BC14F1"/>
    <w:rsid w:val="00BC2096"/>
    <w:rsid w:val="00BC2A97"/>
    <w:rsid w:val="00BC4617"/>
    <w:rsid w:val="00BC7AA1"/>
    <w:rsid w:val="00BD5024"/>
    <w:rsid w:val="00BD67D1"/>
    <w:rsid w:val="00BE63D4"/>
    <w:rsid w:val="00BF32ED"/>
    <w:rsid w:val="00BF3D30"/>
    <w:rsid w:val="00BF3F91"/>
    <w:rsid w:val="00BF5BDB"/>
    <w:rsid w:val="00C00CC8"/>
    <w:rsid w:val="00C045C7"/>
    <w:rsid w:val="00C072C0"/>
    <w:rsid w:val="00C0749C"/>
    <w:rsid w:val="00C110C9"/>
    <w:rsid w:val="00C1354D"/>
    <w:rsid w:val="00C15474"/>
    <w:rsid w:val="00C175A4"/>
    <w:rsid w:val="00C175FE"/>
    <w:rsid w:val="00C20DFA"/>
    <w:rsid w:val="00C22EF4"/>
    <w:rsid w:val="00C27977"/>
    <w:rsid w:val="00C31B84"/>
    <w:rsid w:val="00C32458"/>
    <w:rsid w:val="00C441EF"/>
    <w:rsid w:val="00C4426F"/>
    <w:rsid w:val="00C624E8"/>
    <w:rsid w:val="00C6309B"/>
    <w:rsid w:val="00C655C2"/>
    <w:rsid w:val="00C71FD7"/>
    <w:rsid w:val="00C746F8"/>
    <w:rsid w:val="00C74C74"/>
    <w:rsid w:val="00C74D08"/>
    <w:rsid w:val="00C8214B"/>
    <w:rsid w:val="00C8220A"/>
    <w:rsid w:val="00C84944"/>
    <w:rsid w:val="00C84A92"/>
    <w:rsid w:val="00C85B23"/>
    <w:rsid w:val="00C914DA"/>
    <w:rsid w:val="00C92D44"/>
    <w:rsid w:val="00C9430D"/>
    <w:rsid w:val="00C94358"/>
    <w:rsid w:val="00C97987"/>
    <w:rsid w:val="00CA2B22"/>
    <w:rsid w:val="00CA792F"/>
    <w:rsid w:val="00CB1B1A"/>
    <w:rsid w:val="00CB4BC2"/>
    <w:rsid w:val="00CB4C21"/>
    <w:rsid w:val="00CB4DA6"/>
    <w:rsid w:val="00CB6255"/>
    <w:rsid w:val="00CC317C"/>
    <w:rsid w:val="00CC4FE3"/>
    <w:rsid w:val="00CC5381"/>
    <w:rsid w:val="00CC551D"/>
    <w:rsid w:val="00CC55D1"/>
    <w:rsid w:val="00CC747C"/>
    <w:rsid w:val="00CC7D75"/>
    <w:rsid w:val="00CD178D"/>
    <w:rsid w:val="00CD1B75"/>
    <w:rsid w:val="00CD3E13"/>
    <w:rsid w:val="00CD3E94"/>
    <w:rsid w:val="00CD459E"/>
    <w:rsid w:val="00CE0AC8"/>
    <w:rsid w:val="00CE12FC"/>
    <w:rsid w:val="00CE1556"/>
    <w:rsid w:val="00CE16AD"/>
    <w:rsid w:val="00CF0BA3"/>
    <w:rsid w:val="00CF129C"/>
    <w:rsid w:val="00CF2466"/>
    <w:rsid w:val="00CF3378"/>
    <w:rsid w:val="00D0684B"/>
    <w:rsid w:val="00D105D7"/>
    <w:rsid w:val="00D15D17"/>
    <w:rsid w:val="00D20B0E"/>
    <w:rsid w:val="00D2333F"/>
    <w:rsid w:val="00D257E3"/>
    <w:rsid w:val="00D2585A"/>
    <w:rsid w:val="00D32D44"/>
    <w:rsid w:val="00D33A4A"/>
    <w:rsid w:val="00D34AE4"/>
    <w:rsid w:val="00D411E4"/>
    <w:rsid w:val="00D423E3"/>
    <w:rsid w:val="00D50367"/>
    <w:rsid w:val="00D560BC"/>
    <w:rsid w:val="00D579F5"/>
    <w:rsid w:val="00D57AD2"/>
    <w:rsid w:val="00D6277A"/>
    <w:rsid w:val="00D655A8"/>
    <w:rsid w:val="00D704F6"/>
    <w:rsid w:val="00D71F1A"/>
    <w:rsid w:val="00D728AE"/>
    <w:rsid w:val="00D74D89"/>
    <w:rsid w:val="00D77626"/>
    <w:rsid w:val="00D838F2"/>
    <w:rsid w:val="00D848E2"/>
    <w:rsid w:val="00D87107"/>
    <w:rsid w:val="00D94771"/>
    <w:rsid w:val="00DB0172"/>
    <w:rsid w:val="00DB05C8"/>
    <w:rsid w:val="00DB0BF3"/>
    <w:rsid w:val="00DB11AD"/>
    <w:rsid w:val="00DB314A"/>
    <w:rsid w:val="00DB3D47"/>
    <w:rsid w:val="00DB735C"/>
    <w:rsid w:val="00DB7529"/>
    <w:rsid w:val="00DB7E90"/>
    <w:rsid w:val="00DC288A"/>
    <w:rsid w:val="00DC3667"/>
    <w:rsid w:val="00DC4236"/>
    <w:rsid w:val="00DC7CF5"/>
    <w:rsid w:val="00DD0C94"/>
    <w:rsid w:val="00DD6778"/>
    <w:rsid w:val="00DE0490"/>
    <w:rsid w:val="00DE04FC"/>
    <w:rsid w:val="00DE124B"/>
    <w:rsid w:val="00DE2EB9"/>
    <w:rsid w:val="00DE329B"/>
    <w:rsid w:val="00DE373F"/>
    <w:rsid w:val="00DE770D"/>
    <w:rsid w:val="00DF3D46"/>
    <w:rsid w:val="00DF4596"/>
    <w:rsid w:val="00DF45C5"/>
    <w:rsid w:val="00DF6551"/>
    <w:rsid w:val="00DF6C6D"/>
    <w:rsid w:val="00DF70C5"/>
    <w:rsid w:val="00DF776E"/>
    <w:rsid w:val="00E077E2"/>
    <w:rsid w:val="00E14561"/>
    <w:rsid w:val="00E229F9"/>
    <w:rsid w:val="00E2451D"/>
    <w:rsid w:val="00E24557"/>
    <w:rsid w:val="00E27E31"/>
    <w:rsid w:val="00E309B1"/>
    <w:rsid w:val="00E32522"/>
    <w:rsid w:val="00E3520B"/>
    <w:rsid w:val="00E352BD"/>
    <w:rsid w:val="00E37145"/>
    <w:rsid w:val="00E371B6"/>
    <w:rsid w:val="00E41AB2"/>
    <w:rsid w:val="00E42262"/>
    <w:rsid w:val="00E4247C"/>
    <w:rsid w:val="00E42D2C"/>
    <w:rsid w:val="00E43C79"/>
    <w:rsid w:val="00E455D2"/>
    <w:rsid w:val="00E52D11"/>
    <w:rsid w:val="00E553D6"/>
    <w:rsid w:val="00E561FE"/>
    <w:rsid w:val="00E563F6"/>
    <w:rsid w:val="00E6077B"/>
    <w:rsid w:val="00E72B02"/>
    <w:rsid w:val="00E73696"/>
    <w:rsid w:val="00E74B7D"/>
    <w:rsid w:val="00E77AE2"/>
    <w:rsid w:val="00E80F87"/>
    <w:rsid w:val="00E90D4D"/>
    <w:rsid w:val="00E9288B"/>
    <w:rsid w:val="00E95108"/>
    <w:rsid w:val="00E970E8"/>
    <w:rsid w:val="00EA1504"/>
    <w:rsid w:val="00EA45F0"/>
    <w:rsid w:val="00EB303A"/>
    <w:rsid w:val="00EB4AF8"/>
    <w:rsid w:val="00EC453C"/>
    <w:rsid w:val="00EC6510"/>
    <w:rsid w:val="00EC7BE9"/>
    <w:rsid w:val="00ED1133"/>
    <w:rsid w:val="00ED153B"/>
    <w:rsid w:val="00ED7B43"/>
    <w:rsid w:val="00EE459F"/>
    <w:rsid w:val="00EE4EB8"/>
    <w:rsid w:val="00EE5775"/>
    <w:rsid w:val="00EE670F"/>
    <w:rsid w:val="00EE77D8"/>
    <w:rsid w:val="00EF20BE"/>
    <w:rsid w:val="00EF3C39"/>
    <w:rsid w:val="00EF529A"/>
    <w:rsid w:val="00EF5DCE"/>
    <w:rsid w:val="00EF68D3"/>
    <w:rsid w:val="00F052BA"/>
    <w:rsid w:val="00F05754"/>
    <w:rsid w:val="00F067E6"/>
    <w:rsid w:val="00F1088C"/>
    <w:rsid w:val="00F14459"/>
    <w:rsid w:val="00F17FE0"/>
    <w:rsid w:val="00F2036A"/>
    <w:rsid w:val="00F21649"/>
    <w:rsid w:val="00F21671"/>
    <w:rsid w:val="00F21D79"/>
    <w:rsid w:val="00F24A79"/>
    <w:rsid w:val="00F26245"/>
    <w:rsid w:val="00F26572"/>
    <w:rsid w:val="00F31E4A"/>
    <w:rsid w:val="00F31FF2"/>
    <w:rsid w:val="00F34672"/>
    <w:rsid w:val="00F373CE"/>
    <w:rsid w:val="00F41698"/>
    <w:rsid w:val="00F419DD"/>
    <w:rsid w:val="00F45A9E"/>
    <w:rsid w:val="00F53E06"/>
    <w:rsid w:val="00F54792"/>
    <w:rsid w:val="00F577CC"/>
    <w:rsid w:val="00F61CA4"/>
    <w:rsid w:val="00F625FF"/>
    <w:rsid w:val="00F647CB"/>
    <w:rsid w:val="00F65DCB"/>
    <w:rsid w:val="00F674F9"/>
    <w:rsid w:val="00F7053B"/>
    <w:rsid w:val="00F70F79"/>
    <w:rsid w:val="00F717E4"/>
    <w:rsid w:val="00F71B0D"/>
    <w:rsid w:val="00F762AE"/>
    <w:rsid w:val="00F843C0"/>
    <w:rsid w:val="00F97401"/>
    <w:rsid w:val="00F97528"/>
    <w:rsid w:val="00FA1474"/>
    <w:rsid w:val="00FA2503"/>
    <w:rsid w:val="00FA2601"/>
    <w:rsid w:val="00FA62CD"/>
    <w:rsid w:val="00FA7CC1"/>
    <w:rsid w:val="00FB6FCD"/>
    <w:rsid w:val="00FC44A1"/>
    <w:rsid w:val="00FE044F"/>
    <w:rsid w:val="00FE1CE0"/>
    <w:rsid w:val="00FF1AC5"/>
    <w:rsid w:val="00FF2284"/>
    <w:rsid w:val="00FF44E2"/>
    <w:rsid w:val="00FF543F"/>
    <w:rsid w:val="00FF5B61"/>
    <w:rsid w:val="00FF7DA2"/>
    <w:rsid w:val="00FF7F9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126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footnote reference" w:qFormat="1"/>
    <w:lsdException w:name="Title" w:uiPriority="10" w:qFormat="1"/>
    <w:lsdException w:name="Subtitle" w:qFormat="1"/>
    <w:lsdException w:name="FollowedHyperlink" w:uiPriority="99"/>
    <w:lsdException w:name="Strong" w:qFormat="1"/>
    <w:lsdException w:name="Emphasis" w:qFormat="1"/>
    <w:lsdException w:name="Normal (Web)" w:uiPriority="99"/>
    <w:lsdException w:name="HTML Cite"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51E9"/>
    <w:pPr>
      <w:spacing w:before="120" w:line="360" w:lineRule="auto"/>
      <w:jc w:val="both"/>
    </w:pPr>
    <w:rPr>
      <w:rFonts w:eastAsiaTheme="minorHAnsi"/>
      <w:sz w:val="24"/>
      <w:szCs w:val="24"/>
      <w:lang w:eastAsia="en-US"/>
    </w:rPr>
  </w:style>
  <w:style w:type="paragraph" w:styleId="Ttulo1">
    <w:name w:val="heading 1"/>
    <w:basedOn w:val="Normal"/>
    <w:next w:val="Normal"/>
    <w:link w:val="Ttulo1Car"/>
    <w:qFormat/>
    <w:rsid w:val="004551E9"/>
    <w:pPr>
      <w:jc w:val="center"/>
      <w:outlineLvl w:val="0"/>
    </w:pPr>
    <w:rPr>
      <w:b/>
      <w:sz w:val="36"/>
      <w:szCs w:val="36"/>
      <w:lang w:val="es-ES"/>
    </w:rPr>
  </w:style>
  <w:style w:type="paragraph" w:styleId="Ttulo2">
    <w:name w:val="heading 2"/>
    <w:basedOn w:val="Ttulo1"/>
    <w:next w:val="Normal"/>
    <w:link w:val="Ttulo2Car"/>
    <w:qFormat/>
    <w:rsid w:val="004A69C7"/>
    <w:pPr>
      <w:outlineLvl w:val="1"/>
    </w:pPr>
    <w:rPr>
      <w:lang w:val="es-AR"/>
    </w:rPr>
  </w:style>
  <w:style w:type="paragraph" w:styleId="Ttulo3">
    <w:name w:val="heading 3"/>
    <w:basedOn w:val="Normal"/>
    <w:next w:val="Normal"/>
    <w:link w:val="Ttulo3Car"/>
    <w:qFormat/>
    <w:rsid w:val="00641B05"/>
    <w:pPr>
      <w:keepNext/>
      <w:spacing w:before="240" w:after="60"/>
      <w:outlineLvl w:val="2"/>
    </w:pPr>
    <w:rPr>
      <w:rFonts w:cs="Arial"/>
      <w:bCs/>
      <w:caps/>
    </w:rPr>
  </w:style>
  <w:style w:type="paragraph" w:styleId="Ttulo4">
    <w:name w:val="heading 4"/>
    <w:basedOn w:val="Normal"/>
    <w:next w:val="Normal"/>
    <w:link w:val="Ttulo4Car"/>
    <w:qFormat/>
    <w:rsid w:val="004551E9"/>
    <w:pPr>
      <w:spacing w:before="0" w:line="240" w:lineRule="auto"/>
      <w:jc w:val="left"/>
      <w:outlineLvl w:val="3"/>
    </w:pPr>
  </w:style>
  <w:style w:type="paragraph" w:styleId="Ttulo5">
    <w:name w:val="heading 5"/>
    <w:basedOn w:val="Normal"/>
    <w:next w:val="Normal"/>
    <w:link w:val="Ttulo5Car"/>
    <w:semiHidden/>
    <w:unhideWhenUsed/>
    <w:qFormat/>
    <w:rsid w:val="00082054"/>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semiHidden/>
    <w:unhideWhenUsed/>
    <w:qFormat/>
    <w:rsid w:val="004551E9"/>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semiHidden/>
    <w:unhideWhenUsed/>
    <w:qFormat/>
    <w:rsid w:val="004551E9"/>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semiHidden/>
    <w:unhideWhenUsed/>
    <w:qFormat/>
    <w:rsid w:val="002868F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semiHidden/>
    <w:unhideWhenUsed/>
    <w:qFormat/>
    <w:rsid w:val="002868F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Cita">
    <w:name w:val="Quote"/>
    <w:basedOn w:val="Normal"/>
    <w:link w:val="CitaCar"/>
    <w:uiPriority w:val="29"/>
    <w:qFormat/>
    <w:rsid w:val="00594617"/>
    <w:pPr>
      <w:ind w:left="567" w:right="567"/>
    </w:pPr>
  </w:style>
  <w:style w:type="numbering" w:customStyle="1" w:styleId="Listado">
    <w:name w:val="Listado"/>
    <w:basedOn w:val="Sinlista"/>
    <w:rsid w:val="00594617"/>
    <w:pPr>
      <w:numPr>
        <w:numId w:val="1"/>
      </w:numPr>
    </w:p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FA Fu?notente,no"/>
    <w:basedOn w:val="Normal"/>
    <w:link w:val="TextonotapieCar"/>
    <w:autoRedefine/>
    <w:rsid w:val="00AA2FFF"/>
    <w:pPr>
      <w:tabs>
        <w:tab w:val="left" w:pos="1985"/>
      </w:tabs>
      <w:spacing w:line="240" w:lineRule="auto"/>
    </w:pPr>
    <w:rPr>
      <w:sz w:val="20"/>
      <w:szCs w:val="20"/>
    </w:rPr>
  </w:style>
  <w:style w:type="character" w:styleId="Refdenotaalpie">
    <w:name w:val="footnote reference"/>
    <w:aliases w:val="Texto de nota al pie,Appel note de bas de page,ftref,Footnote Text Char Char Char Char Char Car1,Footnote Text Char Char Char Char Car1,Footnote reference Car1,FA Fu Car1,Footnote Text Char Char Char Car1,texto de nota al pie Car1,Re"/>
    <w:basedOn w:val="Fuentedeprrafopredeter"/>
    <w:link w:val="BVIfnrCarCarCarCar1"/>
    <w:qFormat/>
    <w:rsid w:val="00594617"/>
    <w:rPr>
      <w:vertAlign w:val="superscript"/>
    </w:rPr>
  </w:style>
  <w:style w:type="character" w:styleId="Hipervnculo">
    <w:name w:val="Hyperlink"/>
    <w:basedOn w:val="Fuentedeprrafopredeter"/>
    <w:unhideWhenUsed/>
    <w:rsid w:val="00F21671"/>
    <w:rPr>
      <w:color w:val="0000FF"/>
      <w:u w:val="single"/>
    </w:rPr>
  </w:style>
  <w:style w:type="paragraph" w:styleId="Prrafodelista">
    <w:name w:val="List Paragraph"/>
    <w:basedOn w:val="Normal"/>
    <w:uiPriority w:val="34"/>
    <w:qFormat/>
    <w:rsid w:val="00082A46"/>
    <w:pPr>
      <w:ind w:left="720"/>
      <w:contextualSpacing/>
    </w:pPr>
  </w:style>
  <w:style w:type="paragraph" w:customStyle="1" w:styleId="Pie">
    <w:name w:val="Pie"/>
    <w:basedOn w:val="Normal"/>
    <w:link w:val="PieCar"/>
    <w:qFormat/>
    <w:rsid w:val="00A67165"/>
    <w:pPr>
      <w:tabs>
        <w:tab w:val="center" w:pos="4252"/>
        <w:tab w:val="right" w:pos="8504"/>
      </w:tabs>
      <w:spacing w:line="240" w:lineRule="auto"/>
    </w:pPr>
    <w:rPr>
      <w:rFonts w:eastAsia="Calibri"/>
      <w:sz w:val="20"/>
      <w:lang w:val="es-ES"/>
    </w:rPr>
  </w:style>
  <w:style w:type="paragraph" w:customStyle="1" w:styleId="EstiloPrrafodelistaCursiva">
    <w:name w:val="Estilo Párrafo de lista + Cursiva"/>
    <w:basedOn w:val="Prrafodelista"/>
    <w:rsid w:val="00200056"/>
    <w:pPr>
      <w:ind w:left="567" w:right="567"/>
    </w:pPr>
    <w:rPr>
      <w:i/>
      <w:iCs/>
    </w:rPr>
  </w:style>
  <w:style w:type="character" w:customStyle="1" w:styleId="PieCar">
    <w:name w:val="Pie Car"/>
    <w:basedOn w:val="Fuentedeprrafopredeter"/>
    <w:link w:val="Pie"/>
    <w:locked/>
    <w:rsid w:val="00E077E2"/>
    <w:rPr>
      <w:rFonts w:eastAsia="Calibri"/>
      <w:szCs w:val="22"/>
      <w:lang w:val="es-ES" w:eastAsia="en-US"/>
    </w:rPr>
  </w:style>
  <w:style w:type="paragraph" w:styleId="Encabezado">
    <w:name w:val="header"/>
    <w:basedOn w:val="Normal"/>
    <w:link w:val="EncabezadoCar"/>
    <w:rsid w:val="00F067E6"/>
    <w:pPr>
      <w:tabs>
        <w:tab w:val="center" w:pos="4252"/>
        <w:tab w:val="right" w:pos="8504"/>
      </w:tabs>
      <w:spacing w:before="0" w:line="240" w:lineRule="auto"/>
    </w:pPr>
  </w:style>
  <w:style w:type="character" w:customStyle="1" w:styleId="EncabezadoCar">
    <w:name w:val="Encabezado Car"/>
    <w:basedOn w:val="Fuentedeprrafopredeter"/>
    <w:link w:val="Encabezado"/>
    <w:rsid w:val="00F067E6"/>
    <w:rPr>
      <w:rFonts w:eastAsiaTheme="minorHAnsi" w:cstheme="minorBidi"/>
      <w:sz w:val="24"/>
      <w:szCs w:val="22"/>
      <w:lang w:val="en-US" w:eastAsia="en-US"/>
    </w:rPr>
  </w:style>
  <w:style w:type="character" w:customStyle="1" w:styleId="CitaCar">
    <w:name w:val="Cita Car"/>
    <w:basedOn w:val="Fuentedeprrafopredeter"/>
    <w:link w:val="Cita"/>
    <w:uiPriority w:val="29"/>
    <w:locked/>
    <w:rsid w:val="0081195B"/>
    <w:rPr>
      <w:rFonts w:eastAsiaTheme="minorHAnsi" w:cstheme="minorBidi"/>
      <w:sz w:val="24"/>
      <w:szCs w:val="22"/>
      <w:lang w:val="en-US"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xt Car"/>
    <w:basedOn w:val="Fuentedeprrafopredeter"/>
    <w:link w:val="Textonotapie"/>
    <w:rsid w:val="00AA2FFF"/>
    <w:rPr>
      <w:rFonts w:eastAsiaTheme="minorHAnsi" w:cstheme="minorBidi"/>
      <w:lang w:val="en-US" w:eastAsia="en-US"/>
    </w:rPr>
  </w:style>
  <w:style w:type="character" w:styleId="Textoennegrita">
    <w:name w:val="Strong"/>
    <w:basedOn w:val="Fuentedeprrafopredeter"/>
    <w:qFormat/>
    <w:rsid w:val="00074A95"/>
    <w:rPr>
      <w:rFonts w:ascii="Times New Roman" w:hAnsi="Times New Roman"/>
      <w:bCs/>
      <w:caps/>
      <w:sz w:val="20"/>
    </w:rPr>
  </w:style>
  <w:style w:type="table" w:styleId="Tablaconcuadrcula">
    <w:name w:val="Table Grid"/>
    <w:basedOn w:val="Tablanormal"/>
    <w:uiPriority w:val="59"/>
    <w:rsid w:val="00014AA9"/>
    <w:rPr>
      <w:rFonts w:asciiTheme="minorHAnsi" w:eastAsiaTheme="minorHAnsi" w:hAnsiTheme="minorHAnsi" w:cstheme="minorBid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rsid w:val="004551E9"/>
    <w:rPr>
      <w:rFonts w:eastAsiaTheme="minorHAnsi"/>
      <w:b/>
      <w:sz w:val="36"/>
      <w:szCs w:val="36"/>
      <w:lang w:val="es-ES" w:eastAsia="en-US"/>
    </w:rPr>
  </w:style>
  <w:style w:type="paragraph" w:styleId="Textonotaalfinal">
    <w:name w:val="endnote text"/>
    <w:basedOn w:val="Normal"/>
    <w:link w:val="TextonotaalfinalCar"/>
    <w:rsid w:val="00F2036A"/>
    <w:pPr>
      <w:spacing w:before="0" w:line="240" w:lineRule="auto"/>
    </w:pPr>
    <w:rPr>
      <w:sz w:val="20"/>
      <w:szCs w:val="20"/>
    </w:rPr>
  </w:style>
  <w:style w:type="character" w:customStyle="1" w:styleId="TextonotaalfinalCar">
    <w:name w:val="Texto nota al final Car"/>
    <w:basedOn w:val="Fuentedeprrafopredeter"/>
    <w:link w:val="Textonotaalfinal"/>
    <w:rsid w:val="00F2036A"/>
    <w:rPr>
      <w:rFonts w:eastAsiaTheme="minorHAnsi" w:cstheme="minorBidi"/>
      <w:lang w:val="en-US" w:eastAsia="en-US"/>
    </w:rPr>
  </w:style>
  <w:style w:type="character" w:styleId="Refdenotaalfinal">
    <w:name w:val="endnote reference"/>
    <w:basedOn w:val="Fuentedeprrafopredeter"/>
    <w:rsid w:val="00F2036A"/>
    <w:rPr>
      <w:vertAlign w:val="superscript"/>
    </w:rPr>
  </w:style>
  <w:style w:type="paragraph" w:styleId="Piedepgina">
    <w:name w:val="footer"/>
    <w:aliases w:val="Pie de página Car1 Car,Pie de página Car Car Car,Pie de página Car1 Car Car Car,Car Car1 Car Car Car,Pie de página Car Car Car Car Car,Car Car Car Car Car Car,Pie de página Car Car1 Car, Car Car1 Car Car Car, Car Car Car Car Car Car"/>
    <w:basedOn w:val="Normal"/>
    <w:link w:val="PiedepginaCar"/>
    <w:uiPriority w:val="99"/>
    <w:rsid w:val="00F2036A"/>
    <w:pPr>
      <w:tabs>
        <w:tab w:val="center" w:pos="4252"/>
        <w:tab w:val="right" w:pos="8504"/>
      </w:tabs>
      <w:spacing w:before="0" w:line="240" w:lineRule="auto"/>
    </w:pPr>
  </w:style>
  <w:style w:type="character" w:customStyle="1" w:styleId="PiedepginaCar">
    <w:name w:val="Pie de página Car"/>
    <w:aliases w:val="Pie de página Car1 Car Car1,Pie de página Car Car Car Car1,Pie de página Car1 Car Car Car Car1,Car Car1 Car Car Car Car1,Pie de página Car Car Car Car Car Car1,Car Car Car Car Car Car Car1,Pie de página Car Car1 Car Car1"/>
    <w:basedOn w:val="Fuentedeprrafopredeter"/>
    <w:link w:val="Piedepgina"/>
    <w:uiPriority w:val="99"/>
    <w:rsid w:val="00F2036A"/>
    <w:rPr>
      <w:rFonts w:eastAsiaTheme="minorHAnsi" w:cstheme="minorBidi"/>
      <w:sz w:val="24"/>
      <w:szCs w:val="22"/>
      <w:lang w:val="en-US" w:eastAsia="en-US"/>
    </w:rPr>
  </w:style>
  <w:style w:type="paragraph" w:styleId="Sangra2detindependiente">
    <w:name w:val="Body Text Indent 2"/>
    <w:aliases w:val="Cita Convención"/>
    <w:basedOn w:val="Normal"/>
    <w:link w:val="Sangra2detindependienteCar"/>
    <w:rsid w:val="00F2036A"/>
    <w:pPr>
      <w:spacing w:before="100" w:beforeAutospacing="1" w:afterAutospacing="1" w:line="480" w:lineRule="auto"/>
      <w:ind w:left="283" w:firstLine="709"/>
      <w:jc w:val="left"/>
    </w:pPr>
    <w:rPr>
      <w:rFonts w:ascii="Book Antiqua" w:eastAsia="Times New Roman" w:hAnsi="Book Antiqua"/>
      <w:lang w:val="es-ES" w:eastAsia="es-ES"/>
    </w:rPr>
  </w:style>
  <w:style w:type="character" w:customStyle="1" w:styleId="Sangra2detindependienteCar">
    <w:name w:val="Sangría 2 de t. independiente Car"/>
    <w:aliases w:val="Cita Convención Car"/>
    <w:basedOn w:val="Fuentedeprrafopredeter"/>
    <w:link w:val="Sangra2detindependiente"/>
    <w:rsid w:val="00F2036A"/>
    <w:rPr>
      <w:rFonts w:ascii="Book Antiqua" w:hAnsi="Book Antiqua"/>
      <w:sz w:val="24"/>
      <w:szCs w:val="24"/>
      <w:lang w:val="es-ES" w:eastAsia="es-ES"/>
    </w:rPr>
  </w:style>
  <w:style w:type="character" w:customStyle="1" w:styleId="goohl0">
    <w:name w:val="goohl0"/>
    <w:basedOn w:val="Fuentedeprrafopredeter"/>
    <w:rsid w:val="00F2036A"/>
  </w:style>
  <w:style w:type="character" w:customStyle="1" w:styleId="PiedepginaCar1">
    <w:name w:val="Pie de página Car1"/>
    <w:aliases w:val="Pie de página Car1 Car Car,Pie de página Car Car Car Car,Pie de página Car1 Car Car Car Car,Car Car1 Car Car Car Car,Pie de página Car Car Car Car Car Car,Car Car Car Car Car Car Car,Pie de página Car Car1 Car Car"/>
    <w:basedOn w:val="Fuentedeprrafopredeter"/>
    <w:uiPriority w:val="99"/>
    <w:locked/>
    <w:rsid w:val="00F2036A"/>
    <w:rPr>
      <w:rFonts w:ascii="Times New Roman" w:hAnsi="Times New Roman" w:cs="Times New Roman"/>
      <w:sz w:val="24"/>
      <w:szCs w:val="24"/>
    </w:rPr>
  </w:style>
  <w:style w:type="character" w:customStyle="1" w:styleId="apple-style-span">
    <w:name w:val="apple-style-span"/>
    <w:basedOn w:val="Fuentedeprrafopredeter"/>
    <w:rsid w:val="00F2036A"/>
    <w:rPr>
      <w:rFonts w:cs="Times New Roman"/>
    </w:rPr>
  </w:style>
  <w:style w:type="character" w:customStyle="1" w:styleId="apple-converted-space">
    <w:name w:val="apple-converted-space"/>
    <w:basedOn w:val="Fuentedeprrafopredeter"/>
    <w:uiPriority w:val="99"/>
    <w:rsid w:val="00F2036A"/>
    <w:rPr>
      <w:rFonts w:cs="Times New Roman"/>
    </w:rPr>
  </w:style>
  <w:style w:type="paragraph" w:styleId="Ttulo">
    <w:name w:val="Title"/>
    <w:basedOn w:val="Normal"/>
    <w:next w:val="Normal"/>
    <w:link w:val="TtuloCar"/>
    <w:uiPriority w:val="10"/>
    <w:qFormat/>
    <w:rsid w:val="00082054"/>
    <w:pPr>
      <w:widowControl w:val="0"/>
      <w:contextualSpacing/>
      <w:jc w:val="center"/>
    </w:pPr>
    <w:rPr>
      <w:rFonts w:eastAsia="Times New Roman"/>
      <w:b/>
      <w:caps/>
      <w:spacing w:val="5"/>
      <w:kern w:val="28"/>
      <w:sz w:val="32"/>
      <w:szCs w:val="52"/>
    </w:rPr>
  </w:style>
  <w:style w:type="character" w:customStyle="1" w:styleId="TtuloCar">
    <w:name w:val="Título Car"/>
    <w:basedOn w:val="Fuentedeprrafopredeter"/>
    <w:link w:val="Ttulo"/>
    <w:uiPriority w:val="10"/>
    <w:rsid w:val="00082054"/>
    <w:rPr>
      <w:b/>
      <w:caps/>
      <w:spacing w:val="5"/>
      <w:kern w:val="28"/>
      <w:sz w:val="32"/>
      <w:szCs w:val="52"/>
      <w:lang w:val="en-US" w:eastAsia="en-US"/>
    </w:rPr>
  </w:style>
  <w:style w:type="character" w:customStyle="1" w:styleId="Ttulo2Car">
    <w:name w:val="Título 2 Car"/>
    <w:basedOn w:val="Fuentedeprrafopredeter"/>
    <w:link w:val="Ttulo2"/>
    <w:rsid w:val="004A69C7"/>
    <w:rPr>
      <w:rFonts w:eastAsiaTheme="minorHAnsi"/>
      <w:b/>
      <w:sz w:val="36"/>
      <w:szCs w:val="36"/>
      <w:lang w:eastAsia="en-US"/>
    </w:rPr>
  </w:style>
  <w:style w:type="paragraph" w:customStyle="1" w:styleId="titulo3">
    <w:name w:val="titulo 3"/>
    <w:basedOn w:val="Normal"/>
    <w:qFormat/>
    <w:rsid w:val="004551E9"/>
    <w:rPr>
      <w:lang w:val="es-ES"/>
    </w:rPr>
  </w:style>
  <w:style w:type="character" w:customStyle="1" w:styleId="Ttulo3Car">
    <w:name w:val="Título 3 Car"/>
    <w:basedOn w:val="Fuentedeprrafopredeter"/>
    <w:link w:val="Ttulo3"/>
    <w:uiPriority w:val="9"/>
    <w:rsid w:val="00F2036A"/>
    <w:rPr>
      <w:rFonts w:eastAsiaTheme="minorHAnsi" w:cs="Arial"/>
      <w:bCs/>
      <w:caps/>
      <w:sz w:val="24"/>
      <w:szCs w:val="22"/>
      <w:lang w:val="en-US" w:eastAsia="en-US"/>
    </w:rPr>
  </w:style>
  <w:style w:type="character" w:styleId="Hipervnculovisitado">
    <w:name w:val="FollowedHyperlink"/>
    <w:basedOn w:val="Fuentedeprrafopredeter"/>
    <w:uiPriority w:val="99"/>
    <w:unhideWhenUsed/>
    <w:rsid w:val="00F2036A"/>
    <w:rPr>
      <w:color w:val="800080" w:themeColor="followedHyperlink"/>
      <w:u w:val="single"/>
    </w:rPr>
  </w:style>
  <w:style w:type="paragraph" w:customStyle="1" w:styleId="NotaPie">
    <w:name w:val="Nota Pie"/>
    <w:basedOn w:val="Textonotapie"/>
    <w:link w:val="NotaPieCar"/>
    <w:rsid w:val="00F2036A"/>
    <w:pPr>
      <w:spacing w:before="240" w:after="240"/>
      <w:ind w:firstLine="284"/>
    </w:pPr>
    <w:rPr>
      <w:rFonts w:ascii="Arial" w:eastAsia="Times New Roman" w:hAnsi="Arial"/>
    </w:rPr>
  </w:style>
  <w:style w:type="character" w:customStyle="1" w:styleId="NotaPieCar">
    <w:name w:val="Nota Pie Car"/>
    <w:basedOn w:val="TextonotapieCar"/>
    <w:link w:val="NotaPie"/>
    <w:rsid w:val="00F2036A"/>
    <w:rPr>
      <w:rFonts w:ascii="Arial" w:hAnsi="Arial"/>
    </w:rPr>
  </w:style>
  <w:style w:type="paragraph" w:customStyle="1" w:styleId="EstiloNumerado">
    <w:name w:val="Estilo Numerado"/>
    <w:basedOn w:val="Normal"/>
    <w:rsid w:val="00F2036A"/>
    <w:pPr>
      <w:numPr>
        <w:numId w:val="6"/>
      </w:numPr>
    </w:pPr>
    <w:rPr>
      <w:rFonts w:eastAsia="Times New Roman"/>
      <w:lang w:val="es-ES" w:eastAsia="es-ES"/>
    </w:rPr>
  </w:style>
  <w:style w:type="character" w:customStyle="1" w:styleId="Ttulo4Car">
    <w:name w:val="Título 4 Car"/>
    <w:basedOn w:val="Fuentedeprrafopredeter"/>
    <w:link w:val="Ttulo4"/>
    <w:rsid w:val="004551E9"/>
    <w:rPr>
      <w:rFonts w:eastAsiaTheme="minorHAnsi"/>
      <w:sz w:val="24"/>
      <w:szCs w:val="24"/>
      <w:lang w:eastAsia="en-US"/>
    </w:rPr>
  </w:style>
  <w:style w:type="character" w:customStyle="1" w:styleId="A4">
    <w:name w:val="A4"/>
    <w:uiPriority w:val="99"/>
    <w:rsid w:val="00F2036A"/>
    <w:rPr>
      <w:rFonts w:ascii="EurekaSans-BlackItalic" w:hAnsi="EurekaSans-BlackItalic" w:cs="EurekaSans-BlackItalic"/>
      <w:color w:val="000000"/>
      <w:sz w:val="16"/>
      <w:szCs w:val="16"/>
    </w:rPr>
  </w:style>
  <w:style w:type="paragraph" w:customStyle="1" w:styleId="Standard">
    <w:name w:val="Standard"/>
    <w:rsid w:val="00F2036A"/>
    <w:pPr>
      <w:widowControl w:val="0"/>
      <w:suppressAutoHyphens/>
      <w:autoSpaceDN w:val="0"/>
      <w:textAlignment w:val="baseline"/>
    </w:pPr>
    <w:rPr>
      <w:rFonts w:eastAsia="SimSun" w:cs="Mangal"/>
      <w:kern w:val="3"/>
      <w:sz w:val="24"/>
      <w:szCs w:val="24"/>
      <w:lang w:eastAsia="zh-CN" w:bidi="hi-IN"/>
    </w:rPr>
  </w:style>
  <w:style w:type="paragraph" w:styleId="NormalWeb">
    <w:name w:val="Normal (Web)"/>
    <w:basedOn w:val="Normal"/>
    <w:uiPriority w:val="99"/>
    <w:unhideWhenUsed/>
    <w:rsid w:val="00F2036A"/>
    <w:pPr>
      <w:spacing w:before="100" w:beforeAutospacing="1" w:after="100" w:afterAutospacing="1" w:line="240" w:lineRule="auto"/>
      <w:jc w:val="left"/>
    </w:pPr>
    <w:rPr>
      <w:rFonts w:eastAsia="Times New Roman"/>
      <w:lang w:eastAsia="es-AR"/>
    </w:rPr>
  </w:style>
  <w:style w:type="character" w:customStyle="1" w:styleId="Ttulo5Car">
    <w:name w:val="Título 5 Car"/>
    <w:basedOn w:val="Fuentedeprrafopredeter"/>
    <w:link w:val="Ttulo5"/>
    <w:semiHidden/>
    <w:rsid w:val="00082054"/>
    <w:rPr>
      <w:rFonts w:asciiTheme="majorHAnsi" w:eastAsiaTheme="majorEastAsia" w:hAnsiTheme="majorHAnsi" w:cstheme="majorBidi"/>
      <w:color w:val="243F60" w:themeColor="accent1" w:themeShade="7F"/>
      <w:sz w:val="24"/>
      <w:szCs w:val="22"/>
      <w:lang w:val="en-US" w:eastAsia="en-US"/>
    </w:rPr>
  </w:style>
  <w:style w:type="character" w:styleId="CitaHTML">
    <w:name w:val="HTML Cite"/>
    <w:basedOn w:val="Fuentedeprrafopredeter"/>
    <w:uiPriority w:val="99"/>
    <w:unhideWhenUsed/>
    <w:rsid w:val="009C61AA"/>
    <w:rPr>
      <w:i/>
      <w:iCs/>
    </w:rPr>
  </w:style>
  <w:style w:type="paragraph" w:styleId="Textocomentario">
    <w:name w:val="annotation text"/>
    <w:basedOn w:val="Normal"/>
    <w:link w:val="TextocomentarioCar"/>
    <w:uiPriority w:val="99"/>
    <w:unhideWhenUsed/>
    <w:rsid w:val="009C61AA"/>
    <w:pPr>
      <w:spacing w:before="0" w:after="200" w:line="240" w:lineRule="auto"/>
      <w:jc w:val="left"/>
    </w:pPr>
    <w:rPr>
      <w:rFonts w:ascii="Calibri" w:eastAsia="Times New Roman" w:hAnsi="Calibri"/>
      <w:sz w:val="20"/>
      <w:szCs w:val="20"/>
      <w:lang w:val="es-ES" w:eastAsia="es-ES"/>
    </w:rPr>
  </w:style>
  <w:style w:type="character" w:customStyle="1" w:styleId="TextocomentarioCar">
    <w:name w:val="Texto comentario Car"/>
    <w:basedOn w:val="Fuentedeprrafopredeter"/>
    <w:link w:val="Textocomentario"/>
    <w:uiPriority w:val="99"/>
    <w:rsid w:val="009C61AA"/>
    <w:rPr>
      <w:rFonts w:ascii="Calibri" w:hAnsi="Calibri"/>
      <w:lang w:val="es-ES" w:eastAsia="es-ES"/>
    </w:rPr>
  </w:style>
  <w:style w:type="paragraph" w:styleId="Textodeglobo">
    <w:name w:val="Balloon Text"/>
    <w:basedOn w:val="Normal"/>
    <w:link w:val="TextodegloboCar"/>
    <w:rsid w:val="009C61AA"/>
    <w:pPr>
      <w:spacing w:before="0" w:line="240" w:lineRule="auto"/>
    </w:pPr>
    <w:rPr>
      <w:rFonts w:ascii="Tahoma" w:hAnsi="Tahoma" w:cs="Tahoma"/>
      <w:sz w:val="16"/>
      <w:szCs w:val="16"/>
    </w:rPr>
  </w:style>
  <w:style w:type="character" w:customStyle="1" w:styleId="TextodegloboCar">
    <w:name w:val="Texto de globo Car"/>
    <w:basedOn w:val="Fuentedeprrafopredeter"/>
    <w:link w:val="Textodeglobo"/>
    <w:rsid w:val="009C61AA"/>
    <w:rPr>
      <w:rFonts w:ascii="Tahoma" w:eastAsiaTheme="minorHAnsi" w:hAnsi="Tahoma" w:cs="Tahoma"/>
      <w:sz w:val="16"/>
      <w:szCs w:val="16"/>
      <w:lang w:val="en-US" w:eastAsia="en-US"/>
    </w:rPr>
  </w:style>
  <w:style w:type="paragraph" w:customStyle="1" w:styleId="BVIfnrCarCarCarCar1">
    <w:name w:val="BVI fnr Car Car Car Car1"/>
    <w:basedOn w:val="Normal"/>
    <w:link w:val="Refdenotaalpie"/>
    <w:rsid w:val="00485F4C"/>
    <w:pPr>
      <w:spacing w:before="0" w:after="160" w:line="240" w:lineRule="exact"/>
      <w:jc w:val="left"/>
    </w:pPr>
    <w:rPr>
      <w:rFonts w:eastAsia="Times New Roman"/>
      <w:sz w:val="20"/>
      <w:szCs w:val="20"/>
      <w:vertAlign w:val="superscript"/>
      <w:lang w:eastAsia="es-AR"/>
    </w:rPr>
  </w:style>
  <w:style w:type="paragraph" w:customStyle="1" w:styleId="TITULO5">
    <w:name w:val="TITULO 5"/>
    <w:basedOn w:val="Ttulo5"/>
    <w:next w:val="Ttulo5"/>
    <w:qFormat/>
    <w:rsid w:val="004551E9"/>
    <w:rPr>
      <w:rFonts w:ascii="Times New Roman" w:hAnsi="Times New Roman" w:cs="Times New Roman"/>
      <w:color w:val="auto"/>
      <w:lang w:val="es-ES"/>
    </w:rPr>
  </w:style>
  <w:style w:type="paragraph" w:customStyle="1" w:styleId="TTULO60">
    <w:name w:val="TÍTULO 6"/>
    <w:basedOn w:val="Ttulo6"/>
    <w:next w:val="Ttulo6"/>
    <w:qFormat/>
    <w:rsid w:val="004551E9"/>
    <w:pPr>
      <w:jc w:val="center"/>
    </w:pPr>
    <w:rPr>
      <w:rFonts w:ascii="Times New Roman" w:hAnsi="Times New Roman"/>
      <w:b/>
      <w:i w:val="0"/>
      <w:color w:val="auto"/>
      <w:sz w:val="32"/>
    </w:rPr>
  </w:style>
  <w:style w:type="paragraph" w:customStyle="1" w:styleId="TITULO7">
    <w:name w:val="TITULO 7"/>
    <w:basedOn w:val="Ttulo2"/>
    <w:next w:val="Ttulo7"/>
    <w:qFormat/>
    <w:rsid w:val="008E11E3"/>
  </w:style>
  <w:style w:type="character" w:customStyle="1" w:styleId="Ttulo6Car">
    <w:name w:val="Título 6 Car"/>
    <w:basedOn w:val="Fuentedeprrafopredeter"/>
    <w:link w:val="Ttulo6"/>
    <w:semiHidden/>
    <w:rsid w:val="004551E9"/>
    <w:rPr>
      <w:rFonts w:asciiTheme="majorHAnsi" w:eastAsiaTheme="majorEastAsia" w:hAnsiTheme="majorHAnsi" w:cstheme="majorBidi"/>
      <w:i/>
      <w:iCs/>
      <w:color w:val="243F60" w:themeColor="accent1" w:themeShade="7F"/>
      <w:sz w:val="24"/>
      <w:szCs w:val="24"/>
      <w:lang w:eastAsia="en-US"/>
    </w:rPr>
  </w:style>
  <w:style w:type="paragraph" w:customStyle="1" w:styleId="TITULO8">
    <w:name w:val="TITULO 8"/>
    <w:basedOn w:val="Ttulo4"/>
    <w:next w:val="Ttulo8"/>
    <w:qFormat/>
    <w:rsid w:val="00745BB8"/>
    <w:pPr>
      <w:jc w:val="center"/>
    </w:pPr>
    <w:rPr>
      <w:b/>
      <w:sz w:val="36"/>
    </w:rPr>
  </w:style>
  <w:style w:type="character" w:customStyle="1" w:styleId="Ttulo7Car">
    <w:name w:val="Título 7 Car"/>
    <w:basedOn w:val="Fuentedeprrafopredeter"/>
    <w:link w:val="Ttulo7"/>
    <w:semiHidden/>
    <w:rsid w:val="004551E9"/>
    <w:rPr>
      <w:rFonts w:asciiTheme="majorHAnsi" w:eastAsiaTheme="majorEastAsia" w:hAnsiTheme="majorHAnsi" w:cstheme="majorBidi"/>
      <w:i/>
      <w:iCs/>
      <w:color w:val="404040" w:themeColor="text1" w:themeTint="BF"/>
      <w:sz w:val="24"/>
      <w:szCs w:val="24"/>
      <w:lang w:eastAsia="en-US"/>
    </w:rPr>
  </w:style>
  <w:style w:type="paragraph" w:customStyle="1" w:styleId="TITULO9">
    <w:name w:val="TITULO 9"/>
    <w:basedOn w:val="Ttulo3"/>
    <w:next w:val="Ttulo9"/>
    <w:qFormat/>
    <w:rsid w:val="00B14FA4"/>
    <w:pPr>
      <w:jc w:val="center"/>
    </w:pPr>
    <w:rPr>
      <w:b/>
      <w:sz w:val="36"/>
      <w:szCs w:val="36"/>
    </w:rPr>
  </w:style>
  <w:style w:type="character" w:customStyle="1" w:styleId="Ttulo8Car">
    <w:name w:val="Título 8 Car"/>
    <w:basedOn w:val="Fuentedeprrafopredeter"/>
    <w:link w:val="Ttulo8"/>
    <w:semiHidden/>
    <w:rsid w:val="002868F5"/>
    <w:rPr>
      <w:rFonts w:asciiTheme="majorHAnsi" w:eastAsiaTheme="majorEastAsia" w:hAnsiTheme="majorHAnsi" w:cstheme="majorBidi"/>
      <w:color w:val="404040" w:themeColor="text1" w:themeTint="BF"/>
      <w:lang w:eastAsia="en-US"/>
    </w:rPr>
  </w:style>
  <w:style w:type="paragraph" w:customStyle="1" w:styleId="TTULO90">
    <w:name w:val="TÍTULO 9"/>
    <w:basedOn w:val="Ttulo3"/>
    <w:qFormat/>
    <w:rsid w:val="00B14FA4"/>
  </w:style>
  <w:style w:type="character" w:customStyle="1" w:styleId="Ttulo9Car">
    <w:name w:val="Título 9 Car"/>
    <w:basedOn w:val="Fuentedeprrafopredeter"/>
    <w:link w:val="Ttulo9"/>
    <w:semiHidden/>
    <w:rsid w:val="002868F5"/>
    <w:rPr>
      <w:rFonts w:asciiTheme="majorHAnsi" w:eastAsiaTheme="majorEastAsia" w:hAnsiTheme="majorHAnsi" w:cstheme="majorBidi"/>
      <w:i/>
      <w:iCs/>
      <w:color w:val="404040" w:themeColor="text1" w:themeTint="BF"/>
      <w:lang w:eastAsia="en-US"/>
    </w:rPr>
  </w:style>
  <w:style w:type="paragraph" w:customStyle="1" w:styleId="TTULO70">
    <w:name w:val="TÍTULO 7"/>
    <w:basedOn w:val="TITULO7"/>
    <w:qFormat/>
    <w:rsid w:val="00887731"/>
  </w:style>
  <w:style w:type="paragraph" w:customStyle="1" w:styleId="TTULO80">
    <w:name w:val="TÍTULO 8"/>
    <w:basedOn w:val="Ttulo4"/>
    <w:qFormat/>
    <w:rsid w:val="008E11E3"/>
  </w:style>
  <w:style w:type="paragraph" w:customStyle="1" w:styleId="TITULO10">
    <w:name w:val="TITULO 10"/>
    <w:basedOn w:val="Ttulo1"/>
    <w:qFormat/>
    <w:rsid w:val="00A71F97"/>
  </w:style>
  <w:style w:type="paragraph" w:customStyle="1" w:styleId="TITULO11">
    <w:name w:val="TITULO 11"/>
    <w:basedOn w:val="TTULO11"/>
    <w:qFormat/>
    <w:rsid w:val="00745BB8"/>
    <w:rPr>
      <w:b w:val="0"/>
      <w:sz w:val="32"/>
    </w:rPr>
  </w:style>
  <w:style w:type="paragraph" w:customStyle="1" w:styleId="TTULO11">
    <w:name w:val="TÍTULO 11"/>
    <w:basedOn w:val="TITULO10"/>
    <w:qFormat/>
    <w:rsid w:val="00745BB8"/>
  </w:style>
  <w:style w:type="paragraph" w:customStyle="1" w:styleId="TITULO12">
    <w:name w:val="TITULO 12"/>
    <w:basedOn w:val="Ttulo2"/>
    <w:qFormat/>
    <w:rsid w:val="00D579F5"/>
  </w:style>
  <w:style w:type="paragraph" w:customStyle="1" w:styleId="TTULO12">
    <w:name w:val="TÍTULO 12"/>
    <w:basedOn w:val="Ttulo4"/>
    <w:qFormat/>
    <w:rsid w:val="00A57374"/>
    <w:rPr>
      <w:kern w:val="24"/>
      <w:lang w:eastAsia="es-AR"/>
    </w:rPr>
  </w:style>
  <w:style w:type="paragraph" w:customStyle="1" w:styleId="TITULO13">
    <w:name w:val="TITULO 13"/>
    <w:basedOn w:val="Ttulo1"/>
    <w:qFormat/>
    <w:rsid w:val="00D579F5"/>
  </w:style>
  <w:style w:type="paragraph" w:customStyle="1" w:styleId="TTULO13">
    <w:name w:val="TÍTULO 13"/>
    <w:basedOn w:val="Ttulo3"/>
    <w:qFormat/>
    <w:rsid w:val="00D579F5"/>
    <w:rPr>
      <w:lang w:val="es-ES_tradnl"/>
    </w:rPr>
  </w:style>
  <w:style w:type="paragraph" w:customStyle="1" w:styleId="Ttulo130">
    <w:name w:val="Título 13"/>
    <w:basedOn w:val="Ttulo4"/>
    <w:qFormat/>
    <w:rsid w:val="00D579F5"/>
  </w:style>
  <w:style w:type="paragraph" w:customStyle="1" w:styleId="titulo90">
    <w:name w:val="titulo 9"/>
    <w:basedOn w:val="Ttulo4"/>
    <w:qFormat/>
    <w:rsid w:val="00745BB8"/>
  </w:style>
  <w:style w:type="paragraph" w:customStyle="1" w:styleId="TTULO10">
    <w:name w:val="TÍTULO 10"/>
    <w:basedOn w:val="Ttulo1"/>
    <w:qFormat/>
    <w:rsid w:val="00745BB8"/>
  </w:style>
  <w:style w:type="paragraph" w:customStyle="1" w:styleId="titulo110">
    <w:name w:val="titulo 11"/>
    <w:basedOn w:val="Ttulo4"/>
    <w:qFormat/>
    <w:rsid w:val="002C1D94"/>
  </w:style>
  <w:style w:type="paragraph" w:customStyle="1" w:styleId="TITULO14">
    <w:name w:val="TITULO 14"/>
    <w:basedOn w:val="Ttulo1"/>
    <w:qFormat/>
    <w:rsid w:val="002C1D94"/>
  </w:style>
  <w:style w:type="paragraph" w:customStyle="1" w:styleId="TTULO14">
    <w:name w:val="TÍTULO 14"/>
    <w:basedOn w:val="Ttulo2"/>
    <w:qFormat/>
    <w:rsid w:val="002C1D94"/>
  </w:style>
  <w:style w:type="paragraph" w:customStyle="1" w:styleId="Ttulo15">
    <w:name w:val="Título 15"/>
    <w:basedOn w:val="TITULO14"/>
    <w:qFormat/>
    <w:rsid w:val="002C1D94"/>
  </w:style>
  <w:style w:type="paragraph" w:customStyle="1" w:styleId="TITULO15">
    <w:name w:val="TITULO 15"/>
    <w:basedOn w:val="Ttulo3"/>
    <w:qFormat/>
    <w:rsid w:val="002C1D94"/>
  </w:style>
  <w:style w:type="paragraph" w:customStyle="1" w:styleId="titulo150">
    <w:name w:val="titulo 15"/>
    <w:basedOn w:val="Ttulo4"/>
    <w:qFormat/>
    <w:rsid w:val="002C1D94"/>
  </w:style>
</w:styles>
</file>

<file path=word/webSettings.xml><?xml version="1.0" encoding="utf-8"?>
<w:webSettings xmlns:r="http://schemas.openxmlformats.org/officeDocument/2006/relationships" xmlns:w="http://schemas.openxmlformats.org/wordprocessingml/2006/main">
  <w:divs>
    <w:div w:id="33766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edf.org/international/degener_quinn.html" TargetMode="External"/><Relationship Id="rId13" Type="http://schemas.openxmlformats.org/officeDocument/2006/relationships/hyperlink" Target="http://www2.ohchr.org/english/issues/disability/docs/consultation/FinalConsultationreport.241008.doc"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ope.ohchr.org/Documents/Publications/Art_33_CRPD_study.pdf"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org/spanish/esa/social/disabled/dis50y00.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iempodelosderechos.es"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www.era-comm.eu/dalaw/uncrpd.html"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3" Type="http://schemas.openxmlformats.org/officeDocument/2006/relationships/hyperlink" Target="http://www.un.org/disabilities/default.asp?id=1423" TargetMode="External"/><Relationship Id="rId18" Type="http://schemas.openxmlformats.org/officeDocument/2006/relationships/hyperlink" Target="http://www.convenciondiscapacidad.es/" TargetMode="External"/><Relationship Id="rId26" Type="http://schemas.openxmlformats.org/officeDocument/2006/relationships/hyperlink" Target="http://www.who.int/disabilities/world_report/2011/es/index.html" TargetMode="External"/><Relationship Id="rId39" Type="http://schemas.openxmlformats.org/officeDocument/2006/relationships/hyperlink" Target="http://www.hrw.org/sites/default/files/reports/peru0512spForUpload_0.pdf" TargetMode="External"/><Relationship Id="rId3" Type="http://schemas.openxmlformats.org/officeDocument/2006/relationships/hyperlink" Target="http://www.un.org/esa/socdev/enable/disun.htm" TargetMode="External"/><Relationship Id="rId21" Type="http://schemas.openxmlformats.org/officeDocument/2006/relationships/hyperlink" Target="http://www.disabilityrightsintl.org/media-gallery/our-reports-publications/" TargetMode="External"/><Relationship Id="rId34" Type="http://schemas.openxmlformats.org/officeDocument/2006/relationships/hyperlink" Target="http://www.mdri.org" TargetMode="External"/><Relationship Id="rId42" Type="http://schemas.openxmlformats.org/officeDocument/2006/relationships/hyperlink" Target="http://www.un.org/esa/socdev/enable/rights/ahc3.htm" TargetMode="External"/><Relationship Id="rId47" Type="http://schemas.openxmlformats.org/officeDocument/2006/relationships/hyperlink" Target="http://www.tiempodelosderechos.es" TargetMode="External"/><Relationship Id="rId50" Type="http://schemas.openxmlformats.org/officeDocument/2006/relationships/hyperlink" Target="http://cencos.org/node/28083" TargetMode="External"/><Relationship Id="rId7" Type="http://schemas.openxmlformats.org/officeDocument/2006/relationships/hyperlink" Target="http://www2.ohchr.org/english/bodies/cat/opcat/spt_visits.htm" TargetMode="External"/><Relationship Id="rId12" Type="http://schemas.openxmlformats.org/officeDocument/2006/relationships/hyperlink" Target="http://www.internationaldisabilityalliance.org/" TargetMode="External"/><Relationship Id="rId17" Type="http://schemas.openxmlformats.org/officeDocument/2006/relationships/hyperlink" Target="http://www.convenciondiscapacidad.es/Capacidad_new.html" TargetMode="External"/><Relationship Id="rId25" Type="http://schemas.openxmlformats.org/officeDocument/2006/relationships/hyperlink" Target="http://www.who.int/disabilities/world_report/2011/es/index.html" TargetMode="External"/><Relationship Id="rId33" Type="http://schemas.openxmlformats.org/officeDocument/2006/relationships/hyperlink" Target="http://www.mdac.info" TargetMode="External"/><Relationship Id="rId38" Type="http://schemas.openxmlformats.org/officeDocument/2006/relationships/hyperlink" Target="http://www.cels.org.ar/common/documentos/mdri_cels.pdf" TargetMode="External"/><Relationship Id="rId46" Type="http://schemas.openxmlformats.org/officeDocument/2006/relationships/hyperlink" Target="http://www.internationaldisabilityalliance.org" TargetMode="External"/><Relationship Id="rId2" Type="http://schemas.openxmlformats.org/officeDocument/2006/relationships/hyperlink" Target="http://www.un.org/spanish/esa/social/disabled/dis50y00.htm" TargetMode="External"/><Relationship Id="rId16" Type="http://schemas.openxmlformats.org/officeDocument/2006/relationships/hyperlink" Target="http://www.un.org/esa/socdev/enable/rights/ahc8docs/ahc8bkdoc5.doc" TargetMode="External"/><Relationship Id="rId20" Type="http://schemas.openxmlformats.org/officeDocument/2006/relationships/hyperlink" Target="http://www.who.int/disabilities/world_report/2011/es/index.html" TargetMode="External"/><Relationship Id="rId29" Type="http://schemas.openxmlformats.org/officeDocument/2006/relationships/hyperlink" Target="http://europe.ohchr.org/Documents/Publications/Art_33_CRPD_study.pdf" TargetMode="External"/><Relationship Id="rId41" Type="http://schemas.openxmlformats.org/officeDocument/2006/relationships/hyperlink" Target="http://www.venice.coe.int/webforms/documents/?pdf=CDL-AD(2011)045-e" TargetMode="External"/><Relationship Id="rId1" Type="http://schemas.openxmlformats.org/officeDocument/2006/relationships/hyperlink" Target="http://biblioteca.uc3m.es/uhtbin/cgisirsi/LGn91Ymgfe/28680093/18/X245/XTITLE/Clasificaci%F3n+Internacional+del+funcionamiento,+de+la+discapacidad+y+de+la+salud" TargetMode="External"/><Relationship Id="rId6" Type="http://schemas.openxmlformats.org/officeDocument/2006/relationships/hyperlink" Target="http://www.ohchr.org/" TargetMode="External"/><Relationship Id="rId11" Type="http://schemas.openxmlformats.org/officeDocument/2006/relationships/hyperlink" Target="http://treaties.un.org/Pages/ViewDetails.aspx?src=TREATY&amp;mtdsg_no=IV-11&amp;chapter=4&amp;lang=en" TargetMode="External"/><Relationship Id="rId24" Type="http://schemas.openxmlformats.org/officeDocument/2006/relationships/hyperlink" Target="http://www.disabilityrightsintl.org/wordpress/wp-content/uploads/Mex-Spanish-FinalPrinterVer-pdf-small.pdf" TargetMode="External"/><Relationship Id="rId32" Type="http://schemas.openxmlformats.org/officeDocument/2006/relationships/hyperlink" Target="http://www.internationaldisabilityalliance.org/sites/disalliance.e-presentaciones.net/files/public/files/IDA-CRPD-Forum-submission-to-the-OHCHR-thematic-study-September-15.doc" TargetMode="External"/><Relationship Id="rId37" Type="http://schemas.openxmlformats.org/officeDocument/2006/relationships/hyperlink" Target="http://wnusp.rafus.dk/pdf/position-paper-on-principles-for-the-protection-of-persons-with-mental-illness.pdf" TargetMode="External"/><Relationship Id="rId40" Type="http://schemas.openxmlformats.org/officeDocument/2006/relationships/hyperlink" Target="http://commissioner.cws.coe.int/tiki-view_blog_post.php?postId=127" TargetMode="External"/><Relationship Id="rId45" Type="http://schemas.openxmlformats.org/officeDocument/2006/relationships/hyperlink" Target="http://www.internationaldisabilityalliance.org" TargetMode="External"/><Relationship Id="rId5" Type="http://schemas.openxmlformats.org/officeDocument/2006/relationships/hyperlink" Target="http://www2.ohchr.org/spanish/bodies/chr/special/index.htm" TargetMode="External"/><Relationship Id="rId15" Type="http://schemas.openxmlformats.org/officeDocument/2006/relationships/hyperlink" Target="http://www.un.org/esa/socdev/enable/rights/ahc7sum31jan.htm" TargetMode="External"/><Relationship Id="rId23" Type="http://schemas.openxmlformats.org/officeDocument/2006/relationships/hyperlink" Target="http://www.era-comm.eu/dalaw/uncrpd.html" TargetMode="External"/><Relationship Id="rId28" Type="http://schemas.openxmlformats.org/officeDocument/2006/relationships/hyperlink" Target="http://www.ohchr.org/EN/HRBodies/CRPD/Pages/CRPDIndex.aspx" TargetMode="External"/><Relationship Id="rId36" Type="http://schemas.openxmlformats.org/officeDocument/2006/relationships/hyperlink" Target="http://wnusp.rafus.dk/documents/WNUSP_CRPD_Manual.pdf" TargetMode="External"/><Relationship Id="rId49" Type="http://schemas.openxmlformats.org/officeDocument/2006/relationships/hyperlink" Target="http://untreaty.un.org/ilc/texts/instruments/english/draft%20articles/1_9_2006.pdf" TargetMode="External"/><Relationship Id="rId10" Type="http://schemas.openxmlformats.org/officeDocument/2006/relationships/hyperlink" Target="http://www2.ohchr.org/english/law/jurisprudence.htm" TargetMode="External"/><Relationship Id="rId19" Type="http://schemas.openxmlformats.org/officeDocument/2006/relationships/hyperlink" Target="http://www.un.org/womenwatch/daw/beijing/pdf/BDPfA%20S.pdf" TargetMode="External"/><Relationship Id="rId31" Type="http://schemas.openxmlformats.org/officeDocument/2006/relationships/hyperlink" Target="http://www.internationaldisabilityalliance.org" TargetMode="External"/><Relationship Id="rId44" Type="http://schemas.openxmlformats.org/officeDocument/2006/relationships/hyperlink" Target="http://www.internationaldisabilityalliance.org" TargetMode="External"/><Relationship Id="rId4" Type="http://schemas.openxmlformats.org/officeDocument/2006/relationships/hyperlink" Target="http://www.un.org/spanish/esa/social/disabled/dis50y00.htm" TargetMode="External"/><Relationship Id="rId9" Type="http://schemas.openxmlformats.org/officeDocument/2006/relationships/hyperlink" Target="http://www.ine.es/" TargetMode="External"/><Relationship Id="rId14" Type="http://schemas.openxmlformats.org/officeDocument/2006/relationships/hyperlink" Target="http://www.un.org/esa/socdev/enable/rights/ahc7sum31jan.htm" TargetMode="External"/><Relationship Id="rId22" Type="http://schemas.openxmlformats.org/officeDocument/2006/relationships/hyperlink" Target="http://www.notdeadyet.org" TargetMode="External"/><Relationship Id="rId27" Type="http://schemas.openxmlformats.org/officeDocument/2006/relationships/hyperlink" Target="http://www.who.int/disabilities/world_report/2011/es/index.html" TargetMode="External"/><Relationship Id="rId30" Type="http://schemas.openxmlformats.org/officeDocument/2006/relationships/hyperlink" Target="http://www.internationaldisabilityalliance.org" TargetMode="External"/><Relationship Id="rId35" Type="http://schemas.openxmlformats.org/officeDocument/2006/relationships/hyperlink" Target="http://www.hrw.org/es" TargetMode="External"/><Relationship Id="rId43" Type="http://schemas.openxmlformats.org/officeDocument/2006/relationships/hyperlink" Target="http://www.internationaldisabilityalliance.org" TargetMode="External"/><Relationship Id="rId48" Type="http://schemas.openxmlformats.org/officeDocument/2006/relationships/hyperlink" Target="http://www.bclaws.ca" TargetMode="External"/><Relationship Id="rId8" Type="http://schemas.openxmlformats.org/officeDocument/2006/relationships/hyperlink" Target="http://www.unwomen.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an\Desktop\PEN%20FRAN%20marzo%202009\Proyectos%20en%20curso\Proyectos%20en%20Curso\Tesis%20UC3M\Biblio\Pantilla%20Tesi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4C893780-7A18-4FEC-91F4-06371AA0E5CB}"/>
</file>

<file path=customXml/itemProps2.xml><?xml version="1.0" encoding="utf-8"?>
<ds:datastoreItem xmlns:ds="http://schemas.openxmlformats.org/officeDocument/2006/customXml" ds:itemID="{1445304D-7919-4B26-B166-36910ADC5D41}"/>
</file>

<file path=customXml/itemProps3.xml><?xml version="1.0" encoding="utf-8"?>
<ds:datastoreItem xmlns:ds="http://schemas.openxmlformats.org/officeDocument/2006/customXml" ds:itemID="{24CE5AA5-087E-422B-B937-3586D834365D}"/>
</file>

<file path=customXml/itemProps4.xml><?xml version="1.0" encoding="utf-8"?>
<ds:datastoreItem xmlns:ds="http://schemas.openxmlformats.org/officeDocument/2006/customXml" ds:itemID="{B9ABCAD8-4A89-4BFE-A279-4274E3D721D2}"/>
</file>

<file path=docProps/app.xml><?xml version="1.0" encoding="utf-8"?>
<Properties xmlns="http://schemas.openxmlformats.org/officeDocument/2006/extended-properties" xmlns:vt="http://schemas.openxmlformats.org/officeDocument/2006/docPropsVTypes">
  <Template>Pantilla Tesis</Template>
  <TotalTime>229</TotalTime>
  <Pages>724</Pages>
  <Words>165057</Words>
  <Characters>907816</Characters>
  <Application>Microsoft Office Word</Application>
  <DocSecurity>0</DocSecurity>
  <Lines>7565</Lines>
  <Paragraphs>2141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1070732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dc:creator>
  <cp:lastModifiedBy>MPerez</cp:lastModifiedBy>
  <cp:revision>28</cp:revision>
  <cp:lastPrinted>2014-03-04T19:46:00Z</cp:lastPrinted>
  <dcterms:created xsi:type="dcterms:W3CDTF">2014-12-15T11:09:00Z</dcterms:created>
  <dcterms:modified xsi:type="dcterms:W3CDTF">2014-12-15T15:40:00Z</dcterms:modified>
</cp:coreProperties>
</file>